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5" w:type="dxa"/>
        <w:tblLayout w:type="fixed"/>
        <w:tblCellMar>
          <w:left w:w="0" w:type="dxa"/>
          <w:right w:w="0" w:type="dxa"/>
        </w:tblCellMar>
        <w:tblLook w:val="04A0" w:firstRow="1" w:lastRow="0" w:firstColumn="1" w:lastColumn="0" w:noHBand="0" w:noVBand="1"/>
      </w:tblPr>
      <w:tblGrid>
        <w:gridCol w:w="4375"/>
        <w:gridCol w:w="21"/>
        <w:gridCol w:w="4679"/>
      </w:tblGrid>
      <w:tr w:rsidR="00FE1665" w14:paraId="3FA6A922" w14:textId="77777777" w:rsidTr="00BE2F9A">
        <w:trPr>
          <w:trHeight w:val="2093"/>
        </w:trPr>
        <w:tc>
          <w:tcPr>
            <w:tcW w:w="4375" w:type="dxa"/>
            <w:hideMark/>
          </w:tcPr>
          <w:p w14:paraId="49E114A8" w14:textId="77777777" w:rsidR="00FE1665" w:rsidRPr="00A73DB6" w:rsidRDefault="00FE1665" w:rsidP="00BE2F9A">
            <w:pPr>
              <w:pStyle w:val="Ttulo1"/>
              <w:spacing w:before="120" w:after="120"/>
              <w:jc w:val="both"/>
              <w:rPr>
                <w:rFonts w:ascii="Times New Roman" w:hAnsi="Times New Roman"/>
                <w:b/>
                <w:color w:val="auto"/>
                <w:sz w:val="20"/>
                <w:szCs w:val="20"/>
              </w:rPr>
            </w:pPr>
            <w:proofErr w:type="spellStart"/>
            <w:r w:rsidRPr="00A73DB6">
              <w:rPr>
                <w:rFonts w:ascii="Times New Roman" w:hAnsi="Times New Roman"/>
                <w:color w:val="auto"/>
                <w:sz w:val="20"/>
                <w:szCs w:val="20"/>
              </w:rPr>
              <w:t>Erref</w:t>
            </w:r>
            <w:proofErr w:type="spellEnd"/>
            <w:r w:rsidRPr="00A73DB6">
              <w:rPr>
                <w:rFonts w:ascii="Times New Roman" w:hAnsi="Times New Roman"/>
                <w:color w:val="auto"/>
                <w:sz w:val="20"/>
                <w:szCs w:val="20"/>
              </w:rPr>
              <w:t xml:space="preserve"> / </w:t>
            </w:r>
            <w:proofErr w:type="spellStart"/>
            <w:r w:rsidRPr="00A73DB6">
              <w:rPr>
                <w:rFonts w:ascii="Times New Roman" w:hAnsi="Times New Roman"/>
                <w:color w:val="auto"/>
                <w:sz w:val="20"/>
                <w:szCs w:val="20"/>
              </w:rPr>
              <w:t>Ref</w:t>
            </w:r>
            <w:proofErr w:type="spellEnd"/>
            <w:r w:rsidRPr="00A73DB6">
              <w:rPr>
                <w:rFonts w:ascii="Times New Roman" w:hAnsi="Times New Roman"/>
                <w:color w:val="auto"/>
                <w:sz w:val="20"/>
                <w:szCs w:val="20"/>
              </w:rPr>
              <w:t>: Recurso Especial de CIPHERBIT, S.L.U. contra la adjudicación del contrato de servicio de formación en ciberseguridad para la Diputación Foral de Alava y el Sector Público Foral.</w:t>
            </w:r>
          </w:p>
          <w:p w14:paraId="5AE23E5B" w14:textId="77777777" w:rsidR="00FE1665" w:rsidRPr="00A73DB6" w:rsidRDefault="00FE1665" w:rsidP="00BE2F9A">
            <w:pPr>
              <w:pStyle w:val="Ttulo1"/>
              <w:spacing w:before="120" w:after="120" w:line="276" w:lineRule="auto"/>
              <w:rPr>
                <w:rFonts w:ascii="Times New Roman" w:hAnsi="Times New Roman"/>
                <w:b/>
                <w:sz w:val="20"/>
                <w:szCs w:val="20"/>
              </w:rPr>
            </w:pPr>
            <w:r w:rsidRPr="00A73DB6">
              <w:rPr>
                <w:rFonts w:ascii="Times New Roman" w:hAnsi="Times New Roman"/>
                <w:color w:val="auto"/>
                <w:sz w:val="20"/>
                <w:szCs w:val="20"/>
              </w:rPr>
              <w:t xml:space="preserve">Esp </w:t>
            </w:r>
            <w:proofErr w:type="spellStart"/>
            <w:r w:rsidRPr="00A73DB6">
              <w:rPr>
                <w:rFonts w:ascii="Times New Roman" w:hAnsi="Times New Roman"/>
                <w:color w:val="auto"/>
                <w:sz w:val="20"/>
                <w:szCs w:val="20"/>
              </w:rPr>
              <w:t>Zenb</w:t>
            </w:r>
            <w:proofErr w:type="spellEnd"/>
            <w:r w:rsidRPr="00A73DB6">
              <w:rPr>
                <w:rFonts w:ascii="Times New Roman" w:hAnsi="Times New Roman"/>
                <w:color w:val="auto"/>
                <w:sz w:val="20"/>
                <w:szCs w:val="20"/>
              </w:rPr>
              <w:t xml:space="preserve"> RE/ </w:t>
            </w:r>
            <w:proofErr w:type="spellStart"/>
            <w:r w:rsidRPr="00A73DB6">
              <w:rPr>
                <w:rFonts w:ascii="Times New Roman" w:hAnsi="Times New Roman"/>
                <w:color w:val="auto"/>
                <w:sz w:val="20"/>
                <w:szCs w:val="20"/>
              </w:rPr>
              <w:t>Nº</w:t>
            </w:r>
            <w:proofErr w:type="spellEnd"/>
            <w:r w:rsidRPr="00A73DB6">
              <w:rPr>
                <w:rFonts w:ascii="Times New Roman" w:hAnsi="Times New Roman"/>
                <w:color w:val="auto"/>
                <w:sz w:val="20"/>
                <w:szCs w:val="20"/>
              </w:rPr>
              <w:t xml:space="preserve"> </w:t>
            </w:r>
            <w:proofErr w:type="spellStart"/>
            <w:r w:rsidRPr="00A73DB6">
              <w:rPr>
                <w:rFonts w:ascii="Times New Roman" w:hAnsi="Times New Roman"/>
                <w:color w:val="auto"/>
                <w:sz w:val="20"/>
                <w:szCs w:val="20"/>
              </w:rPr>
              <w:t>exp</w:t>
            </w:r>
            <w:proofErr w:type="spellEnd"/>
            <w:r w:rsidRPr="00A73DB6">
              <w:rPr>
                <w:rFonts w:ascii="Times New Roman" w:hAnsi="Times New Roman"/>
                <w:color w:val="auto"/>
                <w:sz w:val="20"/>
                <w:szCs w:val="20"/>
              </w:rPr>
              <w:t xml:space="preserve"> RE</w:t>
            </w:r>
            <w:r w:rsidRPr="00A73DB6">
              <w:rPr>
                <w:rFonts w:ascii="Times New Roman" w:hAnsi="Times New Roman"/>
                <w:color w:val="000000" w:themeColor="text1"/>
                <w:sz w:val="20"/>
                <w:szCs w:val="20"/>
              </w:rPr>
              <w:t>: 2026/09</w:t>
            </w:r>
          </w:p>
        </w:tc>
        <w:tc>
          <w:tcPr>
            <w:tcW w:w="21" w:type="dxa"/>
            <w:hideMark/>
          </w:tcPr>
          <w:p w14:paraId="347F1448" w14:textId="77777777" w:rsidR="00FE1665" w:rsidRPr="00A73DB6" w:rsidRDefault="00FE1665" w:rsidP="00BE2F9A">
            <w:pPr>
              <w:spacing w:before="120" w:after="120" w:line="276" w:lineRule="auto"/>
              <w:rPr>
                <w:lang w:eastAsia="en-US"/>
              </w:rPr>
            </w:pPr>
            <w:r w:rsidRPr="00A73DB6">
              <w:rPr>
                <w:lang w:val="es-ES_tradnl" w:eastAsia="en-US"/>
              </w:rPr>
              <w:t xml:space="preserve"> </w:t>
            </w:r>
          </w:p>
        </w:tc>
        <w:tc>
          <w:tcPr>
            <w:tcW w:w="4679" w:type="dxa"/>
          </w:tcPr>
          <w:p w14:paraId="0A39E53A" w14:textId="77777777" w:rsidR="00FE1665" w:rsidRDefault="00FE1665" w:rsidP="00BE2F9A">
            <w:pPr>
              <w:pStyle w:val="Piedepgina"/>
              <w:tabs>
                <w:tab w:val="clear" w:pos="4252"/>
                <w:tab w:val="right" w:pos="4677"/>
              </w:tabs>
              <w:spacing w:before="120" w:after="120" w:line="276" w:lineRule="auto"/>
              <w:rPr>
                <w:b/>
                <w:lang w:eastAsia="en-US"/>
              </w:rPr>
            </w:pPr>
          </w:p>
          <w:p w14:paraId="6A1B9817" w14:textId="77777777" w:rsidR="00FE1665" w:rsidRDefault="00FE1665" w:rsidP="00BE2F9A">
            <w:pPr>
              <w:spacing w:line="276" w:lineRule="auto"/>
              <w:jc w:val="center"/>
              <w:rPr>
                <w:b/>
                <w:lang w:eastAsia="en-US"/>
              </w:rPr>
            </w:pPr>
          </w:p>
        </w:tc>
      </w:tr>
    </w:tbl>
    <w:p w14:paraId="77B36413" w14:textId="15F02822" w:rsidR="00FE1665" w:rsidRDefault="00FE1665" w:rsidP="00FE1665">
      <w:pPr>
        <w:spacing w:before="120" w:after="120"/>
        <w:jc w:val="center"/>
        <w:rPr>
          <w:b/>
          <w:sz w:val="24"/>
          <w:szCs w:val="24"/>
          <w:u w:val="single"/>
        </w:rPr>
      </w:pPr>
      <w:r>
        <w:rPr>
          <w:b/>
          <w:sz w:val="24"/>
          <w:szCs w:val="24"/>
          <w:u w:val="single"/>
        </w:rPr>
        <w:t>RESOLUCIÓN 20/2026</w:t>
      </w:r>
    </w:p>
    <w:p w14:paraId="38132E3B" w14:textId="77777777" w:rsidR="00FE1665" w:rsidRDefault="00FE1665" w:rsidP="00FE1665">
      <w:pPr>
        <w:spacing w:before="120" w:after="120"/>
        <w:jc w:val="center"/>
        <w:rPr>
          <w:b/>
          <w:sz w:val="24"/>
          <w:szCs w:val="24"/>
          <w:u w:val="single"/>
        </w:rPr>
      </w:pPr>
    </w:p>
    <w:p w14:paraId="52E154B1" w14:textId="4FE5E20A" w:rsidR="00FE1665" w:rsidRDefault="00FE1665" w:rsidP="00FE1665">
      <w:pPr>
        <w:spacing w:before="120" w:after="120"/>
        <w:rPr>
          <w:bCs/>
          <w:sz w:val="22"/>
          <w:szCs w:val="22"/>
        </w:rPr>
      </w:pPr>
      <w:r>
        <w:rPr>
          <w:bCs/>
          <w:sz w:val="22"/>
          <w:szCs w:val="22"/>
        </w:rPr>
        <w:t xml:space="preserve">En Vitoria-Gasteiz, a </w:t>
      </w:r>
      <w:r w:rsidR="00177DBC">
        <w:rPr>
          <w:bCs/>
          <w:sz w:val="22"/>
          <w:szCs w:val="22"/>
        </w:rPr>
        <w:t>21</w:t>
      </w:r>
      <w:r>
        <w:rPr>
          <w:bCs/>
          <w:sz w:val="22"/>
          <w:szCs w:val="22"/>
        </w:rPr>
        <w:t xml:space="preserve"> de septiembre de 2026.</w:t>
      </w:r>
    </w:p>
    <w:p w14:paraId="297ADA2D" w14:textId="77777777" w:rsidR="00FE1665" w:rsidRPr="0038468A" w:rsidRDefault="00FE1665" w:rsidP="00FE1665">
      <w:pPr>
        <w:spacing w:before="120" w:after="120"/>
        <w:rPr>
          <w:bCs/>
          <w:sz w:val="22"/>
          <w:szCs w:val="22"/>
        </w:rPr>
      </w:pPr>
    </w:p>
    <w:p w14:paraId="6910BBF3" w14:textId="768ADFB2" w:rsidR="00FE1665" w:rsidRPr="000C6A30" w:rsidRDefault="00FE1665" w:rsidP="00FE1665">
      <w:pPr>
        <w:spacing w:before="120" w:after="120"/>
        <w:jc w:val="both"/>
        <w:rPr>
          <w:sz w:val="22"/>
        </w:rPr>
      </w:pPr>
      <w:bookmarkStart w:id="0" w:name="_Hlk161654240"/>
      <w:r>
        <w:rPr>
          <w:sz w:val="22"/>
        </w:rPr>
        <w:t xml:space="preserve">El Órgano Administrativo Foral de Recursos Contractuales de la Diputación Foral de Álava ha dictado la siguiente RESOLUCIÓN SOBRE SOLICITUD DE PRUEBAS en el recurso especial en materia de contratación interpuesto por </w:t>
      </w:r>
      <w:r w:rsidR="006745E2">
        <w:rPr>
          <w:sz w:val="22"/>
        </w:rPr>
        <w:t>XXXXXXXXXXXX</w:t>
      </w:r>
      <w:r>
        <w:rPr>
          <w:sz w:val="22"/>
        </w:rPr>
        <w:t>, en representación de la mercantil CIPHERBIT, S.L.U., contra la adjudicación del contrato del servicio de “formación en ciberseguridad para la Diputación Foral de Alava y el Sector Público Foral”.</w:t>
      </w:r>
    </w:p>
    <w:p w14:paraId="42073DAE" w14:textId="77777777" w:rsidR="00FE1665" w:rsidRDefault="00FE1665" w:rsidP="00FE1665">
      <w:pPr>
        <w:tabs>
          <w:tab w:val="left" w:pos="3261"/>
        </w:tabs>
        <w:spacing w:after="120" w:line="276" w:lineRule="auto"/>
        <w:jc w:val="both"/>
        <w:rPr>
          <w:sz w:val="22"/>
        </w:rPr>
      </w:pPr>
      <w:r>
        <w:rPr>
          <w:sz w:val="22"/>
        </w:rPr>
        <w:t xml:space="preserve">Son partes en dicho recurso: como RECURRENTE, CIPHERBIT, S.L.U., y como DEMANDADA el CENTRO DE CALCULO DE ALAVA, S.A. </w:t>
      </w:r>
    </w:p>
    <w:p w14:paraId="2AD62556" w14:textId="241162D2" w:rsidR="00FE1665" w:rsidRDefault="00FE1665" w:rsidP="00FE1665">
      <w:pPr>
        <w:tabs>
          <w:tab w:val="left" w:pos="3261"/>
        </w:tabs>
        <w:spacing w:after="120"/>
        <w:jc w:val="both"/>
        <w:rPr>
          <w:sz w:val="22"/>
        </w:rPr>
      </w:pPr>
      <w:r>
        <w:rPr>
          <w:sz w:val="22"/>
        </w:rPr>
        <w:t>Vist</w:t>
      </w:r>
      <w:r w:rsidR="00D909E0">
        <w:rPr>
          <w:sz w:val="22"/>
        </w:rPr>
        <w:t>a la solicitud de proposición y práctica de la prueba propuesta por la recurrente en</w:t>
      </w:r>
      <w:r>
        <w:rPr>
          <w:sz w:val="22"/>
        </w:rPr>
        <w:t xml:space="preserve"> el recurso especial interpuesto, este Órgano efectúa las siguientes consideraciones:</w:t>
      </w:r>
    </w:p>
    <w:p w14:paraId="74632802" w14:textId="77777777" w:rsidR="00FE1665" w:rsidRDefault="00FE1665" w:rsidP="00FE1665">
      <w:pPr>
        <w:spacing w:after="120"/>
        <w:jc w:val="center"/>
        <w:rPr>
          <w:b/>
          <w:sz w:val="22"/>
        </w:rPr>
      </w:pPr>
    </w:p>
    <w:p w14:paraId="1B02D7C7" w14:textId="77777777" w:rsidR="00FE1665" w:rsidRDefault="00FE1665" w:rsidP="00FE1665">
      <w:pPr>
        <w:spacing w:after="120"/>
        <w:jc w:val="center"/>
        <w:rPr>
          <w:b/>
          <w:sz w:val="22"/>
        </w:rPr>
      </w:pPr>
      <w:r>
        <w:rPr>
          <w:b/>
          <w:sz w:val="22"/>
        </w:rPr>
        <w:t>ANTECEDENTES DE HECHO</w:t>
      </w:r>
    </w:p>
    <w:p w14:paraId="571CBB4B" w14:textId="77777777" w:rsidR="00FE1665" w:rsidRDefault="00FE1665" w:rsidP="00FE1665">
      <w:pPr>
        <w:pStyle w:val="Estilo1"/>
        <w:tabs>
          <w:tab w:val="left" w:pos="567"/>
        </w:tabs>
        <w:ind w:firstLine="0"/>
        <w:rPr>
          <w:b/>
          <w:sz w:val="22"/>
          <w:szCs w:val="22"/>
          <w:lang w:val="es-ES"/>
        </w:rPr>
      </w:pPr>
    </w:p>
    <w:p w14:paraId="713BFC43" w14:textId="3348FED3" w:rsidR="00FE1665" w:rsidRDefault="009842B0" w:rsidP="00FE1665">
      <w:pPr>
        <w:spacing w:before="120" w:after="120"/>
        <w:jc w:val="both"/>
        <w:rPr>
          <w:sz w:val="22"/>
          <w:szCs w:val="22"/>
        </w:rPr>
      </w:pPr>
      <w:r>
        <w:rPr>
          <w:b/>
          <w:sz w:val="22"/>
          <w:szCs w:val="22"/>
        </w:rPr>
        <w:t>Primero</w:t>
      </w:r>
      <w:r w:rsidR="00FE1665">
        <w:rPr>
          <w:b/>
          <w:sz w:val="22"/>
          <w:szCs w:val="22"/>
        </w:rPr>
        <w:t xml:space="preserve">. </w:t>
      </w:r>
      <w:r w:rsidR="00FE1665">
        <w:rPr>
          <w:sz w:val="22"/>
          <w:szCs w:val="22"/>
        </w:rPr>
        <w:t xml:space="preserve">El 24 de agosto de 2026 tiene entrada en el Registro Electrónico Común de la Diputación Foral de Alava el escrito de interposición de recurso especial en materia de contratación presentado por </w:t>
      </w:r>
      <w:r w:rsidR="006745E2">
        <w:rPr>
          <w:sz w:val="22"/>
        </w:rPr>
        <w:t>XXXXXXXXXXXXXXXX</w:t>
      </w:r>
      <w:r w:rsidR="00FE1665">
        <w:rPr>
          <w:sz w:val="22"/>
        </w:rPr>
        <w:t xml:space="preserve">, en representación de la mercantil CIPHERBIT, S.L.U., </w:t>
      </w:r>
      <w:r w:rsidR="00FE1665">
        <w:rPr>
          <w:sz w:val="22"/>
          <w:szCs w:val="22"/>
        </w:rPr>
        <w:t xml:space="preserve">en impugnación del acto de adjudicación. </w:t>
      </w:r>
    </w:p>
    <w:p w14:paraId="19C9CACF" w14:textId="5D43B60B" w:rsidR="009842B0" w:rsidRPr="00CB6CAD" w:rsidRDefault="009842B0" w:rsidP="009842B0">
      <w:pPr>
        <w:spacing w:before="120" w:after="120"/>
        <w:jc w:val="both"/>
        <w:rPr>
          <w:sz w:val="22"/>
        </w:rPr>
      </w:pPr>
      <w:r>
        <w:rPr>
          <w:b/>
          <w:bCs/>
          <w:sz w:val="22"/>
        </w:rPr>
        <w:t>Segundo</w:t>
      </w:r>
      <w:r w:rsidR="006F4BCE">
        <w:rPr>
          <w:b/>
          <w:bCs/>
          <w:sz w:val="22"/>
        </w:rPr>
        <w:t>.</w:t>
      </w:r>
      <w:r>
        <w:rPr>
          <w:b/>
          <w:bCs/>
          <w:sz w:val="22"/>
        </w:rPr>
        <w:t xml:space="preserve"> </w:t>
      </w:r>
      <w:r w:rsidRPr="00CB6CAD">
        <w:rPr>
          <w:sz w:val="22"/>
        </w:rPr>
        <w:t>En el escrito de interposición del recurso especial solicit</w:t>
      </w:r>
      <w:r w:rsidR="007B5BC8">
        <w:rPr>
          <w:sz w:val="22"/>
        </w:rPr>
        <w:t>a</w:t>
      </w:r>
      <w:r w:rsidRPr="00CB6CAD">
        <w:rPr>
          <w:sz w:val="22"/>
        </w:rPr>
        <w:t xml:space="preserve"> la práctica de prueba documental consistente en</w:t>
      </w:r>
      <w:r w:rsidR="00C824A5">
        <w:rPr>
          <w:sz w:val="22"/>
        </w:rPr>
        <w:t xml:space="preserve"> </w:t>
      </w:r>
      <w:r w:rsidRPr="00CB6CAD">
        <w:rPr>
          <w:sz w:val="22"/>
        </w:rPr>
        <w:t>"La documentación obrante en el expediente de contratación y la que se aporta con el presente escrito."</w:t>
      </w:r>
    </w:p>
    <w:p w14:paraId="6D763366" w14:textId="4AF4ADA2" w:rsidR="009842B0" w:rsidRPr="00CB6CAD" w:rsidRDefault="009842B0" w:rsidP="009842B0">
      <w:pPr>
        <w:spacing w:before="120" w:after="120"/>
        <w:jc w:val="both"/>
        <w:rPr>
          <w:sz w:val="22"/>
        </w:rPr>
      </w:pPr>
      <w:r w:rsidRPr="00CB6CAD">
        <w:rPr>
          <w:sz w:val="22"/>
        </w:rPr>
        <w:t>Asimismo, interes</w:t>
      </w:r>
      <w:r w:rsidR="007B5BC8">
        <w:rPr>
          <w:sz w:val="22"/>
        </w:rPr>
        <w:t>a de este</w:t>
      </w:r>
      <w:r w:rsidRPr="00CB6CAD">
        <w:rPr>
          <w:sz w:val="22"/>
        </w:rPr>
        <w:t xml:space="preserve"> Órgano </w:t>
      </w:r>
      <w:r w:rsidR="007B5BC8">
        <w:rPr>
          <w:sz w:val="22"/>
        </w:rPr>
        <w:t xml:space="preserve">que se </w:t>
      </w:r>
      <w:r w:rsidRPr="00CB6CAD">
        <w:rPr>
          <w:sz w:val="22"/>
        </w:rPr>
        <w:t>proced</w:t>
      </w:r>
      <w:r w:rsidR="007B5BC8">
        <w:rPr>
          <w:sz w:val="22"/>
        </w:rPr>
        <w:t>a</w:t>
      </w:r>
      <w:r w:rsidRPr="00CB6CAD">
        <w:rPr>
          <w:sz w:val="22"/>
        </w:rPr>
        <w:t xml:space="preserve"> a comprobar directamente si la documentación aportada acredita el cumplimiento de los requisitos exigidos por el Pliego</w:t>
      </w:r>
      <w:r w:rsidR="006F4BCE">
        <w:rPr>
          <w:sz w:val="22"/>
        </w:rPr>
        <w:t>.</w:t>
      </w:r>
    </w:p>
    <w:p w14:paraId="52BD6E09" w14:textId="70A8A1BF" w:rsidR="006F4BCE" w:rsidRPr="00CB6CAD" w:rsidRDefault="009842B0" w:rsidP="006F4BCE">
      <w:pPr>
        <w:spacing w:before="120" w:after="120"/>
        <w:jc w:val="both"/>
        <w:rPr>
          <w:sz w:val="22"/>
        </w:rPr>
      </w:pPr>
      <w:r>
        <w:rPr>
          <w:b/>
          <w:bCs/>
          <w:sz w:val="22"/>
        </w:rPr>
        <w:t xml:space="preserve">Tercero. </w:t>
      </w:r>
      <w:r w:rsidRPr="00CB6CAD">
        <w:rPr>
          <w:sz w:val="22"/>
        </w:rPr>
        <w:t xml:space="preserve">El expediente administrativo ha sido remitido por el órgano de contratación, </w:t>
      </w:r>
      <w:r>
        <w:rPr>
          <w:sz w:val="22"/>
        </w:rPr>
        <w:t>comprendiendo e</w:t>
      </w:r>
      <w:r w:rsidRPr="00CB6CAD">
        <w:rPr>
          <w:sz w:val="22"/>
        </w:rPr>
        <w:t>l mismo la documentación</w:t>
      </w:r>
      <w:r w:rsidR="007B5BC8">
        <w:rPr>
          <w:sz w:val="22"/>
        </w:rPr>
        <w:t xml:space="preserve"> aportada por la recurrente con su escrito del recurso especial, esto es, </w:t>
      </w:r>
      <w:r w:rsidR="006F4BCE">
        <w:rPr>
          <w:sz w:val="22"/>
        </w:rPr>
        <w:t>los documentos MS 01</w:t>
      </w:r>
      <w:r w:rsidR="00C86644">
        <w:rPr>
          <w:sz w:val="22"/>
        </w:rPr>
        <w:t xml:space="preserve"> (Anexo </w:t>
      </w:r>
      <w:r w:rsidR="005A63E4">
        <w:rPr>
          <w:sz w:val="22"/>
        </w:rPr>
        <w:t>III</w:t>
      </w:r>
      <w:r w:rsidR="00C86644">
        <w:rPr>
          <w:sz w:val="22"/>
        </w:rPr>
        <w:t xml:space="preserve">) y </w:t>
      </w:r>
      <w:r w:rsidR="006F4BCE">
        <w:rPr>
          <w:sz w:val="22"/>
        </w:rPr>
        <w:t xml:space="preserve"> NFR-01 </w:t>
      </w:r>
      <w:r w:rsidR="00C86644">
        <w:rPr>
          <w:sz w:val="22"/>
        </w:rPr>
        <w:t xml:space="preserve">(Anexo </w:t>
      </w:r>
      <w:r w:rsidR="005A63E4">
        <w:rPr>
          <w:sz w:val="22"/>
        </w:rPr>
        <w:t>IV</w:t>
      </w:r>
      <w:proofErr w:type="gramStart"/>
      <w:r w:rsidR="00C86644">
        <w:rPr>
          <w:sz w:val="22"/>
        </w:rPr>
        <w:t>).</w:t>
      </w:r>
      <w:r w:rsidR="006F4BCE">
        <w:rPr>
          <w:sz w:val="22"/>
        </w:rPr>
        <w:t>.</w:t>
      </w:r>
      <w:proofErr w:type="gramEnd"/>
    </w:p>
    <w:p w14:paraId="4EAA2ECF" w14:textId="4AE4C77C" w:rsidR="005A63E4" w:rsidRDefault="005A63E4" w:rsidP="009842B0">
      <w:pPr>
        <w:spacing w:before="120" w:after="120"/>
        <w:jc w:val="both"/>
        <w:rPr>
          <w:b/>
          <w:bCs/>
          <w:sz w:val="22"/>
        </w:rPr>
      </w:pPr>
      <w:r>
        <w:rPr>
          <w:b/>
          <w:bCs/>
          <w:sz w:val="22"/>
        </w:rPr>
        <w:t xml:space="preserve">Cuarto. </w:t>
      </w:r>
      <w:r w:rsidRPr="005A63E4">
        <w:rPr>
          <w:sz w:val="22"/>
        </w:rPr>
        <w:t>En el escrito de alegaciones al recurso especial, el órgano de contratación no se pronuncia sobre la solicitud de prueba propuesta por la recurrente.</w:t>
      </w:r>
    </w:p>
    <w:p w14:paraId="37CBFC60" w14:textId="77777777" w:rsidR="005A63E4" w:rsidRDefault="005A63E4" w:rsidP="009842B0">
      <w:pPr>
        <w:spacing w:before="120" w:after="120"/>
        <w:jc w:val="both"/>
        <w:rPr>
          <w:b/>
          <w:bCs/>
          <w:sz w:val="22"/>
        </w:rPr>
      </w:pPr>
    </w:p>
    <w:p w14:paraId="253CF2E7" w14:textId="030F3413" w:rsidR="007B5BC8" w:rsidRDefault="005A63E4" w:rsidP="009842B0">
      <w:pPr>
        <w:spacing w:before="120" w:after="120"/>
        <w:jc w:val="both"/>
        <w:rPr>
          <w:sz w:val="22"/>
        </w:rPr>
      </w:pPr>
      <w:r>
        <w:rPr>
          <w:b/>
          <w:bCs/>
          <w:sz w:val="22"/>
        </w:rPr>
        <w:lastRenderedPageBreak/>
        <w:t>Quinto</w:t>
      </w:r>
      <w:r w:rsidR="009842B0">
        <w:rPr>
          <w:b/>
          <w:bCs/>
          <w:sz w:val="22"/>
        </w:rPr>
        <w:t xml:space="preserve">. </w:t>
      </w:r>
      <w:r w:rsidR="009842B0" w:rsidRPr="00CB6CAD">
        <w:rPr>
          <w:sz w:val="22"/>
        </w:rPr>
        <w:t>La adjudicataria, MAINJOBS INTERNACIONAL EDUCATIVA Y TECNOLÓGICA, S.A., ha comparecido en el procedimiento formulando alegaciones</w:t>
      </w:r>
      <w:r>
        <w:rPr>
          <w:sz w:val="22"/>
        </w:rPr>
        <w:t xml:space="preserve"> en el plazo establecido a tal efecto</w:t>
      </w:r>
      <w:r w:rsidR="007B5BC8">
        <w:rPr>
          <w:sz w:val="22"/>
        </w:rPr>
        <w:t>.</w:t>
      </w:r>
    </w:p>
    <w:p w14:paraId="71F150B4" w14:textId="115AF8FC" w:rsidR="009842B0" w:rsidRPr="00CB6CAD" w:rsidRDefault="007B5BC8" w:rsidP="009842B0">
      <w:pPr>
        <w:spacing w:before="120" w:after="120"/>
        <w:jc w:val="both"/>
        <w:rPr>
          <w:sz w:val="22"/>
        </w:rPr>
      </w:pPr>
      <w:r>
        <w:rPr>
          <w:sz w:val="22"/>
        </w:rPr>
        <w:t>En su escrito de alegaciones solicita que se facilite a MAINJOBS copia íntegra de la documentación aportada por CIPHERBIT en el recurso especial  por no haberse dado traslado en el trámite de alegaciones conferido de la documentación aportada por la recurrente</w:t>
      </w:r>
      <w:r w:rsidR="00C824A5">
        <w:rPr>
          <w:sz w:val="22"/>
        </w:rPr>
        <w:t xml:space="preserve"> (</w:t>
      </w:r>
      <w:r>
        <w:rPr>
          <w:sz w:val="22"/>
        </w:rPr>
        <w:t>documentos MS 01</w:t>
      </w:r>
      <w:r w:rsidR="00C86644">
        <w:rPr>
          <w:sz w:val="22"/>
        </w:rPr>
        <w:t xml:space="preserve"> y </w:t>
      </w:r>
      <w:r>
        <w:rPr>
          <w:sz w:val="22"/>
        </w:rPr>
        <w:t xml:space="preserve"> NFR-01</w:t>
      </w:r>
      <w:r w:rsidR="00C824A5">
        <w:rPr>
          <w:sz w:val="22"/>
        </w:rPr>
        <w:t>)</w:t>
      </w:r>
      <w:r w:rsidR="00C86644">
        <w:rPr>
          <w:sz w:val="22"/>
        </w:rPr>
        <w:t>, en caso de que cualquiera de dichos documentos vaya a ser tomado en consideración para la resolución del recurso</w:t>
      </w:r>
      <w:r>
        <w:rPr>
          <w:sz w:val="22"/>
        </w:rPr>
        <w:t>.</w:t>
      </w:r>
    </w:p>
    <w:p w14:paraId="5B49656F" w14:textId="77777777" w:rsidR="00FE1665" w:rsidRPr="00DF6514" w:rsidRDefault="00FE1665" w:rsidP="00FE1665">
      <w:pPr>
        <w:shd w:val="clear" w:color="auto" w:fill="FFFFFF"/>
        <w:spacing w:before="120" w:after="120"/>
        <w:jc w:val="both"/>
        <w:rPr>
          <w:sz w:val="22"/>
          <w:szCs w:val="22"/>
        </w:rPr>
      </w:pPr>
      <w:r w:rsidRPr="00DF6514">
        <w:rPr>
          <w:sz w:val="22"/>
          <w:szCs w:val="22"/>
        </w:rPr>
        <w:t xml:space="preserve">A los antecedentes expuestos le son de aplicación los siguientes </w:t>
      </w:r>
    </w:p>
    <w:p w14:paraId="29C54AB0" w14:textId="77777777" w:rsidR="00FE1665" w:rsidRPr="00DF6514" w:rsidRDefault="00FE1665" w:rsidP="00FE1665">
      <w:pPr>
        <w:shd w:val="clear" w:color="auto" w:fill="FFFFFF"/>
        <w:spacing w:before="120" w:after="120"/>
        <w:jc w:val="both"/>
        <w:rPr>
          <w:sz w:val="22"/>
          <w:szCs w:val="22"/>
        </w:rPr>
      </w:pPr>
    </w:p>
    <w:p w14:paraId="10CF02FA" w14:textId="77777777" w:rsidR="00FE1665" w:rsidRDefault="00FE1665" w:rsidP="00FE1665">
      <w:pPr>
        <w:spacing w:before="120" w:after="120"/>
        <w:jc w:val="center"/>
        <w:rPr>
          <w:rFonts w:eastAsiaTheme="minorHAnsi"/>
          <w:b/>
          <w:sz w:val="22"/>
          <w:szCs w:val="22"/>
          <w:lang w:eastAsia="en-US"/>
        </w:rPr>
      </w:pPr>
      <w:r w:rsidRPr="00DF6514">
        <w:rPr>
          <w:rFonts w:eastAsiaTheme="minorHAnsi"/>
          <w:b/>
          <w:sz w:val="22"/>
          <w:szCs w:val="22"/>
          <w:lang w:eastAsia="en-US"/>
        </w:rPr>
        <w:t>FUNDAMENTOS DE DERECHO</w:t>
      </w:r>
      <w:r>
        <w:rPr>
          <w:rFonts w:eastAsiaTheme="minorHAnsi"/>
          <w:b/>
          <w:sz w:val="22"/>
          <w:szCs w:val="22"/>
          <w:lang w:eastAsia="en-US"/>
        </w:rPr>
        <w:t xml:space="preserve"> </w:t>
      </w:r>
    </w:p>
    <w:p w14:paraId="70B1FDC5" w14:textId="77777777" w:rsidR="00FE1665" w:rsidRPr="00DF6514" w:rsidRDefault="00FE1665" w:rsidP="00FE1665">
      <w:pPr>
        <w:spacing w:before="120" w:after="120"/>
        <w:jc w:val="center"/>
        <w:rPr>
          <w:rFonts w:eastAsiaTheme="minorHAnsi"/>
          <w:b/>
          <w:sz w:val="22"/>
          <w:szCs w:val="22"/>
          <w:lang w:eastAsia="en-US"/>
        </w:rPr>
      </w:pPr>
    </w:p>
    <w:p w14:paraId="77615D4F" w14:textId="51C6BD2C" w:rsidR="00FE1665" w:rsidRPr="00DF6514" w:rsidRDefault="00FE1665" w:rsidP="00FE1665">
      <w:pPr>
        <w:autoSpaceDE w:val="0"/>
        <w:autoSpaceDN w:val="0"/>
        <w:adjustRightInd w:val="0"/>
        <w:spacing w:before="120" w:after="120"/>
        <w:jc w:val="both"/>
        <w:rPr>
          <w:rFonts w:eastAsiaTheme="minorHAnsi"/>
          <w:color w:val="333333"/>
          <w:sz w:val="22"/>
          <w:szCs w:val="22"/>
          <w:lang w:eastAsia="en-US"/>
        </w:rPr>
      </w:pPr>
      <w:proofErr w:type="gramStart"/>
      <w:r w:rsidRPr="00353BDD">
        <w:rPr>
          <w:rFonts w:eastAsiaTheme="minorHAnsi"/>
          <w:b/>
          <w:color w:val="333333"/>
          <w:sz w:val="22"/>
          <w:szCs w:val="22"/>
          <w:lang w:eastAsia="en-US"/>
        </w:rPr>
        <w:t>PRIMERO.</w:t>
      </w:r>
      <w:r>
        <w:rPr>
          <w:rFonts w:eastAsiaTheme="minorHAnsi"/>
          <w:b/>
          <w:color w:val="333333"/>
          <w:sz w:val="22"/>
          <w:szCs w:val="22"/>
          <w:lang w:eastAsia="en-US"/>
        </w:rPr>
        <w:t>-</w:t>
      </w:r>
      <w:proofErr w:type="gramEnd"/>
      <w:r>
        <w:rPr>
          <w:rFonts w:eastAsiaTheme="minorHAnsi"/>
          <w:color w:val="333333"/>
          <w:sz w:val="22"/>
          <w:szCs w:val="22"/>
          <w:lang w:eastAsia="en-US"/>
        </w:rPr>
        <w:t xml:space="preserve"> </w:t>
      </w:r>
      <w:r w:rsidRPr="00DF6514">
        <w:rPr>
          <w:rFonts w:eastAsiaTheme="minorHAnsi"/>
          <w:color w:val="333333"/>
          <w:sz w:val="22"/>
          <w:szCs w:val="22"/>
          <w:lang w:eastAsia="en-US"/>
        </w:rPr>
        <w:t xml:space="preserve">El artículo </w:t>
      </w:r>
      <w:r>
        <w:rPr>
          <w:rFonts w:eastAsiaTheme="minorHAnsi"/>
          <w:color w:val="333333"/>
          <w:sz w:val="22"/>
          <w:szCs w:val="22"/>
          <w:lang w:eastAsia="en-US"/>
        </w:rPr>
        <w:t>56.1</w:t>
      </w:r>
      <w:r w:rsidRPr="00DF6514">
        <w:rPr>
          <w:rFonts w:eastAsiaTheme="minorHAnsi"/>
          <w:color w:val="333333"/>
          <w:sz w:val="22"/>
          <w:szCs w:val="22"/>
          <w:lang w:eastAsia="en-US"/>
        </w:rPr>
        <w:t xml:space="preserve"> de</w:t>
      </w:r>
      <w:r>
        <w:rPr>
          <w:rFonts w:eastAsiaTheme="minorHAnsi"/>
          <w:color w:val="333333"/>
          <w:sz w:val="22"/>
          <w:szCs w:val="22"/>
          <w:lang w:eastAsia="en-US"/>
        </w:rPr>
        <w:t xml:space="preserve"> la Ley 9/2017, de 8 de noviembre, de Contratos del Sector Público, </w:t>
      </w:r>
      <w:r w:rsidRPr="00DF6514">
        <w:rPr>
          <w:rFonts w:eastAsiaTheme="minorHAnsi"/>
          <w:color w:val="333333"/>
          <w:sz w:val="22"/>
          <w:szCs w:val="22"/>
          <w:lang w:eastAsia="en-US"/>
        </w:rPr>
        <w:t>dispone que el procedimiento para tramitar los recursos especiales en materia de contratación se regirá por las disposiciones de la Ley 3</w:t>
      </w:r>
      <w:r>
        <w:rPr>
          <w:rFonts w:eastAsiaTheme="minorHAnsi"/>
          <w:color w:val="333333"/>
          <w:sz w:val="22"/>
          <w:szCs w:val="22"/>
          <w:lang w:eastAsia="en-US"/>
        </w:rPr>
        <w:t>9</w:t>
      </w:r>
      <w:r w:rsidRPr="00DF6514">
        <w:rPr>
          <w:rFonts w:eastAsiaTheme="minorHAnsi"/>
          <w:color w:val="333333"/>
          <w:sz w:val="22"/>
          <w:szCs w:val="22"/>
          <w:lang w:eastAsia="en-US"/>
        </w:rPr>
        <w:t>/</w:t>
      </w:r>
      <w:r>
        <w:rPr>
          <w:rFonts w:eastAsiaTheme="minorHAnsi"/>
          <w:color w:val="333333"/>
          <w:sz w:val="22"/>
          <w:szCs w:val="22"/>
          <w:lang w:eastAsia="en-US"/>
        </w:rPr>
        <w:t>2015</w:t>
      </w:r>
      <w:r w:rsidRPr="00DF6514">
        <w:rPr>
          <w:rFonts w:eastAsiaTheme="minorHAnsi"/>
          <w:color w:val="333333"/>
          <w:sz w:val="22"/>
          <w:szCs w:val="22"/>
          <w:lang w:eastAsia="en-US"/>
        </w:rPr>
        <w:t>, de 1 de octubre, del Procedimiento Administrativo Común de las Administraciones Públicas</w:t>
      </w:r>
      <w:r w:rsidR="006F4BCE">
        <w:rPr>
          <w:rFonts w:eastAsiaTheme="minorHAnsi"/>
          <w:color w:val="333333"/>
          <w:sz w:val="22"/>
          <w:szCs w:val="22"/>
          <w:lang w:eastAsia="en-US"/>
        </w:rPr>
        <w:t xml:space="preserve"> (LPAC)</w:t>
      </w:r>
      <w:r w:rsidRPr="00DF6514">
        <w:rPr>
          <w:rFonts w:eastAsiaTheme="minorHAnsi"/>
          <w:color w:val="333333"/>
          <w:sz w:val="22"/>
          <w:szCs w:val="22"/>
          <w:lang w:eastAsia="en-US"/>
        </w:rPr>
        <w:t xml:space="preserve">, con las especialidades que se recogen en el citado precepto. </w:t>
      </w:r>
    </w:p>
    <w:p w14:paraId="6D458B85" w14:textId="77777777" w:rsidR="00FE1665" w:rsidRPr="00DF6514" w:rsidRDefault="00FE1665" w:rsidP="00FE1665">
      <w:pPr>
        <w:autoSpaceDE w:val="0"/>
        <w:autoSpaceDN w:val="0"/>
        <w:adjustRightInd w:val="0"/>
        <w:spacing w:before="120" w:after="120"/>
        <w:jc w:val="both"/>
        <w:rPr>
          <w:rFonts w:eastAsiaTheme="minorHAnsi"/>
          <w:color w:val="333333"/>
          <w:sz w:val="22"/>
          <w:szCs w:val="22"/>
          <w:lang w:eastAsia="en-US"/>
        </w:rPr>
      </w:pPr>
      <w:r w:rsidRPr="00DF6514">
        <w:rPr>
          <w:rFonts w:eastAsiaTheme="minorHAnsi"/>
          <w:color w:val="333333"/>
          <w:sz w:val="22"/>
          <w:szCs w:val="22"/>
          <w:lang w:eastAsia="en-US"/>
        </w:rPr>
        <w:t>En este contexto, y en relación con la prueba, en su apartado cuarto se dispone que “</w:t>
      </w:r>
      <w:r w:rsidRPr="00AF1E3F">
        <w:rPr>
          <w:rFonts w:eastAsiaTheme="minorHAnsi"/>
          <w:i/>
          <w:color w:val="333333"/>
          <w:sz w:val="22"/>
          <w:szCs w:val="22"/>
          <w:lang w:eastAsia="en-US"/>
        </w:rPr>
        <w:t>los hechos relevantes para la decisión del recurso podrán acreditarse por cualquier medio de</w:t>
      </w:r>
      <w:r w:rsidRPr="00DF6514">
        <w:rPr>
          <w:rFonts w:eastAsiaTheme="minorHAnsi"/>
          <w:i/>
          <w:color w:val="333333"/>
          <w:sz w:val="22"/>
          <w:szCs w:val="22"/>
          <w:lang w:eastAsia="en-US"/>
        </w:rPr>
        <w:t xml:space="preserve"> prueba admisible en Derecho</w:t>
      </w:r>
      <w:r w:rsidRPr="00DF6514">
        <w:rPr>
          <w:rFonts w:eastAsiaTheme="minorHAnsi"/>
          <w:color w:val="333333"/>
          <w:sz w:val="22"/>
          <w:szCs w:val="22"/>
          <w:lang w:eastAsia="en-US"/>
        </w:rPr>
        <w:t>”; y que “</w:t>
      </w:r>
      <w:r w:rsidRPr="00DF6514">
        <w:rPr>
          <w:rFonts w:eastAsiaTheme="minorHAnsi"/>
          <w:i/>
          <w:color w:val="333333"/>
          <w:sz w:val="22"/>
          <w:szCs w:val="22"/>
          <w:lang w:eastAsia="en-US"/>
        </w:rPr>
        <w:t>cuando los interesados lo soliciten o el órgano encargado de la resolución del recurso no tenga por ciertos los hechos alegados por los interesados o la naturaleza del procedimiento lo exija, podrá acordarse la apertura del período de prueba por plazo de diez días hábiles, a fin de que puedan practicarse cuantas juzgue pertinentes</w:t>
      </w:r>
      <w:r w:rsidRPr="00DF6514">
        <w:rPr>
          <w:rFonts w:eastAsiaTheme="minorHAnsi"/>
          <w:color w:val="333333"/>
          <w:sz w:val="22"/>
          <w:szCs w:val="22"/>
          <w:lang w:eastAsia="en-US"/>
        </w:rPr>
        <w:t>”; de</w:t>
      </w:r>
      <w:r>
        <w:rPr>
          <w:rFonts w:eastAsiaTheme="minorHAnsi"/>
          <w:color w:val="333333"/>
          <w:sz w:val="22"/>
          <w:szCs w:val="22"/>
          <w:lang w:eastAsia="en-US"/>
        </w:rPr>
        <w:t xml:space="preserve"> modo que</w:t>
      </w:r>
      <w:r w:rsidRPr="00DF6514">
        <w:rPr>
          <w:rFonts w:eastAsiaTheme="minorHAnsi"/>
          <w:color w:val="333333"/>
          <w:sz w:val="22"/>
          <w:szCs w:val="22"/>
          <w:lang w:eastAsia="en-US"/>
        </w:rPr>
        <w:t xml:space="preserve"> “</w:t>
      </w:r>
      <w:r w:rsidRPr="00DF6514">
        <w:rPr>
          <w:rFonts w:eastAsiaTheme="minorHAnsi"/>
          <w:i/>
          <w:color w:val="333333"/>
          <w:sz w:val="22"/>
          <w:szCs w:val="22"/>
          <w:lang w:eastAsia="en-US"/>
        </w:rPr>
        <w:t>el órgano competente para la resolución del recurso podrá rechazar las pruebas propuestas por los interesados cuando sean manifiestamente improcedentes o innecesarias, mediante resolución motivada</w:t>
      </w:r>
      <w:r w:rsidRPr="00DF6514">
        <w:rPr>
          <w:rFonts w:eastAsiaTheme="minorHAnsi"/>
          <w:color w:val="333333"/>
          <w:sz w:val="22"/>
          <w:szCs w:val="22"/>
          <w:lang w:eastAsia="en-US"/>
        </w:rPr>
        <w:t>”.</w:t>
      </w:r>
    </w:p>
    <w:p w14:paraId="11798EBF" w14:textId="77777777" w:rsidR="00C86644" w:rsidRDefault="00C86644" w:rsidP="00FE1665">
      <w:pPr>
        <w:autoSpaceDE w:val="0"/>
        <w:autoSpaceDN w:val="0"/>
        <w:adjustRightInd w:val="0"/>
        <w:spacing w:before="120" w:after="120"/>
        <w:jc w:val="both"/>
        <w:rPr>
          <w:rFonts w:eastAsiaTheme="minorHAnsi"/>
          <w:b/>
          <w:color w:val="333333"/>
          <w:sz w:val="22"/>
          <w:szCs w:val="22"/>
          <w:lang w:eastAsia="en-US"/>
        </w:rPr>
      </w:pPr>
    </w:p>
    <w:p w14:paraId="2E1801EE" w14:textId="14B1C6BE" w:rsidR="00FE1665" w:rsidRPr="00DF6514" w:rsidRDefault="00FE1665" w:rsidP="00FE1665">
      <w:pPr>
        <w:autoSpaceDE w:val="0"/>
        <w:autoSpaceDN w:val="0"/>
        <w:adjustRightInd w:val="0"/>
        <w:spacing w:before="120" w:after="120"/>
        <w:jc w:val="both"/>
        <w:rPr>
          <w:rFonts w:eastAsiaTheme="minorHAnsi"/>
          <w:color w:val="333333"/>
          <w:sz w:val="22"/>
          <w:szCs w:val="22"/>
          <w:lang w:eastAsia="en-US"/>
        </w:rPr>
      </w:pPr>
      <w:proofErr w:type="gramStart"/>
      <w:r w:rsidRPr="009D18E3">
        <w:rPr>
          <w:rFonts w:eastAsiaTheme="minorHAnsi"/>
          <w:b/>
          <w:color w:val="333333"/>
          <w:sz w:val="22"/>
          <w:szCs w:val="22"/>
          <w:lang w:eastAsia="en-US"/>
        </w:rPr>
        <w:t>SEGUNDO.-</w:t>
      </w:r>
      <w:proofErr w:type="gramEnd"/>
      <w:r>
        <w:rPr>
          <w:rFonts w:eastAsiaTheme="minorHAnsi"/>
          <w:color w:val="333333"/>
          <w:sz w:val="22"/>
          <w:szCs w:val="22"/>
          <w:lang w:eastAsia="en-US"/>
        </w:rPr>
        <w:t xml:space="preserve"> </w:t>
      </w:r>
      <w:r w:rsidRPr="00DF6514">
        <w:rPr>
          <w:rFonts w:eastAsiaTheme="minorHAnsi"/>
          <w:color w:val="333333"/>
          <w:sz w:val="22"/>
          <w:szCs w:val="22"/>
          <w:lang w:eastAsia="en-US"/>
        </w:rPr>
        <w:t xml:space="preserve">Según se ha expuesto en </w:t>
      </w:r>
      <w:r>
        <w:rPr>
          <w:rFonts w:eastAsiaTheme="minorHAnsi"/>
          <w:color w:val="333333"/>
          <w:sz w:val="22"/>
          <w:szCs w:val="22"/>
          <w:lang w:eastAsia="en-US"/>
        </w:rPr>
        <w:t>el</w:t>
      </w:r>
      <w:r w:rsidRPr="00DF6514">
        <w:rPr>
          <w:rFonts w:eastAsiaTheme="minorHAnsi"/>
          <w:color w:val="333333"/>
          <w:sz w:val="22"/>
          <w:szCs w:val="22"/>
          <w:lang w:eastAsia="en-US"/>
        </w:rPr>
        <w:t xml:space="preserve"> antecedente</w:t>
      </w:r>
      <w:r>
        <w:rPr>
          <w:rFonts w:eastAsiaTheme="minorHAnsi"/>
          <w:color w:val="333333"/>
          <w:sz w:val="22"/>
          <w:szCs w:val="22"/>
          <w:lang w:eastAsia="en-US"/>
        </w:rPr>
        <w:t xml:space="preserve"> segundo</w:t>
      </w:r>
      <w:r w:rsidRPr="00DF6514">
        <w:rPr>
          <w:rFonts w:eastAsiaTheme="minorHAnsi"/>
          <w:color w:val="333333"/>
          <w:sz w:val="22"/>
          <w:szCs w:val="22"/>
          <w:lang w:eastAsia="en-US"/>
        </w:rPr>
        <w:t xml:space="preserve">, </w:t>
      </w:r>
      <w:r>
        <w:rPr>
          <w:rFonts w:eastAsiaTheme="minorHAnsi"/>
          <w:color w:val="333333"/>
          <w:sz w:val="22"/>
          <w:szCs w:val="22"/>
          <w:lang w:eastAsia="en-US"/>
        </w:rPr>
        <w:t xml:space="preserve">la recurrente </w:t>
      </w:r>
      <w:r w:rsidRPr="00DF6514">
        <w:rPr>
          <w:rFonts w:eastAsiaTheme="minorHAnsi"/>
          <w:color w:val="333333"/>
          <w:sz w:val="22"/>
          <w:szCs w:val="22"/>
          <w:lang w:eastAsia="en-US"/>
        </w:rPr>
        <w:t xml:space="preserve">solicita en su escrito de recurso </w:t>
      </w:r>
      <w:r>
        <w:rPr>
          <w:rFonts w:eastAsiaTheme="minorHAnsi"/>
          <w:color w:val="333333"/>
          <w:sz w:val="22"/>
          <w:szCs w:val="22"/>
          <w:lang w:eastAsia="en-US"/>
        </w:rPr>
        <w:t>que se practique la prueba documental consistente en la documentación obrante en el expediente de contratación y la que se aporta en el escrito</w:t>
      </w:r>
      <w:r w:rsidR="005A63E4">
        <w:rPr>
          <w:rFonts w:eastAsiaTheme="minorHAnsi"/>
          <w:color w:val="333333"/>
          <w:sz w:val="22"/>
          <w:szCs w:val="22"/>
          <w:lang w:eastAsia="en-US"/>
        </w:rPr>
        <w:t xml:space="preserve"> (</w:t>
      </w:r>
      <w:r w:rsidR="007B5BC8">
        <w:rPr>
          <w:sz w:val="22"/>
        </w:rPr>
        <w:t>documentos MS 01</w:t>
      </w:r>
      <w:r w:rsidR="005A63E4">
        <w:rPr>
          <w:sz w:val="22"/>
        </w:rPr>
        <w:t xml:space="preserve"> y</w:t>
      </w:r>
      <w:r w:rsidR="007B5BC8">
        <w:rPr>
          <w:sz w:val="22"/>
        </w:rPr>
        <w:t xml:space="preserve"> NFR-01</w:t>
      </w:r>
      <w:r w:rsidR="005A63E4">
        <w:rPr>
          <w:sz w:val="22"/>
        </w:rPr>
        <w:t>)</w:t>
      </w:r>
      <w:r w:rsidR="007B5BC8">
        <w:rPr>
          <w:sz w:val="22"/>
        </w:rPr>
        <w:t>.</w:t>
      </w:r>
    </w:p>
    <w:p w14:paraId="6A0EE5B8" w14:textId="77777777" w:rsidR="00FE1665" w:rsidRDefault="00FE1665" w:rsidP="00FE1665">
      <w:pPr>
        <w:autoSpaceDE w:val="0"/>
        <w:autoSpaceDN w:val="0"/>
        <w:adjustRightInd w:val="0"/>
        <w:spacing w:before="120" w:after="120"/>
        <w:jc w:val="both"/>
        <w:rPr>
          <w:rFonts w:eastAsiaTheme="minorHAnsi"/>
          <w:color w:val="333333"/>
          <w:sz w:val="22"/>
          <w:szCs w:val="22"/>
          <w:lang w:eastAsia="en-US"/>
        </w:rPr>
      </w:pPr>
      <w:r w:rsidRPr="00DF6514">
        <w:rPr>
          <w:rFonts w:eastAsiaTheme="minorHAnsi"/>
          <w:color w:val="333333"/>
          <w:sz w:val="22"/>
          <w:szCs w:val="22"/>
          <w:lang w:eastAsia="en-US"/>
        </w:rPr>
        <w:t>Dispone el artículo 77.1 LPAC que “</w:t>
      </w:r>
      <w:r w:rsidRPr="00DF6514">
        <w:rPr>
          <w:rFonts w:eastAsiaTheme="minorHAnsi"/>
          <w:i/>
          <w:color w:val="333333"/>
          <w:sz w:val="22"/>
          <w:szCs w:val="22"/>
          <w:lang w:eastAsia="en-US"/>
        </w:rPr>
        <w:t>los hechos relevantes para la decisión de un procedimiento podrán acreditarse por cualquier medio de prueba admisible en Derecho, cuya valoración se realizará de acuerdo con los criterios establecidos en la Ley 1/2000, de 7 de enero, de Enjuiciamiento Civil</w:t>
      </w:r>
      <w:r w:rsidRPr="00DF6514">
        <w:rPr>
          <w:rFonts w:eastAsiaTheme="minorHAnsi"/>
          <w:color w:val="333333"/>
          <w:sz w:val="22"/>
          <w:szCs w:val="22"/>
          <w:lang w:eastAsia="en-US"/>
        </w:rPr>
        <w:t xml:space="preserve">”. </w:t>
      </w:r>
    </w:p>
    <w:p w14:paraId="588FB103" w14:textId="77777777" w:rsidR="00FE1665" w:rsidRPr="00DF6514" w:rsidRDefault="00FE1665" w:rsidP="00FE1665">
      <w:pPr>
        <w:autoSpaceDE w:val="0"/>
        <w:autoSpaceDN w:val="0"/>
        <w:adjustRightInd w:val="0"/>
        <w:spacing w:before="120" w:after="120"/>
        <w:jc w:val="both"/>
        <w:rPr>
          <w:rFonts w:eastAsiaTheme="minorHAnsi"/>
          <w:color w:val="333333"/>
          <w:sz w:val="22"/>
          <w:szCs w:val="22"/>
          <w:lang w:eastAsia="en-US"/>
        </w:rPr>
      </w:pPr>
      <w:r w:rsidRPr="00DF6514">
        <w:rPr>
          <w:rFonts w:eastAsiaTheme="minorHAnsi"/>
          <w:color w:val="333333"/>
          <w:sz w:val="22"/>
          <w:szCs w:val="22"/>
          <w:lang w:eastAsia="en-US"/>
        </w:rPr>
        <w:t>A su vez, el artículo 77.3 LPAC dispone que “</w:t>
      </w:r>
      <w:r w:rsidRPr="00DF6514">
        <w:rPr>
          <w:rFonts w:eastAsiaTheme="minorHAnsi"/>
          <w:i/>
          <w:color w:val="333333"/>
          <w:sz w:val="22"/>
          <w:szCs w:val="22"/>
          <w:lang w:eastAsia="en-US"/>
        </w:rPr>
        <w:t>el instructor sólo podrá rechazar las pruebas propuestas por los interesados cuando sean manifiestamente improcedentes o innecesarias, mediante resolución motivada</w:t>
      </w:r>
      <w:r w:rsidRPr="00DF6514">
        <w:rPr>
          <w:rFonts w:eastAsiaTheme="minorHAnsi"/>
          <w:color w:val="333333"/>
          <w:sz w:val="22"/>
          <w:szCs w:val="22"/>
          <w:lang w:eastAsia="en-US"/>
        </w:rPr>
        <w:t>”; precepto que conduce a estar a lo dispuesto en relación con los conceptos de pertinencia y utilidad de las pruebas, contenido en el artículo 283 de la Ley civil («</w:t>
      </w:r>
      <w:r w:rsidRPr="00DF6514">
        <w:rPr>
          <w:rFonts w:eastAsiaTheme="minorHAnsi"/>
          <w:i/>
          <w:color w:val="333333"/>
          <w:sz w:val="22"/>
          <w:szCs w:val="22"/>
          <w:lang w:eastAsia="en-US"/>
        </w:rPr>
        <w:t>Impertinencia o inutilidad de la actividad probatoria</w:t>
      </w:r>
      <w:r w:rsidRPr="00DF6514">
        <w:rPr>
          <w:rFonts w:eastAsiaTheme="minorHAnsi"/>
          <w:color w:val="333333"/>
          <w:sz w:val="22"/>
          <w:szCs w:val="22"/>
          <w:lang w:eastAsia="en-US"/>
        </w:rPr>
        <w:t>»), en el que se dispone que “</w:t>
      </w:r>
      <w:r w:rsidRPr="00DF6514">
        <w:rPr>
          <w:rFonts w:eastAsiaTheme="minorHAnsi"/>
          <w:i/>
          <w:color w:val="333333"/>
          <w:sz w:val="22"/>
          <w:szCs w:val="22"/>
          <w:lang w:eastAsia="en-US"/>
        </w:rPr>
        <w:t>no deberá admitirse ninguna prueba que, por no guardar relación con lo que sea objeto del proceso, haya de considerarse impertinente</w:t>
      </w:r>
      <w:r w:rsidRPr="00DF6514">
        <w:rPr>
          <w:rFonts w:eastAsiaTheme="minorHAnsi"/>
          <w:color w:val="333333"/>
          <w:sz w:val="22"/>
          <w:szCs w:val="22"/>
          <w:lang w:eastAsia="en-US"/>
        </w:rPr>
        <w:t>” (impertinencia de la prueba) y que “</w:t>
      </w:r>
      <w:r w:rsidRPr="00DF6514">
        <w:rPr>
          <w:rFonts w:eastAsiaTheme="minorHAnsi"/>
          <w:i/>
          <w:color w:val="333333"/>
          <w:sz w:val="22"/>
          <w:szCs w:val="22"/>
          <w:lang w:eastAsia="en-US"/>
        </w:rPr>
        <w:t>tampoco deben admitirse, por inútiles, aquellas pruebas que, según reglas y criterios razonables y seguros, en ningún caso puedan contribuir a esclarecer los hechos controvertidos</w:t>
      </w:r>
      <w:r w:rsidRPr="00DF6514">
        <w:rPr>
          <w:rFonts w:eastAsiaTheme="minorHAnsi"/>
          <w:color w:val="333333"/>
          <w:sz w:val="22"/>
          <w:szCs w:val="22"/>
          <w:lang w:eastAsia="en-US"/>
        </w:rPr>
        <w:t xml:space="preserve">” (inutilidad de la prueba). </w:t>
      </w:r>
    </w:p>
    <w:p w14:paraId="7FA13576" w14:textId="71A8DC80" w:rsidR="006F4BCE" w:rsidRPr="00CB6CAD" w:rsidRDefault="00FE1665" w:rsidP="006F4BCE">
      <w:pPr>
        <w:spacing w:before="120" w:after="120"/>
        <w:jc w:val="both"/>
        <w:rPr>
          <w:sz w:val="22"/>
        </w:rPr>
      </w:pPr>
      <w:r w:rsidRPr="00DF6514">
        <w:rPr>
          <w:rFonts w:eastAsiaTheme="minorHAnsi"/>
          <w:color w:val="333333"/>
          <w:sz w:val="22"/>
          <w:szCs w:val="22"/>
          <w:lang w:eastAsia="en-US"/>
        </w:rPr>
        <w:lastRenderedPageBreak/>
        <w:t xml:space="preserve">Pues bien, sobre la base de los preceptos señalados </w:t>
      </w:r>
      <w:r>
        <w:rPr>
          <w:rFonts w:eastAsiaTheme="minorHAnsi"/>
          <w:color w:val="333333"/>
          <w:sz w:val="22"/>
          <w:szCs w:val="22"/>
          <w:lang w:eastAsia="en-US"/>
        </w:rPr>
        <w:t>se concluye</w:t>
      </w:r>
      <w:r w:rsidRPr="00DF6514">
        <w:rPr>
          <w:rFonts w:eastAsiaTheme="minorHAnsi"/>
          <w:color w:val="333333"/>
          <w:sz w:val="22"/>
          <w:szCs w:val="22"/>
          <w:lang w:eastAsia="en-US"/>
        </w:rPr>
        <w:t xml:space="preserve"> </w:t>
      </w:r>
      <w:r>
        <w:rPr>
          <w:rFonts w:eastAsiaTheme="minorHAnsi"/>
          <w:color w:val="333333"/>
          <w:sz w:val="22"/>
          <w:szCs w:val="22"/>
          <w:lang w:eastAsia="en-US"/>
        </w:rPr>
        <w:t xml:space="preserve">la </w:t>
      </w:r>
      <w:proofErr w:type="spellStart"/>
      <w:r>
        <w:rPr>
          <w:rFonts w:eastAsiaTheme="minorHAnsi"/>
          <w:color w:val="333333"/>
          <w:sz w:val="22"/>
          <w:szCs w:val="22"/>
          <w:lang w:eastAsia="en-US"/>
        </w:rPr>
        <w:t>innecesariedad</w:t>
      </w:r>
      <w:proofErr w:type="spellEnd"/>
      <w:r>
        <w:rPr>
          <w:rFonts w:eastAsiaTheme="minorHAnsi"/>
          <w:color w:val="333333"/>
          <w:sz w:val="22"/>
          <w:szCs w:val="22"/>
          <w:lang w:eastAsia="en-US"/>
        </w:rPr>
        <w:t xml:space="preserve"> de</w:t>
      </w:r>
      <w:r w:rsidRPr="00DF6514">
        <w:rPr>
          <w:rFonts w:eastAsiaTheme="minorHAnsi"/>
          <w:color w:val="333333"/>
          <w:sz w:val="22"/>
          <w:szCs w:val="22"/>
          <w:lang w:eastAsia="en-US"/>
        </w:rPr>
        <w:t xml:space="preserve"> </w:t>
      </w:r>
      <w:r w:rsidR="00A511C2">
        <w:rPr>
          <w:rFonts w:eastAsiaTheme="minorHAnsi"/>
          <w:color w:val="333333"/>
          <w:sz w:val="22"/>
          <w:szCs w:val="22"/>
          <w:lang w:eastAsia="en-US"/>
        </w:rPr>
        <w:t xml:space="preserve">acordar la </w:t>
      </w:r>
      <w:r w:rsidR="00E12190">
        <w:rPr>
          <w:rFonts w:eastAsiaTheme="minorHAnsi"/>
          <w:color w:val="333333"/>
          <w:sz w:val="22"/>
          <w:szCs w:val="22"/>
          <w:lang w:eastAsia="en-US"/>
        </w:rPr>
        <w:t>práctica</w:t>
      </w:r>
      <w:r w:rsidR="00A511C2">
        <w:rPr>
          <w:rFonts w:eastAsiaTheme="minorHAnsi"/>
          <w:color w:val="333333"/>
          <w:sz w:val="22"/>
          <w:szCs w:val="22"/>
          <w:lang w:eastAsia="en-US"/>
        </w:rPr>
        <w:t xml:space="preserve"> de </w:t>
      </w:r>
      <w:r w:rsidRPr="00DF6514">
        <w:rPr>
          <w:rFonts w:eastAsiaTheme="minorHAnsi"/>
          <w:color w:val="333333"/>
          <w:sz w:val="22"/>
          <w:szCs w:val="22"/>
          <w:lang w:eastAsia="en-US"/>
        </w:rPr>
        <w:t xml:space="preserve">la prueba documental </w:t>
      </w:r>
      <w:r w:rsidR="00B026A1">
        <w:rPr>
          <w:rFonts w:eastAsiaTheme="minorHAnsi"/>
          <w:color w:val="333333"/>
          <w:sz w:val="22"/>
          <w:szCs w:val="22"/>
          <w:lang w:eastAsia="en-US"/>
        </w:rPr>
        <w:t xml:space="preserve">propuesta </w:t>
      </w:r>
      <w:r w:rsidR="00A511C2">
        <w:rPr>
          <w:rFonts w:eastAsiaTheme="minorHAnsi"/>
          <w:color w:val="333333"/>
          <w:sz w:val="22"/>
          <w:szCs w:val="22"/>
          <w:lang w:eastAsia="en-US"/>
        </w:rPr>
        <w:t xml:space="preserve">por cuanto la misma </w:t>
      </w:r>
      <w:r w:rsidR="009842B0" w:rsidRPr="00CB6CAD">
        <w:rPr>
          <w:sz w:val="22"/>
        </w:rPr>
        <w:t xml:space="preserve">no requiere actuación probatoria adicional distinta del examen y valoración de la documentación </w:t>
      </w:r>
      <w:r w:rsidR="00C824A5">
        <w:rPr>
          <w:sz w:val="22"/>
        </w:rPr>
        <w:t>del</w:t>
      </w:r>
      <w:r w:rsidR="009842B0" w:rsidRPr="00CB6CAD">
        <w:rPr>
          <w:sz w:val="22"/>
        </w:rPr>
        <w:t xml:space="preserve"> expediente</w:t>
      </w:r>
      <w:r w:rsidR="00E12190">
        <w:rPr>
          <w:sz w:val="22"/>
        </w:rPr>
        <w:t xml:space="preserve"> </w:t>
      </w:r>
      <w:r w:rsidR="00C86644">
        <w:rPr>
          <w:sz w:val="22"/>
        </w:rPr>
        <w:t>que incorpora la aportada por la recurrente en su escrito de recurso especial</w:t>
      </w:r>
      <w:r w:rsidR="005A63E4">
        <w:rPr>
          <w:sz w:val="22"/>
        </w:rPr>
        <w:t>, esto es, distinta de la</w:t>
      </w:r>
      <w:r w:rsidR="00A511C2" w:rsidRPr="00CF031D">
        <w:rPr>
          <w:sz w:val="22"/>
        </w:rPr>
        <w:t xml:space="preserve"> valoración jurídica </w:t>
      </w:r>
      <w:r w:rsidR="005A63E4">
        <w:rPr>
          <w:sz w:val="22"/>
        </w:rPr>
        <w:t>y</w:t>
      </w:r>
      <w:r w:rsidR="00A511C2" w:rsidRPr="00CF031D">
        <w:rPr>
          <w:sz w:val="22"/>
        </w:rPr>
        <w:t xml:space="preserve"> eficacia probatoria que corresponda atribuir a l</w:t>
      </w:r>
      <w:r w:rsidR="00B026A1">
        <w:rPr>
          <w:sz w:val="22"/>
        </w:rPr>
        <w:t>a</w:t>
      </w:r>
      <w:r w:rsidR="00A511C2" w:rsidRPr="00CF031D">
        <w:rPr>
          <w:sz w:val="22"/>
        </w:rPr>
        <w:t xml:space="preserve"> document</w:t>
      </w:r>
      <w:r w:rsidR="00C86644">
        <w:rPr>
          <w:sz w:val="22"/>
        </w:rPr>
        <w:t xml:space="preserve">ación </w:t>
      </w:r>
      <w:r w:rsidR="00C824A5">
        <w:rPr>
          <w:sz w:val="22"/>
        </w:rPr>
        <w:t>del</w:t>
      </w:r>
      <w:r w:rsidR="00E12190" w:rsidRPr="00CF031D">
        <w:rPr>
          <w:sz w:val="22"/>
        </w:rPr>
        <w:t xml:space="preserve"> expediente de contratación</w:t>
      </w:r>
      <w:r w:rsidR="00C824A5">
        <w:rPr>
          <w:sz w:val="22"/>
        </w:rPr>
        <w:t>, que serán decididas en la resolución del recurso especial</w:t>
      </w:r>
      <w:r w:rsidR="006F4BCE">
        <w:rPr>
          <w:sz w:val="22"/>
        </w:rPr>
        <w:t>, en particular</w:t>
      </w:r>
      <w:r w:rsidR="00A511C2" w:rsidRPr="00CF031D">
        <w:rPr>
          <w:sz w:val="22"/>
        </w:rPr>
        <w:t>,</w:t>
      </w:r>
      <w:r w:rsidR="006F4BCE" w:rsidRPr="00CB6CAD">
        <w:rPr>
          <w:sz w:val="22"/>
        </w:rPr>
        <w:t xml:space="preserve"> respecto del criterio de valoración controvertido relativo al certificado ENS.</w:t>
      </w:r>
    </w:p>
    <w:p w14:paraId="2B9FD990" w14:textId="0D973898" w:rsidR="00E4645B" w:rsidRDefault="00E4645B" w:rsidP="00E4645B">
      <w:pPr>
        <w:autoSpaceDE w:val="0"/>
        <w:autoSpaceDN w:val="0"/>
        <w:adjustRightInd w:val="0"/>
        <w:spacing w:before="120" w:after="120"/>
        <w:jc w:val="both"/>
        <w:rPr>
          <w:sz w:val="22"/>
        </w:rPr>
      </w:pPr>
      <w:r w:rsidRPr="00E4645B">
        <w:rPr>
          <w:b/>
          <w:bCs/>
          <w:sz w:val="22"/>
        </w:rPr>
        <w:t>TERCERO,</w:t>
      </w:r>
      <w:r>
        <w:rPr>
          <w:sz w:val="22"/>
        </w:rPr>
        <w:t xml:space="preserve"> En cuanto a la petición de la adjudicataria, no</w:t>
      </w:r>
      <w:r w:rsidRPr="00E4645B">
        <w:rPr>
          <w:sz w:val="22"/>
        </w:rPr>
        <w:t xml:space="preserve"> procede facilitar copia íntegra de la documentación solicitada, por cuanto la misma ya obra incorporada al expediente de contratación y está sujeta a los límites de acceso derivados del artículo 133 de la LCSP, al tener uno de los documentos </w:t>
      </w:r>
      <w:r>
        <w:rPr>
          <w:sz w:val="22"/>
        </w:rPr>
        <w:t xml:space="preserve">(NFR-01) </w:t>
      </w:r>
      <w:r w:rsidRPr="00E4645B">
        <w:rPr>
          <w:sz w:val="22"/>
        </w:rPr>
        <w:t xml:space="preserve">carácter confidencial y </w:t>
      </w:r>
      <w:r>
        <w:rPr>
          <w:sz w:val="22"/>
        </w:rPr>
        <w:t xml:space="preserve">el </w:t>
      </w:r>
      <w:r w:rsidRPr="00E4645B">
        <w:rPr>
          <w:sz w:val="22"/>
        </w:rPr>
        <w:t xml:space="preserve">otro </w:t>
      </w:r>
      <w:r>
        <w:rPr>
          <w:sz w:val="22"/>
        </w:rPr>
        <w:t xml:space="preserve">(MS-01) </w:t>
      </w:r>
      <w:r w:rsidRPr="00E4645B">
        <w:rPr>
          <w:sz w:val="22"/>
        </w:rPr>
        <w:t>naturaleza</w:t>
      </w:r>
      <w:r>
        <w:rPr>
          <w:sz w:val="22"/>
        </w:rPr>
        <w:t xml:space="preserve"> </w:t>
      </w:r>
      <w:r w:rsidRPr="00E4645B">
        <w:rPr>
          <w:sz w:val="22"/>
        </w:rPr>
        <w:t xml:space="preserve">interna. </w:t>
      </w:r>
    </w:p>
    <w:p w14:paraId="162D574A" w14:textId="3602FC8F" w:rsidR="00E4645B" w:rsidRPr="00E4645B" w:rsidRDefault="00E4645B" w:rsidP="00E4645B">
      <w:pPr>
        <w:autoSpaceDE w:val="0"/>
        <w:autoSpaceDN w:val="0"/>
        <w:adjustRightInd w:val="0"/>
        <w:spacing w:before="120" w:after="120"/>
        <w:jc w:val="both"/>
        <w:rPr>
          <w:sz w:val="22"/>
        </w:rPr>
      </w:pPr>
      <w:r w:rsidRPr="00E4645B">
        <w:rPr>
          <w:sz w:val="22"/>
        </w:rPr>
        <w:t>No obstante, en garantía de los principios de contradicción y defensa, si para la resolución del recurso resultara necesario tomar en consideración extremos contenidos en dicha documentación respecto de los cuales la adjudicataria deba formular alegaciones, se facilitará el acceso a la información relevante en la medida estrictamente necesaria y con respeto a los límites de confidencialidad legalmente establecidos.</w:t>
      </w:r>
    </w:p>
    <w:p w14:paraId="4251DC55" w14:textId="789AF54E" w:rsidR="00FE1665" w:rsidRPr="00DF6514" w:rsidRDefault="005E1F09" w:rsidP="00FE1665">
      <w:pPr>
        <w:autoSpaceDE w:val="0"/>
        <w:autoSpaceDN w:val="0"/>
        <w:adjustRightInd w:val="0"/>
        <w:spacing w:before="120" w:after="120"/>
        <w:jc w:val="both"/>
        <w:rPr>
          <w:rFonts w:eastAsiaTheme="minorHAnsi"/>
          <w:color w:val="333333"/>
          <w:sz w:val="22"/>
          <w:szCs w:val="22"/>
          <w:lang w:eastAsia="en-US"/>
        </w:rPr>
      </w:pPr>
      <w:r>
        <w:rPr>
          <w:sz w:val="22"/>
        </w:rPr>
        <w:t>Por lo</w:t>
      </w:r>
      <w:r w:rsidR="00FE1665">
        <w:rPr>
          <w:sz w:val="22"/>
        </w:rPr>
        <w:t xml:space="preserve"> anteriormente expuesto</w:t>
      </w:r>
      <w:r w:rsidR="00FE1665" w:rsidRPr="00DF6514">
        <w:rPr>
          <w:rFonts w:eastAsiaTheme="minorHAnsi"/>
          <w:color w:val="333333"/>
          <w:sz w:val="22"/>
          <w:szCs w:val="22"/>
          <w:lang w:eastAsia="en-US"/>
        </w:rPr>
        <w:t xml:space="preserve">, y de conformidad con los preceptos legales invocados y demás que resultan de aplicación, este Órgano Administrativo Foral de Recursos Contractuales emite la siguiente </w:t>
      </w:r>
    </w:p>
    <w:p w14:paraId="651EE1E0" w14:textId="77777777" w:rsidR="00FE1665" w:rsidRPr="00DF6514" w:rsidRDefault="00FE1665" w:rsidP="00FE1665">
      <w:pPr>
        <w:autoSpaceDE w:val="0"/>
        <w:autoSpaceDN w:val="0"/>
        <w:adjustRightInd w:val="0"/>
        <w:spacing w:before="120" w:after="120"/>
        <w:jc w:val="center"/>
        <w:rPr>
          <w:rFonts w:eastAsiaTheme="minorHAnsi"/>
          <w:b/>
          <w:color w:val="333333"/>
          <w:sz w:val="22"/>
          <w:szCs w:val="22"/>
          <w:lang w:eastAsia="en-US"/>
        </w:rPr>
      </w:pPr>
      <w:r w:rsidRPr="00DF6514">
        <w:rPr>
          <w:rFonts w:eastAsiaTheme="minorHAnsi"/>
          <w:b/>
          <w:color w:val="333333"/>
          <w:sz w:val="22"/>
          <w:szCs w:val="22"/>
          <w:lang w:eastAsia="en-US"/>
        </w:rPr>
        <w:t xml:space="preserve">RESOLUCIÓN </w:t>
      </w:r>
    </w:p>
    <w:p w14:paraId="6CCC462F" w14:textId="77777777" w:rsidR="00FE1665" w:rsidRPr="00DF6514" w:rsidRDefault="00FE1665" w:rsidP="00FE1665">
      <w:pPr>
        <w:autoSpaceDE w:val="0"/>
        <w:autoSpaceDN w:val="0"/>
        <w:adjustRightInd w:val="0"/>
        <w:spacing w:before="120" w:after="120"/>
        <w:jc w:val="both"/>
        <w:rPr>
          <w:rFonts w:eastAsiaTheme="minorHAnsi"/>
          <w:color w:val="333333"/>
          <w:sz w:val="22"/>
          <w:szCs w:val="22"/>
          <w:lang w:eastAsia="en-US"/>
        </w:rPr>
      </w:pPr>
    </w:p>
    <w:p w14:paraId="2FD8287E" w14:textId="50480E90" w:rsidR="00A511C2" w:rsidRDefault="00D909E0" w:rsidP="00FE1665">
      <w:pPr>
        <w:autoSpaceDE w:val="0"/>
        <w:autoSpaceDN w:val="0"/>
        <w:adjustRightInd w:val="0"/>
        <w:spacing w:before="120" w:after="120"/>
        <w:jc w:val="both"/>
        <w:rPr>
          <w:rFonts w:eastAsiaTheme="minorHAnsi"/>
          <w:color w:val="333333"/>
          <w:sz w:val="22"/>
          <w:szCs w:val="22"/>
          <w:lang w:eastAsia="en-US"/>
        </w:rPr>
      </w:pPr>
      <w:proofErr w:type="spellStart"/>
      <w:r>
        <w:rPr>
          <w:rFonts w:eastAsiaTheme="minorHAnsi"/>
          <w:b/>
          <w:color w:val="333333"/>
          <w:sz w:val="22"/>
          <w:szCs w:val="22"/>
          <w:lang w:eastAsia="en-US"/>
        </w:rPr>
        <w:t>Unico</w:t>
      </w:r>
      <w:proofErr w:type="spellEnd"/>
      <w:r w:rsidR="00FE1665" w:rsidRPr="00DF6514">
        <w:rPr>
          <w:rFonts w:eastAsiaTheme="minorHAnsi"/>
          <w:b/>
          <w:color w:val="333333"/>
          <w:sz w:val="22"/>
          <w:szCs w:val="22"/>
          <w:lang w:eastAsia="en-US"/>
        </w:rPr>
        <w:t>.</w:t>
      </w:r>
      <w:r w:rsidR="00FE1665" w:rsidRPr="00DF6514">
        <w:rPr>
          <w:rFonts w:eastAsiaTheme="minorHAnsi"/>
          <w:color w:val="333333"/>
          <w:sz w:val="22"/>
          <w:szCs w:val="22"/>
          <w:lang w:eastAsia="en-US"/>
        </w:rPr>
        <w:t xml:space="preserve"> </w:t>
      </w:r>
      <w:r w:rsidR="00FE1665">
        <w:rPr>
          <w:rFonts w:eastAsiaTheme="minorHAnsi"/>
          <w:color w:val="333333"/>
          <w:sz w:val="22"/>
          <w:szCs w:val="22"/>
          <w:lang w:eastAsia="en-US"/>
        </w:rPr>
        <w:t>Inad</w:t>
      </w:r>
      <w:r w:rsidR="00FE1665" w:rsidRPr="00DF6514">
        <w:rPr>
          <w:rFonts w:eastAsiaTheme="minorHAnsi"/>
          <w:color w:val="333333"/>
          <w:sz w:val="22"/>
          <w:szCs w:val="22"/>
          <w:lang w:eastAsia="en-US"/>
        </w:rPr>
        <w:t>mitir</w:t>
      </w:r>
      <w:r w:rsidR="00FE1665">
        <w:rPr>
          <w:rFonts w:eastAsiaTheme="minorHAnsi"/>
          <w:color w:val="333333"/>
          <w:sz w:val="22"/>
          <w:szCs w:val="22"/>
          <w:lang w:eastAsia="en-US"/>
        </w:rPr>
        <w:t xml:space="preserve">, por su </w:t>
      </w:r>
      <w:proofErr w:type="spellStart"/>
      <w:r w:rsidR="00FE1665">
        <w:rPr>
          <w:rFonts w:eastAsiaTheme="minorHAnsi"/>
          <w:color w:val="333333"/>
          <w:sz w:val="22"/>
          <w:szCs w:val="22"/>
          <w:lang w:eastAsia="en-US"/>
        </w:rPr>
        <w:t>innecesariedad</w:t>
      </w:r>
      <w:proofErr w:type="spellEnd"/>
      <w:r w:rsidR="00FE1665">
        <w:rPr>
          <w:rFonts w:eastAsiaTheme="minorHAnsi"/>
          <w:color w:val="333333"/>
          <w:sz w:val="22"/>
          <w:szCs w:val="22"/>
          <w:lang w:eastAsia="en-US"/>
        </w:rPr>
        <w:t>,</w:t>
      </w:r>
      <w:r w:rsidR="00FE1665" w:rsidRPr="00DF6514">
        <w:rPr>
          <w:rFonts w:eastAsiaTheme="minorHAnsi"/>
          <w:color w:val="333333"/>
          <w:sz w:val="22"/>
          <w:szCs w:val="22"/>
          <w:lang w:eastAsia="en-US"/>
        </w:rPr>
        <w:t xml:space="preserve"> la </w:t>
      </w:r>
      <w:r w:rsidR="00A511C2">
        <w:rPr>
          <w:rFonts w:eastAsiaTheme="minorHAnsi"/>
          <w:color w:val="333333"/>
          <w:sz w:val="22"/>
          <w:szCs w:val="22"/>
          <w:lang w:eastAsia="en-US"/>
        </w:rPr>
        <w:t xml:space="preserve">práctica de la prueba </w:t>
      </w:r>
      <w:r w:rsidR="00FE1665" w:rsidRPr="00DF6514">
        <w:rPr>
          <w:rFonts w:eastAsiaTheme="minorHAnsi"/>
          <w:color w:val="333333"/>
          <w:sz w:val="22"/>
          <w:szCs w:val="22"/>
          <w:lang w:eastAsia="en-US"/>
        </w:rPr>
        <w:t xml:space="preserve">DOCUMENTAL </w:t>
      </w:r>
      <w:r w:rsidR="00A511C2">
        <w:rPr>
          <w:rFonts w:eastAsiaTheme="minorHAnsi"/>
          <w:color w:val="333333"/>
          <w:sz w:val="22"/>
          <w:szCs w:val="22"/>
          <w:lang w:eastAsia="en-US"/>
        </w:rPr>
        <w:t xml:space="preserve">solicitada </w:t>
      </w:r>
      <w:r w:rsidR="00FE1665" w:rsidRPr="00DF6514">
        <w:rPr>
          <w:rFonts w:eastAsiaTheme="minorHAnsi"/>
          <w:color w:val="333333"/>
          <w:sz w:val="22"/>
          <w:szCs w:val="22"/>
          <w:lang w:eastAsia="en-US"/>
        </w:rPr>
        <w:t xml:space="preserve">por </w:t>
      </w:r>
      <w:r w:rsidR="00FE1665">
        <w:rPr>
          <w:rFonts w:eastAsiaTheme="minorHAnsi"/>
          <w:color w:val="333333"/>
          <w:sz w:val="22"/>
          <w:szCs w:val="22"/>
          <w:lang w:eastAsia="en-US"/>
        </w:rPr>
        <w:t>la recurrente</w:t>
      </w:r>
      <w:r w:rsidR="00FE1665" w:rsidRPr="00DF6514">
        <w:rPr>
          <w:rFonts w:eastAsiaTheme="minorHAnsi"/>
          <w:color w:val="333333"/>
          <w:sz w:val="22"/>
          <w:szCs w:val="22"/>
          <w:lang w:eastAsia="en-US"/>
        </w:rPr>
        <w:t xml:space="preserve"> consistente en </w:t>
      </w:r>
      <w:r w:rsidR="00A511C2">
        <w:rPr>
          <w:rFonts w:eastAsiaTheme="minorHAnsi"/>
          <w:color w:val="333333"/>
          <w:sz w:val="22"/>
          <w:szCs w:val="22"/>
          <w:lang w:eastAsia="en-US"/>
        </w:rPr>
        <w:t>la documentación obrante en el expediente de contratación y la aportada con el recurso especial.</w:t>
      </w:r>
    </w:p>
    <w:bookmarkEnd w:id="0"/>
    <w:p w14:paraId="3A5F2708" w14:textId="77777777" w:rsidR="00D72200" w:rsidRPr="009732E6" w:rsidRDefault="00D72200" w:rsidP="00D72200">
      <w:pPr>
        <w:spacing w:after="120"/>
        <w:jc w:val="both"/>
        <w:rPr>
          <w:sz w:val="22"/>
          <w:szCs w:val="22"/>
        </w:rPr>
      </w:pPr>
      <w:r w:rsidRPr="009732E6">
        <w:rPr>
          <w:sz w:val="22"/>
          <w:szCs w:val="22"/>
        </w:rPr>
        <w:t>Contra la presente resolución no cabe recurso alguno, sin perjuicio del que proceda contra la resolución que se dicte en el procedimiento principal del recurso.</w:t>
      </w:r>
    </w:p>
    <w:p w14:paraId="4758E4F1" w14:textId="77777777" w:rsidR="006F4BCE" w:rsidRDefault="006F4BCE" w:rsidP="00FE1665">
      <w:pPr>
        <w:jc w:val="both"/>
        <w:rPr>
          <w:sz w:val="22"/>
          <w:szCs w:val="22"/>
        </w:rPr>
      </w:pPr>
    </w:p>
    <w:p w14:paraId="54B53744" w14:textId="77777777" w:rsidR="00E4645B" w:rsidRDefault="00E4645B" w:rsidP="00FE1665">
      <w:pPr>
        <w:jc w:val="both"/>
        <w:rPr>
          <w:sz w:val="22"/>
          <w:szCs w:val="22"/>
        </w:rPr>
      </w:pPr>
    </w:p>
    <w:p w14:paraId="6A7967D2" w14:textId="77777777" w:rsidR="00FE1665" w:rsidRDefault="00FE1665" w:rsidP="00FE1665">
      <w:pPr>
        <w:jc w:val="both"/>
        <w:rPr>
          <w:sz w:val="22"/>
          <w:szCs w:val="22"/>
        </w:rPr>
      </w:pPr>
    </w:p>
    <w:p w14:paraId="0BD6381B" w14:textId="1264B607" w:rsidR="00FE1665" w:rsidRPr="00AE1284" w:rsidRDefault="00FE1665" w:rsidP="00FE1665">
      <w:pPr>
        <w:tabs>
          <w:tab w:val="left" w:pos="851"/>
        </w:tabs>
        <w:spacing w:after="480"/>
        <w:jc w:val="both"/>
        <w:rPr>
          <w:sz w:val="22"/>
          <w:szCs w:val="22"/>
        </w:rPr>
      </w:pPr>
    </w:p>
    <w:sectPr w:rsidR="00FE1665" w:rsidRPr="00AE1284">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47A9D" w14:textId="77777777" w:rsidR="004E67EB" w:rsidRDefault="004E67EB" w:rsidP="00D72200">
      <w:r>
        <w:separator/>
      </w:r>
    </w:p>
  </w:endnote>
  <w:endnote w:type="continuationSeparator" w:id="0">
    <w:p w14:paraId="75D174AD" w14:textId="77777777" w:rsidR="004E67EB" w:rsidRDefault="004E67EB" w:rsidP="00D72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4B0B7" w14:textId="77777777" w:rsidR="004E67EB" w:rsidRDefault="004E67EB" w:rsidP="00D72200">
      <w:r>
        <w:separator/>
      </w:r>
    </w:p>
  </w:footnote>
  <w:footnote w:type="continuationSeparator" w:id="0">
    <w:p w14:paraId="1298A6AC" w14:textId="77777777" w:rsidR="004E67EB" w:rsidRDefault="004E67EB" w:rsidP="00D72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890"/>
      <w:gridCol w:w="4961"/>
    </w:tblGrid>
    <w:tr w:rsidR="00D72200" w:rsidRPr="00814F6B" w14:paraId="0FACCD73" w14:textId="77777777" w:rsidTr="00BE2F9A">
      <w:tc>
        <w:tcPr>
          <w:tcW w:w="4890" w:type="dxa"/>
        </w:tcPr>
        <w:p w14:paraId="0DF68070" w14:textId="77777777" w:rsidR="00D72200" w:rsidRPr="00814F6B" w:rsidRDefault="00D72200" w:rsidP="00D72200">
          <w:pPr>
            <w:tabs>
              <w:tab w:val="center" w:pos="4819"/>
              <w:tab w:val="right" w:pos="9071"/>
            </w:tabs>
            <w:spacing w:after="720"/>
            <w:ind w:left="74" w:right="360"/>
            <w:rPr>
              <w:rFonts w:ascii="Arial" w:hAnsi="Arial"/>
              <w:noProof/>
              <w:sz w:val="16"/>
              <w:lang w:val="es-ES_tradnl"/>
            </w:rPr>
          </w:pPr>
          <w:r w:rsidRPr="00814F6B">
            <w:rPr>
              <w:rFonts w:ascii="Arial" w:hAnsi="Arial"/>
              <w:noProof/>
            </w:rPr>
            <w:drawing>
              <wp:inline distT="0" distB="0" distL="0" distR="0" wp14:anchorId="3B90361F" wp14:editId="26791E00">
                <wp:extent cx="2076450" cy="704850"/>
                <wp:effectExtent l="0" t="0" r="0" b="0"/>
                <wp:docPr id="1016870855" name="Imagen 1016870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704850"/>
                        </a:xfrm>
                        <a:prstGeom prst="rect">
                          <a:avLst/>
                        </a:prstGeom>
                        <a:noFill/>
                        <a:ln>
                          <a:noFill/>
                        </a:ln>
                      </pic:spPr>
                    </pic:pic>
                  </a:graphicData>
                </a:graphic>
              </wp:inline>
            </w:drawing>
          </w:r>
        </w:p>
        <w:p w14:paraId="44A9F352" w14:textId="77777777" w:rsidR="00D72200" w:rsidRPr="00814F6B" w:rsidRDefault="00D72200" w:rsidP="00D72200">
          <w:pPr>
            <w:tabs>
              <w:tab w:val="center" w:pos="4819"/>
              <w:tab w:val="right" w:pos="9071"/>
            </w:tabs>
            <w:ind w:left="1064"/>
            <w:rPr>
              <w:rFonts w:ascii="Arial" w:hAnsi="Arial"/>
              <w:noProof/>
              <w:sz w:val="16"/>
              <w:lang w:val="es-ES_tradnl"/>
            </w:rPr>
          </w:pPr>
        </w:p>
      </w:tc>
      <w:tc>
        <w:tcPr>
          <w:tcW w:w="4961" w:type="dxa"/>
        </w:tcPr>
        <w:p w14:paraId="46E87831" w14:textId="77777777" w:rsidR="00D72200" w:rsidRPr="00814F6B" w:rsidRDefault="00D72200" w:rsidP="00D72200">
          <w:pPr>
            <w:tabs>
              <w:tab w:val="center" w:pos="4819"/>
              <w:tab w:val="right" w:pos="9071"/>
            </w:tabs>
            <w:spacing w:after="40" w:line="240" w:lineRule="exact"/>
            <w:ind w:left="-68"/>
            <w:rPr>
              <w:rFonts w:ascii="Arial" w:hAnsi="Arial"/>
              <w:b/>
              <w:noProof/>
              <w:sz w:val="18"/>
              <w:lang w:val="es-ES_tradnl"/>
            </w:rPr>
          </w:pPr>
        </w:p>
        <w:p w14:paraId="5F57BCC0" w14:textId="77777777" w:rsidR="00D72200" w:rsidRPr="00814F6B" w:rsidRDefault="00D72200" w:rsidP="00D72200">
          <w:pPr>
            <w:tabs>
              <w:tab w:val="center" w:pos="4819"/>
              <w:tab w:val="right" w:pos="9071"/>
            </w:tabs>
            <w:spacing w:after="60" w:line="190" w:lineRule="exact"/>
            <w:ind w:left="-70"/>
            <w:rPr>
              <w:rFonts w:ascii="Arial" w:hAnsi="Arial"/>
              <w:noProof/>
              <w:sz w:val="18"/>
              <w:lang w:val="es-ES_tradnl"/>
            </w:rPr>
          </w:pPr>
          <w:r w:rsidRPr="00814F6B">
            <w:rPr>
              <w:rFonts w:ascii="Arial" w:hAnsi="Arial"/>
              <w:b/>
              <w:noProof/>
              <w:sz w:val="18"/>
              <w:lang w:val="es-ES_tradnl"/>
            </w:rPr>
            <w:t>Kontratu Errekurtsoen Foru Organo Administr</w:t>
          </w:r>
          <w:r>
            <w:rPr>
              <w:rFonts w:ascii="Arial" w:hAnsi="Arial"/>
              <w:b/>
              <w:noProof/>
              <w:sz w:val="18"/>
              <w:lang w:val="es-ES_tradnl"/>
            </w:rPr>
            <w:t>ati</w:t>
          </w:r>
          <w:r w:rsidRPr="00814F6B">
            <w:rPr>
              <w:rFonts w:ascii="Arial" w:hAnsi="Arial"/>
              <w:b/>
              <w:noProof/>
              <w:sz w:val="18"/>
              <w:lang w:val="es-ES_tradnl"/>
            </w:rPr>
            <w:t>boa</w:t>
          </w:r>
        </w:p>
        <w:p w14:paraId="43F1007E" w14:textId="77777777" w:rsidR="00D72200" w:rsidRPr="00814F6B" w:rsidRDefault="00D72200" w:rsidP="00D72200">
          <w:pPr>
            <w:tabs>
              <w:tab w:val="center" w:pos="4819"/>
              <w:tab w:val="right" w:pos="9071"/>
            </w:tabs>
            <w:spacing w:after="60" w:line="190" w:lineRule="exact"/>
            <w:ind w:left="-70"/>
            <w:rPr>
              <w:rFonts w:ascii="Arial" w:hAnsi="Arial"/>
              <w:b/>
              <w:noProof/>
              <w:sz w:val="18"/>
              <w:lang w:val="es-ES_tradnl"/>
            </w:rPr>
          </w:pPr>
          <w:r w:rsidRPr="00814F6B">
            <w:rPr>
              <w:rFonts w:ascii="Arial" w:hAnsi="Arial"/>
              <w:b/>
              <w:noProof/>
              <w:sz w:val="18"/>
              <w:lang w:val="es-ES_tradnl"/>
            </w:rPr>
            <w:t>Órgano Administrativo Foral de Recursos Contractuales</w:t>
          </w:r>
        </w:p>
      </w:tc>
    </w:tr>
  </w:tbl>
  <w:p w14:paraId="735268ED" w14:textId="77777777" w:rsidR="00D72200" w:rsidRDefault="00D72200" w:rsidP="00D72200">
    <w:pPr>
      <w:pStyle w:val="Encabezado"/>
      <w:rPr>
        <w:lang w:val="es-ES_tradnl"/>
      </w:rPr>
    </w:pPr>
  </w:p>
  <w:p w14:paraId="21220F4E" w14:textId="77777777" w:rsidR="00D72200" w:rsidRPr="00D72200" w:rsidRDefault="00D72200">
    <w:pPr>
      <w:pStyle w:val="Encabezado"/>
      <w:rPr>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665"/>
    <w:rsid w:val="000D5CF5"/>
    <w:rsid w:val="00111119"/>
    <w:rsid w:val="0012149E"/>
    <w:rsid w:val="00121951"/>
    <w:rsid w:val="00177DBC"/>
    <w:rsid w:val="00267789"/>
    <w:rsid w:val="00274B80"/>
    <w:rsid w:val="00340B21"/>
    <w:rsid w:val="004C5076"/>
    <w:rsid w:val="004E67EB"/>
    <w:rsid w:val="005134F7"/>
    <w:rsid w:val="0055055A"/>
    <w:rsid w:val="00551172"/>
    <w:rsid w:val="005A63E4"/>
    <w:rsid w:val="005E1F09"/>
    <w:rsid w:val="006745E2"/>
    <w:rsid w:val="00677B8F"/>
    <w:rsid w:val="006F4BCE"/>
    <w:rsid w:val="00742206"/>
    <w:rsid w:val="007B5BC8"/>
    <w:rsid w:val="00874E2E"/>
    <w:rsid w:val="009842B0"/>
    <w:rsid w:val="009A426E"/>
    <w:rsid w:val="009C4D25"/>
    <w:rsid w:val="009F4109"/>
    <w:rsid w:val="00A511C2"/>
    <w:rsid w:val="00B026A1"/>
    <w:rsid w:val="00BE55C2"/>
    <w:rsid w:val="00C06F89"/>
    <w:rsid w:val="00C824A5"/>
    <w:rsid w:val="00C86644"/>
    <w:rsid w:val="00CE2AF5"/>
    <w:rsid w:val="00CF031D"/>
    <w:rsid w:val="00D72200"/>
    <w:rsid w:val="00D909E0"/>
    <w:rsid w:val="00DA173B"/>
    <w:rsid w:val="00DD1B82"/>
    <w:rsid w:val="00E12190"/>
    <w:rsid w:val="00E4645B"/>
    <w:rsid w:val="00F06838"/>
    <w:rsid w:val="00FE16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31740"/>
  <w15:chartTrackingRefBased/>
  <w15:docId w15:val="{EF7A05A8-3A94-411A-B15F-196836730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665"/>
    <w:pPr>
      <w:spacing w:after="0" w:line="240" w:lineRule="auto"/>
    </w:pPr>
    <w:rPr>
      <w:rFonts w:ascii="Times New Roman" w:eastAsia="Times New Roman" w:hAnsi="Times New Roman" w:cs="Times New Roman"/>
      <w:kern w:val="0"/>
      <w:sz w:val="20"/>
      <w:szCs w:val="20"/>
      <w:lang w:eastAsia="es-ES"/>
      <w14:ligatures w14:val="none"/>
    </w:rPr>
  </w:style>
  <w:style w:type="paragraph" w:styleId="Ttulo1">
    <w:name w:val="heading 1"/>
    <w:basedOn w:val="Normal"/>
    <w:next w:val="Normal"/>
    <w:link w:val="Ttulo1Car"/>
    <w:qFormat/>
    <w:rsid w:val="00FE166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FE166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FE166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FE166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Ttulo5">
    <w:name w:val="heading 5"/>
    <w:basedOn w:val="Normal"/>
    <w:next w:val="Normal"/>
    <w:link w:val="Ttulo5Car"/>
    <w:uiPriority w:val="9"/>
    <w:semiHidden/>
    <w:unhideWhenUsed/>
    <w:qFormat/>
    <w:rsid w:val="00FE166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Ttulo6">
    <w:name w:val="heading 6"/>
    <w:basedOn w:val="Normal"/>
    <w:next w:val="Normal"/>
    <w:link w:val="Ttulo6Car"/>
    <w:uiPriority w:val="9"/>
    <w:semiHidden/>
    <w:unhideWhenUsed/>
    <w:qFormat/>
    <w:rsid w:val="00FE166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tulo7">
    <w:name w:val="heading 7"/>
    <w:basedOn w:val="Normal"/>
    <w:next w:val="Normal"/>
    <w:link w:val="Ttulo7Car"/>
    <w:uiPriority w:val="9"/>
    <w:semiHidden/>
    <w:unhideWhenUsed/>
    <w:qFormat/>
    <w:rsid w:val="00FE166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tulo8">
    <w:name w:val="heading 8"/>
    <w:basedOn w:val="Normal"/>
    <w:next w:val="Normal"/>
    <w:link w:val="Ttulo8Car"/>
    <w:uiPriority w:val="9"/>
    <w:semiHidden/>
    <w:unhideWhenUsed/>
    <w:qFormat/>
    <w:rsid w:val="00FE166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tulo9">
    <w:name w:val="heading 9"/>
    <w:basedOn w:val="Normal"/>
    <w:next w:val="Normal"/>
    <w:link w:val="Ttulo9Car"/>
    <w:uiPriority w:val="9"/>
    <w:semiHidden/>
    <w:unhideWhenUsed/>
    <w:qFormat/>
    <w:rsid w:val="00FE166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E166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E166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E166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E166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E166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E166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E166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E166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E1665"/>
    <w:rPr>
      <w:rFonts w:eastAsiaTheme="majorEastAsia" w:cstheme="majorBidi"/>
      <w:color w:val="272727" w:themeColor="text1" w:themeTint="D8"/>
    </w:rPr>
  </w:style>
  <w:style w:type="paragraph" w:styleId="Ttulo">
    <w:name w:val="Title"/>
    <w:basedOn w:val="Normal"/>
    <w:next w:val="Normal"/>
    <w:link w:val="TtuloCar"/>
    <w:uiPriority w:val="10"/>
    <w:qFormat/>
    <w:rsid w:val="00FE166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FE166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E166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FE166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E166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Car">
    <w:name w:val="Cita Car"/>
    <w:basedOn w:val="Fuentedeprrafopredeter"/>
    <w:link w:val="Cita"/>
    <w:uiPriority w:val="29"/>
    <w:rsid w:val="00FE1665"/>
    <w:rPr>
      <w:i/>
      <w:iCs/>
      <w:color w:val="404040" w:themeColor="text1" w:themeTint="BF"/>
    </w:rPr>
  </w:style>
  <w:style w:type="paragraph" w:styleId="Prrafodelista">
    <w:name w:val="List Paragraph"/>
    <w:basedOn w:val="Normal"/>
    <w:uiPriority w:val="34"/>
    <w:qFormat/>
    <w:rsid w:val="00FE166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nfasisintenso">
    <w:name w:val="Intense Emphasis"/>
    <w:basedOn w:val="Fuentedeprrafopredeter"/>
    <w:uiPriority w:val="21"/>
    <w:qFormat/>
    <w:rsid w:val="00FE1665"/>
    <w:rPr>
      <w:i/>
      <w:iCs/>
      <w:color w:val="0F4761" w:themeColor="accent1" w:themeShade="BF"/>
    </w:rPr>
  </w:style>
  <w:style w:type="paragraph" w:styleId="Citadestacada">
    <w:name w:val="Intense Quote"/>
    <w:basedOn w:val="Normal"/>
    <w:next w:val="Normal"/>
    <w:link w:val="CitadestacadaCar"/>
    <w:uiPriority w:val="30"/>
    <w:qFormat/>
    <w:rsid w:val="00FE166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CitadestacadaCar">
    <w:name w:val="Cita destacada Car"/>
    <w:basedOn w:val="Fuentedeprrafopredeter"/>
    <w:link w:val="Citadestacada"/>
    <w:uiPriority w:val="30"/>
    <w:rsid w:val="00FE1665"/>
    <w:rPr>
      <w:i/>
      <w:iCs/>
      <w:color w:val="0F4761" w:themeColor="accent1" w:themeShade="BF"/>
    </w:rPr>
  </w:style>
  <w:style w:type="character" w:styleId="Referenciaintensa">
    <w:name w:val="Intense Reference"/>
    <w:basedOn w:val="Fuentedeprrafopredeter"/>
    <w:uiPriority w:val="32"/>
    <w:qFormat/>
    <w:rsid w:val="00FE1665"/>
    <w:rPr>
      <w:b/>
      <w:bCs/>
      <w:smallCaps/>
      <w:color w:val="0F4761" w:themeColor="accent1" w:themeShade="BF"/>
      <w:spacing w:val="5"/>
    </w:rPr>
  </w:style>
  <w:style w:type="paragraph" w:styleId="Piedepgina">
    <w:name w:val="footer"/>
    <w:basedOn w:val="Normal"/>
    <w:link w:val="PiedepginaCar"/>
    <w:uiPriority w:val="99"/>
    <w:unhideWhenUsed/>
    <w:rsid w:val="00FE1665"/>
    <w:pPr>
      <w:tabs>
        <w:tab w:val="center" w:pos="4252"/>
        <w:tab w:val="right" w:pos="8504"/>
      </w:tabs>
    </w:pPr>
  </w:style>
  <w:style w:type="character" w:customStyle="1" w:styleId="PiedepginaCar">
    <w:name w:val="Pie de página Car"/>
    <w:basedOn w:val="Fuentedeprrafopredeter"/>
    <w:link w:val="Piedepgina"/>
    <w:uiPriority w:val="99"/>
    <w:rsid w:val="00FE1665"/>
    <w:rPr>
      <w:rFonts w:ascii="Times New Roman" w:eastAsia="Times New Roman" w:hAnsi="Times New Roman" w:cs="Times New Roman"/>
      <w:kern w:val="0"/>
      <w:sz w:val="20"/>
      <w:szCs w:val="20"/>
      <w:lang w:eastAsia="es-ES"/>
      <w14:ligatures w14:val="none"/>
    </w:rPr>
  </w:style>
  <w:style w:type="paragraph" w:styleId="Textoindependiente">
    <w:name w:val="Body Text"/>
    <w:basedOn w:val="Normal"/>
    <w:link w:val="TextoindependienteCar"/>
    <w:semiHidden/>
    <w:unhideWhenUsed/>
    <w:rsid w:val="00FE1665"/>
    <w:pPr>
      <w:tabs>
        <w:tab w:val="left" w:pos="851"/>
      </w:tabs>
      <w:spacing w:after="120"/>
      <w:jc w:val="both"/>
    </w:pPr>
    <w:rPr>
      <w:rFonts w:ascii="Arial" w:hAnsi="Arial"/>
      <w:sz w:val="26"/>
      <w:lang w:val="es-ES_tradnl"/>
    </w:rPr>
  </w:style>
  <w:style w:type="character" w:customStyle="1" w:styleId="TextoindependienteCar">
    <w:name w:val="Texto independiente Car"/>
    <w:basedOn w:val="Fuentedeprrafopredeter"/>
    <w:link w:val="Textoindependiente"/>
    <w:semiHidden/>
    <w:rsid w:val="00FE1665"/>
    <w:rPr>
      <w:rFonts w:ascii="Arial" w:eastAsia="Times New Roman" w:hAnsi="Arial" w:cs="Times New Roman"/>
      <w:kern w:val="0"/>
      <w:sz w:val="26"/>
      <w:szCs w:val="20"/>
      <w:lang w:val="es-ES_tradnl" w:eastAsia="es-ES"/>
      <w14:ligatures w14:val="none"/>
    </w:rPr>
  </w:style>
  <w:style w:type="paragraph" w:styleId="Textoindependiente2">
    <w:name w:val="Body Text 2"/>
    <w:basedOn w:val="Normal"/>
    <w:link w:val="Textoindependiente2Car"/>
    <w:unhideWhenUsed/>
    <w:rsid w:val="00FE1665"/>
    <w:pPr>
      <w:jc w:val="both"/>
    </w:pPr>
    <w:rPr>
      <w:i/>
      <w:sz w:val="24"/>
    </w:rPr>
  </w:style>
  <w:style w:type="character" w:customStyle="1" w:styleId="Textoindependiente2Car">
    <w:name w:val="Texto independiente 2 Car"/>
    <w:basedOn w:val="Fuentedeprrafopredeter"/>
    <w:link w:val="Textoindependiente2"/>
    <w:rsid w:val="00FE1665"/>
    <w:rPr>
      <w:rFonts w:ascii="Times New Roman" w:eastAsia="Times New Roman" w:hAnsi="Times New Roman" w:cs="Times New Roman"/>
      <w:i/>
      <w:kern w:val="0"/>
      <w:sz w:val="24"/>
      <w:szCs w:val="20"/>
      <w:lang w:eastAsia="es-ES"/>
      <w14:ligatures w14:val="none"/>
    </w:rPr>
  </w:style>
  <w:style w:type="paragraph" w:customStyle="1" w:styleId="Estilo1">
    <w:name w:val="Estilo1"/>
    <w:basedOn w:val="Normal"/>
    <w:rsid w:val="00FE1665"/>
    <w:pPr>
      <w:tabs>
        <w:tab w:val="left" w:pos="1418"/>
      </w:tabs>
      <w:spacing w:after="120"/>
      <w:ind w:firstLine="709"/>
      <w:jc w:val="both"/>
    </w:pPr>
    <w:rPr>
      <w:sz w:val="24"/>
      <w:lang w:val="es-ES_tradnl"/>
    </w:rPr>
  </w:style>
  <w:style w:type="paragraph" w:styleId="Encabezado">
    <w:name w:val="header"/>
    <w:basedOn w:val="Normal"/>
    <w:link w:val="EncabezadoCar"/>
    <w:uiPriority w:val="99"/>
    <w:unhideWhenUsed/>
    <w:rsid w:val="00D72200"/>
    <w:pPr>
      <w:tabs>
        <w:tab w:val="center" w:pos="4252"/>
        <w:tab w:val="right" w:pos="8504"/>
      </w:tabs>
    </w:pPr>
  </w:style>
  <w:style w:type="character" w:customStyle="1" w:styleId="EncabezadoCar">
    <w:name w:val="Encabezado Car"/>
    <w:basedOn w:val="Fuentedeprrafopredeter"/>
    <w:link w:val="Encabezado"/>
    <w:uiPriority w:val="99"/>
    <w:rsid w:val="00D72200"/>
    <w:rPr>
      <w:rFonts w:ascii="Times New Roman" w:eastAsia="Times New Roman" w:hAnsi="Times New Roman" w:cs="Times New Roman"/>
      <w:kern w:val="0"/>
      <w:sz w:val="20"/>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1144</Words>
  <Characters>6293</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Arregui Lacuesta, Jon</dc:creator>
  <cp:keywords/>
  <dc:description/>
  <cp:lastModifiedBy>Achotegui Martinez de Arenaza, Fernando</cp:lastModifiedBy>
  <cp:revision>3</cp:revision>
  <cp:lastPrinted>2026-09-17T10:43:00Z</cp:lastPrinted>
  <dcterms:created xsi:type="dcterms:W3CDTF">2026-10-01T07:45:00Z</dcterms:created>
  <dcterms:modified xsi:type="dcterms:W3CDTF">2026-10-01T07:46:00Z</dcterms:modified>
</cp:coreProperties>
</file>