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5" w:type="dxa"/>
        <w:tblLayout w:type="fixed"/>
        <w:tblCellMar>
          <w:left w:w="0" w:type="dxa"/>
          <w:right w:w="0" w:type="dxa"/>
        </w:tblCellMar>
        <w:tblLook w:val="04A0" w:firstRow="1" w:lastRow="0" w:firstColumn="1" w:lastColumn="0" w:noHBand="0" w:noVBand="1"/>
      </w:tblPr>
      <w:tblGrid>
        <w:gridCol w:w="4376"/>
        <w:gridCol w:w="20"/>
        <w:gridCol w:w="4679"/>
      </w:tblGrid>
      <w:tr w:rsidR="00FC1570" w14:paraId="028853EC" w14:textId="77777777" w:rsidTr="004F1C65">
        <w:trPr>
          <w:trHeight w:val="2093"/>
        </w:trPr>
        <w:tc>
          <w:tcPr>
            <w:tcW w:w="4375" w:type="dxa"/>
            <w:hideMark/>
          </w:tcPr>
          <w:p w14:paraId="00980CA4" w14:textId="6B5723B4" w:rsidR="00FC1570" w:rsidRDefault="00FC1570" w:rsidP="004F1C65">
            <w:pPr>
              <w:pStyle w:val="Ttulo1"/>
              <w:spacing w:before="120" w:after="120" w:line="276" w:lineRule="auto"/>
              <w:jc w:val="both"/>
              <w:rPr>
                <w:rFonts w:ascii="Times New Roman" w:hAnsi="Times New Roman"/>
                <w:b w:val="0"/>
                <w:sz w:val="22"/>
                <w:u w:val="none"/>
                <w:lang w:eastAsia="en-US"/>
              </w:rPr>
            </w:pPr>
            <w:proofErr w:type="spellStart"/>
            <w:r>
              <w:rPr>
                <w:rFonts w:ascii="Times New Roman" w:hAnsi="Times New Roman"/>
                <w:sz w:val="22"/>
                <w:lang w:eastAsia="en-US"/>
              </w:rPr>
              <w:t>Erref</w:t>
            </w:r>
            <w:proofErr w:type="spellEnd"/>
            <w:r>
              <w:rPr>
                <w:rFonts w:ascii="Times New Roman" w:hAnsi="Times New Roman"/>
                <w:sz w:val="22"/>
                <w:lang w:eastAsia="en-US"/>
              </w:rPr>
              <w:t xml:space="preserve"> / </w:t>
            </w:r>
            <w:proofErr w:type="spellStart"/>
            <w:r>
              <w:rPr>
                <w:rFonts w:ascii="Times New Roman" w:hAnsi="Times New Roman"/>
                <w:sz w:val="22"/>
                <w:lang w:eastAsia="en-US"/>
              </w:rPr>
              <w:t>Ref</w:t>
            </w:r>
            <w:proofErr w:type="spellEnd"/>
            <w:r>
              <w:rPr>
                <w:rFonts w:ascii="Times New Roman" w:hAnsi="Times New Roman"/>
                <w:b w:val="0"/>
                <w:sz w:val="22"/>
                <w:u w:val="none"/>
                <w:lang w:eastAsia="en-US"/>
              </w:rPr>
              <w:t xml:space="preserve">: </w:t>
            </w:r>
            <w:r w:rsidR="00C84BFC" w:rsidRPr="00C84BFC">
              <w:rPr>
                <w:rFonts w:ascii="Times New Roman" w:hAnsi="Times New Roman"/>
                <w:b w:val="0"/>
                <w:sz w:val="22"/>
                <w:u w:val="none"/>
                <w:lang w:eastAsia="en-US"/>
              </w:rPr>
              <w:t>Recurso Especial de la UTE IFBS INNOVAE OROI contra su exclusión del proceso de licitación del contrato del “suministro e instalación de un sistema de realidad inmersiva a centros dependientes del Instituto Foral de Bienestar Social” (</w:t>
            </w:r>
            <w:proofErr w:type="spellStart"/>
            <w:r w:rsidR="00C84BFC" w:rsidRPr="00C84BFC">
              <w:rPr>
                <w:rFonts w:ascii="Times New Roman" w:hAnsi="Times New Roman"/>
                <w:b w:val="0"/>
                <w:sz w:val="22"/>
                <w:u w:val="none"/>
                <w:lang w:eastAsia="en-US"/>
              </w:rPr>
              <w:t>expte</w:t>
            </w:r>
            <w:proofErr w:type="spellEnd"/>
            <w:r w:rsidR="00C84BFC" w:rsidRPr="00C84BFC">
              <w:rPr>
                <w:rFonts w:ascii="Times New Roman" w:hAnsi="Times New Roman"/>
                <w:b w:val="0"/>
                <w:sz w:val="22"/>
                <w:u w:val="none"/>
                <w:lang w:eastAsia="en-US"/>
              </w:rPr>
              <w:t xml:space="preserve"> 30/2025).</w:t>
            </w:r>
          </w:p>
          <w:p w14:paraId="64299B09" w14:textId="041D66A9" w:rsidR="00FC1570" w:rsidRDefault="00FC1570" w:rsidP="004F1C65">
            <w:pPr>
              <w:pStyle w:val="Ttulo1"/>
              <w:spacing w:before="120" w:after="120" w:line="276" w:lineRule="auto"/>
              <w:rPr>
                <w:rFonts w:ascii="Times New Roman" w:hAnsi="Times New Roman"/>
                <w:b w:val="0"/>
                <w:sz w:val="22"/>
                <w:lang w:eastAsia="en-US"/>
              </w:rPr>
            </w:pPr>
            <w:proofErr w:type="spellStart"/>
            <w:r>
              <w:rPr>
                <w:rFonts w:ascii="Times New Roman" w:hAnsi="Times New Roman"/>
                <w:sz w:val="22"/>
                <w:lang w:eastAsia="en-US"/>
              </w:rPr>
              <w:t>Esp</w:t>
            </w:r>
            <w:proofErr w:type="spellEnd"/>
            <w:r>
              <w:rPr>
                <w:rFonts w:ascii="Times New Roman" w:hAnsi="Times New Roman"/>
                <w:sz w:val="22"/>
                <w:lang w:eastAsia="en-US"/>
              </w:rPr>
              <w:t xml:space="preserve"> </w:t>
            </w:r>
            <w:proofErr w:type="spellStart"/>
            <w:r>
              <w:rPr>
                <w:rFonts w:ascii="Times New Roman" w:hAnsi="Times New Roman"/>
                <w:sz w:val="22"/>
                <w:lang w:eastAsia="en-US"/>
              </w:rPr>
              <w:t>Zenb</w:t>
            </w:r>
            <w:proofErr w:type="spellEnd"/>
            <w:r>
              <w:rPr>
                <w:rFonts w:ascii="Times New Roman" w:hAnsi="Times New Roman"/>
                <w:sz w:val="22"/>
                <w:lang w:eastAsia="en-US"/>
              </w:rPr>
              <w:t xml:space="preserve"> / </w:t>
            </w:r>
            <w:proofErr w:type="spellStart"/>
            <w:r>
              <w:rPr>
                <w:rFonts w:ascii="Times New Roman" w:hAnsi="Times New Roman"/>
                <w:sz w:val="22"/>
                <w:lang w:eastAsia="en-US"/>
              </w:rPr>
              <w:t>Nº</w:t>
            </w:r>
            <w:proofErr w:type="spellEnd"/>
            <w:r>
              <w:rPr>
                <w:rFonts w:ascii="Times New Roman" w:hAnsi="Times New Roman"/>
                <w:sz w:val="22"/>
                <w:lang w:eastAsia="en-US"/>
              </w:rPr>
              <w:t xml:space="preserve"> </w:t>
            </w:r>
            <w:proofErr w:type="spellStart"/>
            <w:r>
              <w:rPr>
                <w:rFonts w:ascii="Times New Roman" w:hAnsi="Times New Roman"/>
                <w:sz w:val="22"/>
                <w:lang w:eastAsia="en-US"/>
              </w:rPr>
              <w:t>exp</w:t>
            </w:r>
            <w:proofErr w:type="spellEnd"/>
            <w:r>
              <w:rPr>
                <w:rFonts w:ascii="Times New Roman" w:hAnsi="Times New Roman"/>
                <w:b w:val="0"/>
                <w:sz w:val="22"/>
                <w:u w:val="none"/>
                <w:lang w:eastAsia="en-US"/>
              </w:rPr>
              <w:t>: 20</w:t>
            </w:r>
            <w:r w:rsidR="003E4AD3">
              <w:rPr>
                <w:rFonts w:ascii="Times New Roman" w:hAnsi="Times New Roman"/>
                <w:b w:val="0"/>
                <w:sz w:val="22"/>
                <w:u w:val="none"/>
                <w:lang w:eastAsia="en-US"/>
              </w:rPr>
              <w:t>2</w:t>
            </w:r>
            <w:r w:rsidR="00203457">
              <w:rPr>
                <w:rFonts w:ascii="Times New Roman" w:hAnsi="Times New Roman"/>
                <w:b w:val="0"/>
                <w:sz w:val="22"/>
                <w:u w:val="none"/>
                <w:lang w:eastAsia="en-US"/>
              </w:rPr>
              <w:t>6</w:t>
            </w:r>
            <w:r>
              <w:rPr>
                <w:rFonts w:ascii="Times New Roman" w:hAnsi="Times New Roman"/>
                <w:b w:val="0"/>
                <w:sz w:val="22"/>
                <w:u w:val="none"/>
                <w:lang w:eastAsia="en-US"/>
              </w:rPr>
              <w:t>/</w:t>
            </w:r>
            <w:r w:rsidR="00716F9B">
              <w:rPr>
                <w:rFonts w:ascii="Times New Roman" w:hAnsi="Times New Roman"/>
                <w:b w:val="0"/>
                <w:sz w:val="22"/>
                <w:u w:val="none"/>
                <w:lang w:eastAsia="en-US"/>
              </w:rPr>
              <w:t>2</w:t>
            </w:r>
            <w:r>
              <w:rPr>
                <w:rFonts w:ascii="Times New Roman" w:hAnsi="Times New Roman"/>
                <w:b w:val="0"/>
                <w:sz w:val="22"/>
                <w:u w:val="none"/>
                <w:lang w:eastAsia="en-US"/>
              </w:rPr>
              <w:t>- RE</w:t>
            </w:r>
          </w:p>
        </w:tc>
        <w:tc>
          <w:tcPr>
            <w:tcW w:w="20" w:type="dxa"/>
            <w:hideMark/>
          </w:tcPr>
          <w:p w14:paraId="2B2D8F99" w14:textId="77777777" w:rsidR="00FC1570" w:rsidRDefault="00FC1570" w:rsidP="004F1C65">
            <w:pPr>
              <w:spacing w:before="120" w:after="120" w:line="276" w:lineRule="auto"/>
              <w:rPr>
                <w:lang w:eastAsia="en-US"/>
              </w:rPr>
            </w:pPr>
            <w:r>
              <w:rPr>
                <w:lang w:val="es-ES_tradnl" w:eastAsia="en-US"/>
              </w:rPr>
              <w:t xml:space="preserve"> </w:t>
            </w:r>
          </w:p>
        </w:tc>
        <w:tc>
          <w:tcPr>
            <w:tcW w:w="4677" w:type="dxa"/>
          </w:tcPr>
          <w:p w14:paraId="0DEAB208" w14:textId="77777777" w:rsidR="00FC1570" w:rsidRDefault="00FC1570" w:rsidP="004F1C65">
            <w:pPr>
              <w:pStyle w:val="Piedepgina"/>
              <w:tabs>
                <w:tab w:val="clear" w:pos="4252"/>
                <w:tab w:val="right" w:pos="4677"/>
              </w:tabs>
              <w:spacing w:before="120" w:after="120" w:line="276" w:lineRule="auto"/>
              <w:rPr>
                <w:b/>
                <w:lang w:eastAsia="en-US"/>
              </w:rPr>
            </w:pPr>
          </w:p>
          <w:p w14:paraId="7FBCA163" w14:textId="77777777" w:rsidR="00FC1570" w:rsidRDefault="00FC1570" w:rsidP="004F1C65">
            <w:pPr>
              <w:spacing w:line="276" w:lineRule="auto"/>
              <w:jc w:val="center"/>
              <w:rPr>
                <w:b/>
                <w:lang w:eastAsia="en-US"/>
              </w:rPr>
            </w:pPr>
          </w:p>
        </w:tc>
      </w:tr>
    </w:tbl>
    <w:p w14:paraId="43082913" w14:textId="77777777" w:rsidR="00FC1570" w:rsidRDefault="00FC1570" w:rsidP="00FC1570">
      <w:pPr>
        <w:tabs>
          <w:tab w:val="left" w:pos="3261"/>
        </w:tabs>
        <w:spacing w:after="480"/>
        <w:jc w:val="both"/>
        <w:rPr>
          <w:sz w:val="22"/>
        </w:rPr>
      </w:pPr>
    </w:p>
    <w:p w14:paraId="2B1C9B6B" w14:textId="7C819EB7" w:rsidR="00FC1570" w:rsidRDefault="00FC1570" w:rsidP="00FC1570">
      <w:pPr>
        <w:tabs>
          <w:tab w:val="left" w:pos="3261"/>
        </w:tabs>
        <w:spacing w:after="480"/>
        <w:jc w:val="center"/>
        <w:rPr>
          <w:b/>
          <w:sz w:val="22"/>
          <w:u w:val="single"/>
        </w:rPr>
      </w:pPr>
      <w:r>
        <w:rPr>
          <w:b/>
          <w:sz w:val="22"/>
          <w:u w:val="single"/>
        </w:rPr>
        <w:t xml:space="preserve">RESOLUCION </w:t>
      </w:r>
      <w:r w:rsidR="00490179">
        <w:rPr>
          <w:b/>
          <w:sz w:val="22"/>
          <w:u w:val="single"/>
        </w:rPr>
        <w:t>9</w:t>
      </w:r>
      <w:r>
        <w:rPr>
          <w:b/>
          <w:sz w:val="22"/>
          <w:u w:val="single"/>
        </w:rPr>
        <w:t>/</w:t>
      </w:r>
      <w:r w:rsidR="00F26074">
        <w:rPr>
          <w:b/>
          <w:sz w:val="22"/>
          <w:u w:val="single"/>
        </w:rPr>
        <w:t>202</w:t>
      </w:r>
      <w:r w:rsidR="00C84BFC">
        <w:rPr>
          <w:b/>
          <w:sz w:val="22"/>
          <w:u w:val="single"/>
        </w:rPr>
        <w:t>6</w:t>
      </w:r>
    </w:p>
    <w:p w14:paraId="0383165E" w14:textId="3AC3BD31" w:rsidR="00FC1570" w:rsidRDefault="00FC1570" w:rsidP="00FC1570">
      <w:pPr>
        <w:tabs>
          <w:tab w:val="left" w:pos="3261"/>
        </w:tabs>
        <w:spacing w:after="480"/>
        <w:jc w:val="both"/>
        <w:rPr>
          <w:sz w:val="22"/>
        </w:rPr>
      </w:pPr>
      <w:r>
        <w:rPr>
          <w:sz w:val="22"/>
        </w:rPr>
        <w:t xml:space="preserve">En Vitoria-Gasteiz, a </w:t>
      </w:r>
      <w:r w:rsidR="00DB0595">
        <w:rPr>
          <w:sz w:val="22"/>
        </w:rPr>
        <w:t>11</w:t>
      </w:r>
      <w:r w:rsidR="003E4AD3">
        <w:rPr>
          <w:sz w:val="22"/>
        </w:rPr>
        <w:t xml:space="preserve"> de </w:t>
      </w:r>
      <w:r w:rsidR="00C84BFC">
        <w:rPr>
          <w:sz w:val="22"/>
        </w:rPr>
        <w:t>junio</w:t>
      </w:r>
      <w:r>
        <w:rPr>
          <w:sz w:val="22"/>
        </w:rPr>
        <w:t xml:space="preserve"> de </w:t>
      </w:r>
      <w:r w:rsidR="00F26074">
        <w:rPr>
          <w:sz w:val="22"/>
        </w:rPr>
        <w:t>202</w:t>
      </w:r>
      <w:r w:rsidR="00C84BFC">
        <w:rPr>
          <w:sz w:val="22"/>
        </w:rPr>
        <w:t>6</w:t>
      </w:r>
      <w:r>
        <w:rPr>
          <w:sz w:val="22"/>
        </w:rPr>
        <w:t>.</w:t>
      </w:r>
    </w:p>
    <w:p w14:paraId="1F898367" w14:textId="405DFA99" w:rsidR="00C84BFC" w:rsidRPr="00C84BFC" w:rsidRDefault="00C84BFC" w:rsidP="00C84BFC">
      <w:pPr>
        <w:tabs>
          <w:tab w:val="left" w:pos="3261"/>
        </w:tabs>
        <w:spacing w:after="120" w:line="276" w:lineRule="auto"/>
        <w:jc w:val="both"/>
        <w:rPr>
          <w:sz w:val="22"/>
        </w:rPr>
      </w:pPr>
      <w:r w:rsidRPr="00C84BFC">
        <w:rPr>
          <w:sz w:val="22"/>
        </w:rPr>
        <w:t xml:space="preserve">El Órgano Administrativo Foral de Recursos Contractuales de la Diputación Foral de Álava ha dictado la siguiente RESOLUCIÓN en relación con el Recurso Especial en materia de contratación interpuesto por </w:t>
      </w:r>
      <w:r w:rsidR="00D57B0A">
        <w:rPr>
          <w:sz w:val="22"/>
        </w:rPr>
        <w:t>XXXXXXXXXXXXX</w:t>
      </w:r>
      <w:r w:rsidRPr="00C84BFC">
        <w:rPr>
          <w:sz w:val="22"/>
        </w:rPr>
        <w:t xml:space="preserve"> en nombre de la UTE IFBS INNOVAE OROI contra su exclusión del procedimiento de contratación del “suministro e instalación de un sistema de realidad inmersiva a centros dependientes del Instituto Foral de Bienestar Social” (</w:t>
      </w:r>
      <w:proofErr w:type="spellStart"/>
      <w:r w:rsidRPr="00C84BFC">
        <w:rPr>
          <w:sz w:val="22"/>
        </w:rPr>
        <w:t>expte</w:t>
      </w:r>
      <w:proofErr w:type="spellEnd"/>
      <w:r w:rsidRPr="00C84BFC">
        <w:rPr>
          <w:sz w:val="22"/>
        </w:rPr>
        <w:t xml:space="preserve"> 30/2025).</w:t>
      </w:r>
    </w:p>
    <w:p w14:paraId="5DEEF8AE" w14:textId="7982CC9F" w:rsidR="002E118B" w:rsidRDefault="00C84BFC" w:rsidP="00C84BFC">
      <w:pPr>
        <w:tabs>
          <w:tab w:val="left" w:pos="3261"/>
        </w:tabs>
        <w:spacing w:after="120" w:line="276" w:lineRule="auto"/>
        <w:jc w:val="both"/>
        <w:rPr>
          <w:sz w:val="22"/>
        </w:rPr>
      </w:pPr>
      <w:r w:rsidRPr="00C84BFC">
        <w:rPr>
          <w:sz w:val="22"/>
        </w:rPr>
        <w:t>Son partes en dicho recurso: como recurrente la UTE IFBS INNOVAE OROI, siendo el órgano de contratación el Consejo de Gobierno Foral (en adelante OC) y el tramitador del expediente el Área de Contratación y Régimen Jurídico</w:t>
      </w:r>
      <w:r w:rsidR="002E118B">
        <w:rPr>
          <w:sz w:val="22"/>
        </w:rPr>
        <w:t>.</w:t>
      </w:r>
    </w:p>
    <w:p w14:paraId="33C70A25" w14:textId="77777777" w:rsidR="00FC1570" w:rsidRDefault="00FC1570" w:rsidP="00FC1570">
      <w:pPr>
        <w:tabs>
          <w:tab w:val="left" w:pos="3261"/>
        </w:tabs>
        <w:spacing w:after="120"/>
        <w:jc w:val="both"/>
        <w:rPr>
          <w:sz w:val="22"/>
        </w:rPr>
      </w:pPr>
      <w:r>
        <w:rPr>
          <w:sz w:val="22"/>
        </w:rPr>
        <w:t>Vist</w:t>
      </w:r>
      <w:r w:rsidR="003E4AD3">
        <w:rPr>
          <w:sz w:val="22"/>
        </w:rPr>
        <w:t>o</w:t>
      </w:r>
      <w:r>
        <w:rPr>
          <w:sz w:val="22"/>
        </w:rPr>
        <w:t xml:space="preserve"> el recurso especial </w:t>
      </w:r>
      <w:r w:rsidR="003E4AD3">
        <w:rPr>
          <w:sz w:val="22"/>
        </w:rPr>
        <w:t>interpuesto</w:t>
      </w:r>
      <w:r>
        <w:rPr>
          <w:sz w:val="22"/>
        </w:rPr>
        <w:t>, este Órgano efectúa las siguientes consideraciones:</w:t>
      </w:r>
    </w:p>
    <w:p w14:paraId="75DD0C99" w14:textId="77777777" w:rsidR="00FC1570" w:rsidRDefault="00FC1570" w:rsidP="00FC1570">
      <w:pPr>
        <w:tabs>
          <w:tab w:val="left" w:pos="3261"/>
        </w:tabs>
        <w:spacing w:after="120"/>
        <w:jc w:val="both"/>
        <w:rPr>
          <w:sz w:val="22"/>
        </w:rPr>
      </w:pPr>
    </w:p>
    <w:p w14:paraId="4ED0EFE8" w14:textId="77777777" w:rsidR="00C033E5" w:rsidRDefault="00C033E5" w:rsidP="00FC1570">
      <w:pPr>
        <w:spacing w:after="120"/>
        <w:jc w:val="center"/>
        <w:rPr>
          <w:b/>
          <w:sz w:val="22"/>
        </w:rPr>
      </w:pPr>
    </w:p>
    <w:p w14:paraId="3C393DA6" w14:textId="1D89E989" w:rsidR="00FC1570" w:rsidRDefault="00FC1570" w:rsidP="00FC1570">
      <w:pPr>
        <w:spacing w:after="120"/>
        <w:jc w:val="center"/>
        <w:rPr>
          <w:b/>
          <w:sz w:val="22"/>
        </w:rPr>
      </w:pPr>
      <w:r>
        <w:rPr>
          <w:b/>
          <w:sz w:val="22"/>
        </w:rPr>
        <w:t>ANTECEDENTES DE HECHO</w:t>
      </w:r>
    </w:p>
    <w:p w14:paraId="7AFECAB7" w14:textId="77777777" w:rsidR="00FC1570" w:rsidRDefault="00FC1570" w:rsidP="00FC1570">
      <w:pPr>
        <w:pStyle w:val="Estilo1"/>
        <w:tabs>
          <w:tab w:val="left" w:pos="567"/>
        </w:tabs>
        <w:ind w:firstLine="0"/>
        <w:rPr>
          <w:b/>
          <w:sz w:val="22"/>
          <w:szCs w:val="22"/>
          <w:lang w:val="es-ES"/>
        </w:rPr>
      </w:pPr>
    </w:p>
    <w:p w14:paraId="7381C4A7" w14:textId="5C532BD0" w:rsidR="000D0FD4" w:rsidRPr="000D0FD4" w:rsidRDefault="000D0FD4" w:rsidP="00477D17">
      <w:pPr>
        <w:pStyle w:val="Default"/>
        <w:jc w:val="both"/>
        <w:rPr>
          <w:rFonts w:ascii="Times New Roman" w:hAnsi="Times New Roman" w:cs="Times New Roman"/>
          <w:sz w:val="22"/>
          <w:szCs w:val="22"/>
        </w:rPr>
      </w:pPr>
      <w:r w:rsidRPr="000D0FD4">
        <w:rPr>
          <w:rFonts w:ascii="Times New Roman" w:hAnsi="Times New Roman" w:cs="Times New Roman"/>
          <w:sz w:val="22"/>
          <w:szCs w:val="22"/>
        </w:rPr>
        <w:t xml:space="preserve"> </w:t>
      </w:r>
    </w:p>
    <w:p w14:paraId="42042784" w14:textId="24CAC317" w:rsidR="00477D17" w:rsidRDefault="00477D17" w:rsidP="00E57925">
      <w:pPr>
        <w:spacing w:after="240"/>
        <w:jc w:val="both"/>
        <w:rPr>
          <w:sz w:val="22"/>
        </w:rPr>
      </w:pPr>
      <w:r>
        <w:rPr>
          <w:b/>
          <w:sz w:val="22"/>
        </w:rPr>
        <w:t xml:space="preserve">1º. </w:t>
      </w:r>
      <w:r w:rsidRPr="00F1134B">
        <w:rPr>
          <w:bCs/>
          <w:sz w:val="22"/>
        </w:rPr>
        <w:t>-</w:t>
      </w:r>
      <w:r w:rsidRPr="003E3E80">
        <w:rPr>
          <w:sz w:val="22"/>
        </w:rPr>
        <w:t xml:space="preserve"> </w:t>
      </w:r>
      <w:r w:rsidRPr="005E26A6">
        <w:rPr>
          <w:sz w:val="22"/>
        </w:rPr>
        <w:t xml:space="preserve">Mediante Acuerdo de </w:t>
      </w:r>
      <w:bookmarkStart w:id="0" w:name="_Hlk192098240"/>
      <w:r>
        <w:rPr>
          <w:sz w:val="22"/>
        </w:rPr>
        <w:t xml:space="preserve">OC número </w:t>
      </w:r>
      <w:bookmarkEnd w:id="0"/>
      <w:r w:rsidRPr="009A5FC0">
        <w:rPr>
          <w:sz w:val="22"/>
        </w:rPr>
        <w:t>68/2026, de 10 de febrero</w:t>
      </w:r>
      <w:r w:rsidRPr="005E26A6">
        <w:rPr>
          <w:sz w:val="22"/>
        </w:rPr>
        <w:t xml:space="preserve">, </w:t>
      </w:r>
      <w:r>
        <w:rPr>
          <w:sz w:val="22"/>
        </w:rPr>
        <w:t>fue aprobado el expediente de contratación d</w:t>
      </w:r>
      <w:r w:rsidRPr="005E26A6">
        <w:rPr>
          <w:sz w:val="22"/>
        </w:rPr>
        <w:t xml:space="preserve">el </w:t>
      </w:r>
      <w:r>
        <w:rPr>
          <w:sz w:val="22"/>
        </w:rPr>
        <w:t>suministro e instalación de un sistema de realidad inmersiva a centros dependientes del Instituto Foral de Bienestar Social.</w:t>
      </w:r>
    </w:p>
    <w:p w14:paraId="346CCFCA" w14:textId="77777777" w:rsidR="00477D17" w:rsidRPr="006656FC" w:rsidRDefault="00477D17" w:rsidP="00E57925">
      <w:pPr>
        <w:spacing w:after="240"/>
        <w:jc w:val="both"/>
        <w:rPr>
          <w:sz w:val="22"/>
        </w:rPr>
      </w:pPr>
      <w:r w:rsidRPr="003E5D0D">
        <w:rPr>
          <w:b/>
          <w:bCs/>
          <w:sz w:val="22"/>
        </w:rPr>
        <w:t>2</w:t>
      </w:r>
      <w:r w:rsidRPr="004D3822">
        <w:rPr>
          <w:b/>
          <w:bCs/>
          <w:sz w:val="22"/>
        </w:rPr>
        <w:t>º.</w:t>
      </w:r>
      <w:r w:rsidRPr="004D3822">
        <w:rPr>
          <w:sz w:val="22"/>
        </w:rPr>
        <w:t xml:space="preserve">- El expediente fue instruido </w:t>
      </w:r>
      <w:r>
        <w:rPr>
          <w:sz w:val="22"/>
        </w:rPr>
        <w:t>por</w:t>
      </w:r>
      <w:r w:rsidRPr="004D3822">
        <w:rPr>
          <w:sz w:val="22"/>
        </w:rPr>
        <w:t xml:space="preserve"> tramitación ordinaria y procedimiento abierto, según lo dispuesto en la LCSP.</w:t>
      </w:r>
      <w:r>
        <w:rPr>
          <w:sz w:val="22"/>
        </w:rPr>
        <w:t xml:space="preserve"> </w:t>
      </w:r>
      <w:r w:rsidRPr="006656FC">
        <w:rPr>
          <w:sz w:val="22"/>
        </w:rPr>
        <w:t xml:space="preserve">La licitación fue publicada en el perfil de contratante el </w:t>
      </w:r>
      <w:r>
        <w:rPr>
          <w:sz w:val="22"/>
        </w:rPr>
        <w:t>12</w:t>
      </w:r>
      <w:r w:rsidRPr="006656FC">
        <w:rPr>
          <w:sz w:val="22"/>
        </w:rPr>
        <w:t xml:space="preserve"> de </w:t>
      </w:r>
      <w:r>
        <w:rPr>
          <w:sz w:val="22"/>
        </w:rPr>
        <w:t>febrero</w:t>
      </w:r>
      <w:r w:rsidRPr="006656FC">
        <w:rPr>
          <w:sz w:val="22"/>
        </w:rPr>
        <w:t xml:space="preserve"> de 202</w:t>
      </w:r>
      <w:r>
        <w:rPr>
          <w:sz w:val="22"/>
        </w:rPr>
        <w:t>6</w:t>
      </w:r>
      <w:r w:rsidRPr="006656FC">
        <w:rPr>
          <w:sz w:val="22"/>
        </w:rPr>
        <w:t>, de forma que el plazo</w:t>
      </w:r>
      <w:r>
        <w:rPr>
          <w:sz w:val="22"/>
        </w:rPr>
        <w:t xml:space="preserve"> </w:t>
      </w:r>
      <w:r w:rsidRPr="006656FC">
        <w:rPr>
          <w:sz w:val="22"/>
        </w:rPr>
        <w:t xml:space="preserve">de presentación de ofertas finalizó el </w:t>
      </w:r>
      <w:r>
        <w:rPr>
          <w:sz w:val="22"/>
        </w:rPr>
        <w:t>13</w:t>
      </w:r>
      <w:r w:rsidRPr="006656FC">
        <w:rPr>
          <w:sz w:val="22"/>
        </w:rPr>
        <w:t xml:space="preserve"> de </w:t>
      </w:r>
      <w:r>
        <w:rPr>
          <w:sz w:val="22"/>
        </w:rPr>
        <w:t xml:space="preserve">marzo. Se recibieron las plicas de cuatro empresas: </w:t>
      </w:r>
      <w:r w:rsidRPr="00F45038">
        <w:rPr>
          <w:sz w:val="22"/>
        </w:rPr>
        <w:t>MANIFIESTO STUDIO S.L.</w:t>
      </w:r>
      <w:r>
        <w:rPr>
          <w:sz w:val="22"/>
        </w:rPr>
        <w:t xml:space="preserve">, </w:t>
      </w:r>
      <w:r w:rsidRPr="00F45038">
        <w:rPr>
          <w:sz w:val="22"/>
        </w:rPr>
        <w:t>UTE IFBS INNOVAE OROI</w:t>
      </w:r>
      <w:r>
        <w:rPr>
          <w:sz w:val="22"/>
        </w:rPr>
        <w:t xml:space="preserve">, </w:t>
      </w:r>
      <w:r w:rsidRPr="00F45038">
        <w:rPr>
          <w:sz w:val="22"/>
        </w:rPr>
        <w:t>ELEKTRART, INNOVACIÓN CULTURAL Y TECNOLÓGICA, S.L.</w:t>
      </w:r>
      <w:r>
        <w:rPr>
          <w:sz w:val="22"/>
        </w:rPr>
        <w:t xml:space="preserve"> e </w:t>
      </w:r>
      <w:r w:rsidRPr="00F45038">
        <w:rPr>
          <w:sz w:val="22"/>
        </w:rPr>
        <w:t>INNOAREA PROJECTS S.A.</w:t>
      </w:r>
    </w:p>
    <w:p w14:paraId="4D6C543F" w14:textId="77777777" w:rsidR="00477D17" w:rsidRDefault="00477D17" w:rsidP="00E57925">
      <w:pPr>
        <w:spacing w:after="240"/>
        <w:jc w:val="both"/>
        <w:rPr>
          <w:sz w:val="22"/>
        </w:rPr>
      </w:pPr>
      <w:r w:rsidRPr="00257915">
        <w:rPr>
          <w:b/>
          <w:sz w:val="22"/>
        </w:rPr>
        <w:lastRenderedPageBreak/>
        <w:t>3</w:t>
      </w:r>
      <w:r w:rsidRPr="00F1134B">
        <w:rPr>
          <w:bCs/>
          <w:sz w:val="22"/>
        </w:rPr>
        <w:t>º.-</w:t>
      </w:r>
      <w:r w:rsidRPr="00257915">
        <w:rPr>
          <w:sz w:val="22"/>
        </w:rPr>
        <w:t xml:space="preserve"> Las aperturas de los archivos que contenían la documentación necesaria para evaluar los criterios que dependen de un juicio de valor y los cuantificables mediante el uso de fórmulas se produjeron los días </w:t>
      </w:r>
      <w:r>
        <w:rPr>
          <w:sz w:val="22"/>
        </w:rPr>
        <w:t>16</w:t>
      </w:r>
      <w:r w:rsidRPr="00257915">
        <w:rPr>
          <w:sz w:val="22"/>
        </w:rPr>
        <w:t xml:space="preserve"> de </w:t>
      </w:r>
      <w:r>
        <w:rPr>
          <w:sz w:val="22"/>
        </w:rPr>
        <w:t>marzo</w:t>
      </w:r>
      <w:r w:rsidRPr="00257915">
        <w:rPr>
          <w:sz w:val="22"/>
        </w:rPr>
        <w:t xml:space="preserve"> y </w:t>
      </w:r>
      <w:r>
        <w:rPr>
          <w:sz w:val="22"/>
        </w:rPr>
        <w:t>20</w:t>
      </w:r>
      <w:r w:rsidRPr="00257915">
        <w:rPr>
          <w:sz w:val="22"/>
        </w:rPr>
        <w:t xml:space="preserve"> de </w:t>
      </w:r>
      <w:r>
        <w:rPr>
          <w:sz w:val="22"/>
        </w:rPr>
        <w:t>abril</w:t>
      </w:r>
      <w:r w:rsidRPr="00257915">
        <w:rPr>
          <w:sz w:val="22"/>
        </w:rPr>
        <w:t>, respectivamente.</w:t>
      </w:r>
    </w:p>
    <w:p w14:paraId="4FE8C2E3" w14:textId="77777777" w:rsidR="00477D17" w:rsidRPr="00D4613B" w:rsidRDefault="00477D17" w:rsidP="00E57925">
      <w:pPr>
        <w:spacing w:after="240"/>
        <w:jc w:val="both"/>
        <w:rPr>
          <w:sz w:val="22"/>
        </w:rPr>
      </w:pPr>
      <w:r w:rsidRPr="00D4613B">
        <w:rPr>
          <w:sz w:val="22"/>
        </w:rPr>
        <w:t>La oferta de las empresas INNOAREA PROJECTS S.A. y UTE IFBS INNOVAE OROI fueron excluidas tras la apertura del primer archivo encriptado por no alcanzar el mínimo de puntuación necesaria en la oferta técnica.</w:t>
      </w:r>
    </w:p>
    <w:p w14:paraId="2F895BAD" w14:textId="77777777" w:rsidR="00477D17" w:rsidRPr="006A7FB3" w:rsidRDefault="00477D17" w:rsidP="00E57925">
      <w:pPr>
        <w:spacing w:after="240"/>
        <w:jc w:val="both"/>
        <w:rPr>
          <w:color w:val="FF0000"/>
          <w:sz w:val="22"/>
        </w:rPr>
      </w:pPr>
      <w:r>
        <w:rPr>
          <w:b/>
          <w:sz w:val="22"/>
        </w:rPr>
        <w:t>4</w:t>
      </w:r>
      <w:r w:rsidRPr="00750DA7">
        <w:rPr>
          <w:b/>
          <w:sz w:val="22"/>
        </w:rPr>
        <w:t>º</w:t>
      </w:r>
      <w:r>
        <w:rPr>
          <w:b/>
          <w:sz w:val="22"/>
        </w:rPr>
        <w:t xml:space="preserve">. </w:t>
      </w:r>
      <w:r w:rsidRPr="00AE296B">
        <w:rPr>
          <w:b/>
          <w:sz w:val="22"/>
        </w:rPr>
        <w:t>–</w:t>
      </w:r>
      <w:r w:rsidRPr="00AE296B">
        <w:rPr>
          <w:sz w:val="22"/>
        </w:rPr>
        <w:t xml:space="preserve"> El 20 de abril de 2026 la mesa de contratación realizó propuesta de adjudicación a favor de </w:t>
      </w:r>
      <w:r w:rsidRPr="00253177">
        <w:rPr>
          <w:sz w:val="22"/>
        </w:rPr>
        <w:t>MANIFIESTO STUDIO S.L</w:t>
      </w:r>
      <w:r w:rsidRPr="00AE296B">
        <w:rPr>
          <w:sz w:val="22"/>
        </w:rPr>
        <w:t>.</w:t>
      </w:r>
    </w:p>
    <w:p w14:paraId="438ED430" w14:textId="77777777" w:rsidR="00477D17" w:rsidRDefault="00477D17" w:rsidP="00E57925">
      <w:pPr>
        <w:spacing w:after="240"/>
        <w:jc w:val="both"/>
        <w:rPr>
          <w:sz w:val="22"/>
          <w:szCs w:val="22"/>
        </w:rPr>
      </w:pPr>
      <w:r>
        <w:rPr>
          <w:b/>
          <w:sz w:val="22"/>
        </w:rPr>
        <w:t>5º</w:t>
      </w:r>
      <w:r>
        <w:rPr>
          <w:sz w:val="22"/>
        </w:rPr>
        <w:t>.- E</w:t>
      </w:r>
      <w:r w:rsidRPr="00E667F0">
        <w:rPr>
          <w:sz w:val="22"/>
        </w:rPr>
        <w:t xml:space="preserve">l 7 de </w:t>
      </w:r>
      <w:r>
        <w:rPr>
          <w:sz w:val="22"/>
        </w:rPr>
        <w:t>mayo</w:t>
      </w:r>
      <w:r w:rsidRPr="00E667F0">
        <w:rPr>
          <w:sz w:val="22"/>
        </w:rPr>
        <w:t xml:space="preserve"> de 202</w:t>
      </w:r>
      <w:r>
        <w:rPr>
          <w:sz w:val="22"/>
        </w:rPr>
        <w:t>6</w:t>
      </w:r>
      <w:r w:rsidRPr="00E667F0">
        <w:rPr>
          <w:sz w:val="22"/>
        </w:rPr>
        <w:t xml:space="preserve"> tuvo entrada en el Registro Electrónico Común de la Diputación Foral de Álava el recurso especial en materia de contratación (2/2</w:t>
      </w:r>
      <w:r>
        <w:rPr>
          <w:sz w:val="22"/>
        </w:rPr>
        <w:t>6</w:t>
      </w:r>
      <w:r w:rsidRPr="00E667F0">
        <w:rPr>
          <w:sz w:val="22"/>
        </w:rPr>
        <w:t xml:space="preserve">-RE) señalado </w:t>
      </w:r>
      <w:r w:rsidRPr="00E667F0">
        <w:rPr>
          <w:i/>
          <w:iCs/>
          <w:sz w:val="22"/>
        </w:rPr>
        <w:t>ut supra</w:t>
      </w:r>
      <w:r w:rsidRPr="00E667F0">
        <w:rPr>
          <w:sz w:val="22"/>
        </w:rPr>
        <w:t>, en el</w:t>
      </w:r>
      <w:r>
        <w:rPr>
          <w:sz w:val="22"/>
        </w:rPr>
        <w:t xml:space="preserve"> que no se solicita</w:t>
      </w:r>
      <w:r w:rsidRPr="00E667F0">
        <w:rPr>
          <w:sz w:val="22"/>
        </w:rPr>
        <w:t xml:space="preserve"> la adopción de la medida cautelar consistente en la suspensión de</w:t>
      </w:r>
      <w:r>
        <w:rPr>
          <w:sz w:val="22"/>
        </w:rPr>
        <w:t xml:space="preserve">l </w:t>
      </w:r>
      <w:r w:rsidRPr="00A11029">
        <w:rPr>
          <w:sz w:val="22"/>
          <w:szCs w:val="22"/>
        </w:rPr>
        <w:t>procedimiento de adjudicación del contrato.</w:t>
      </w:r>
    </w:p>
    <w:p w14:paraId="71299379" w14:textId="2C86F758" w:rsidR="007F377C" w:rsidRPr="00A11029" w:rsidRDefault="007F377C" w:rsidP="00E57925">
      <w:pPr>
        <w:spacing w:after="240"/>
        <w:jc w:val="both"/>
        <w:rPr>
          <w:sz w:val="22"/>
          <w:szCs w:val="22"/>
        </w:rPr>
      </w:pPr>
      <w:r>
        <w:rPr>
          <w:sz w:val="22"/>
          <w:szCs w:val="22"/>
        </w:rPr>
        <w:t xml:space="preserve">En el recurso se recoge que la </w:t>
      </w:r>
      <w:r w:rsidRPr="007F377C">
        <w:rPr>
          <w:sz w:val="22"/>
          <w:szCs w:val="22"/>
        </w:rPr>
        <w:t>UTE IFBS INNOVAE OROI</w:t>
      </w:r>
      <w:r>
        <w:rPr>
          <w:sz w:val="22"/>
          <w:szCs w:val="22"/>
        </w:rPr>
        <w:t xml:space="preserve"> solicitó al OC dos veces acceso a las ofertas del resto de empresas (23 de abril de 2026 y 5 de mayo de 2026), no siendo completado este aspecto.</w:t>
      </w:r>
    </w:p>
    <w:p w14:paraId="596F1532" w14:textId="77777777" w:rsidR="00477D17" w:rsidRPr="00A11029" w:rsidRDefault="00477D17" w:rsidP="00E57925">
      <w:pPr>
        <w:spacing w:after="240"/>
        <w:jc w:val="both"/>
        <w:rPr>
          <w:sz w:val="22"/>
          <w:szCs w:val="22"/>
        </w:rPr>
      </w:pPr>
      <w:r>
        <w:rPr>
          <w:b/>
          <w:bCs/>
          <w:sz w:val="22"/>
        </w:rPr>
        <w:t>6</w:t>
      </w:r>
      <w:r w:rsidRPr="00E667F0">
        <w:rPr>
          <w:b/>
          <w:bCs/>
          <w:sz w:val="22"/>
        </w:rPr>
        <w:t>º.-</w:t>
      </w:r>
      <w:r w:rsidRPr="00E667F0">
        <w:rPr>
          <w:sz w:val="22"/>
        </w:rPr>
        <w:t xml:space="preserve"> </w:t>
      </w:r>
      <w:r w:rsidRPr="00A11029">
        <w:rPr>
          <w:sz w:val="22"/>
          <w:szCs w:val="22"/>
        </w:rPr>
        <w:t>El 14 de mayo de 2026, se requirió por este OAFRC a la recurrente para que:</w:t>
      </w:r>
    </w:p>
    <w:p w14:paraId="158CFE40" w14:textId="77777777" w:rsidR="00477D17" w:rsidRPr="00A11029" w:rsidRDefault="00477D17" w:rsidP="00E57925">
      <w:pPr>
        <w:numPr>
          <w:ilvl w:val="0"/>
          <w:numId w:val="5"/>
        </w:numPr>
        <w:autoSpaceDE w:val="0"/>
        <w:autoSpaceDN w:val="0"/>
        <w:adjustRightInd w:val="0"/>
        <w:jc w:val="both"/>
        <w:rPr>
          <w:sz w:val="22"/>
          <w:szCs w:val="22"/>
        </w:rPr>
      </w:pPr>
      <w:r w:rsidRPr="00A11029">
        <w:rPr>
          <w:sz w:val="22"/>
          <w:szCs w:val="22"/>
        </w:rPr>
        <w:t>Aporte ciertos anexos señalados en el texto de su recurso especial en materia de contratación.</w:t>
      </w:r>
    </w:p>
    <w:p w14:paraId="5D02A3FB" w14:textId="77777777" w:rsidR="00477D17" w:rsidRPr="00A11029" w:rsidRDefault="00477D17" w:rsidP="00E57925">
      <w:pPr>
        <w:numPr>
          <w:ilvl w:val="0"/>
          <w:numId w:val="5"/>
        </w:numPr>
        <w:autoSpaceDE w:val="0"/>
        <w:autoSpaceDN w:val="0"/>
        <w:adjustRightInd w:val="0"/>
        <w:spacing w:after="240"/>
        <w:jc w:val="both"/>
        <w:rPr>
          <w:sz w:val="22"/>
          <w:szCs w:val="22"/>
        </w:rPr>
      </w:pPr>
      <w:r w:rsidRPr="00A11029">
        <w:rPr>
          <w:sz w:val="22"/>
          <w:szCs w:val="22"/>
        </w:rPr>
        <w:t>Señale las partes de las ofertas del resto de empresas a las que se solicita tener acceso y la razón por la que precisa dicho acceso en relación con la preparación de su recurso.</w:t>
      </w:r>
    </w:p>
    <w:p w14:paraId="4959C001" w14:textId="77777777" w:rsidR="00477D17" w:rsidRPr="00A11029" w:rsidRDefault="00477D17" w:rsidP="00E57925">
      <w:pPr>
        <w:autoSpaceDE w:val="0"/>
        <w:autoSpaceDN w:val="0"/>
        <w:adjustRightInd w:val="0"/>
        <w:spacing w:after="240"/>
        <w:jc w:val="both"/>
        <w:rPr>
          <w:sz w:val="22"/>
          <w:szCs w:val="22"/>
        </w:rPr>
      </w:pPr>
      <w:r w:rsidRPr="00A11029">
        <w:rPr>
          <w:sz w:val="22"/>
          <w:szCs w:val="22"/>
        </w:rPr>
        <w:t>La empresa respondió al requerimiento en fecha 19 de mayo de 2026.</w:t>
      </w:r>
    </w:p>
    <w:p w14:paraId="161D609D" w14:textId="77777777" w:rsidR="00FC1570" w:rsidRDefault="00FC1570" w:rsidP="0016346E">
      <w:pPr>
        <w:tabs>
          <w:tab w:val="left" w:pos="3261"/>
        </w:tabs>
        <w:spacing w:after="120"/>
        <w:jc w:val="both"/>
        <w:rPr>
          <w:sz w:val="22"/>
        </w:rPr>
      </w:pPr>
    </w:p>
    <w:p w14:paraId="001036C3" w14:textId="77777777" w:rsidR="00FC1570" w:rsidRDefault="00FC1570" w:rsidP="00FC1570">
      <w:pPr>
        <w:spacing w:after="480"/>
        <w:jc w:val="center"/>
        <w:rPr>
          <w:b/>
          <w:sz w:val="22"/>
        </w:rPr>
      </w:pPr>
      <w:r>
        <w:rPr>
          <w:b/>
          <w:sz w:val="22"/>
        </w:rPr>
        <w:t>FUNDAMENTOS DE DERECHO</w:t>
      </w:r>
    </w:p>
    <w:p w14:paraId="2B9F3427" w14:textId="77777777" w:rsidR="00E57925" w:rsidRPr="009A5FC0" w:rsidRDefault="00E57925" w:rsidP="00E57925">
      <w:pPr>
        <w:spacing w:after="240"/>
        <w:jc w:val="both"/>
        <w:rPr>
          <w:sz w:val="22"/>
        </w:rPr>
      </w:pPr>
      <w:r>
        <w:rPr>
          <w:b/>
          <w:sz w:val="22"/>
        </w:rPr>
        <w:t xml:space="preserve">PRIMERO. - </w:t>
      </w:r>
      <w:r>
        <w:rPr>
          <w:sz w:val="22"/>
        </w:rPr>
        <w:t xml:space="preserve">Tratándose de un contrato de </w:t>
      </w:r>
      <w:r w:rsidRPr="009A5FC0">
        <w:rPr>
          <w:sz w:val="22"/>
        </w:rPr>
        <w:t xml:space="preserve">suministros cuyo valor estimado asciende a </w:t>
      </w:r>
      <w:r w:rsidRPr="00672304">
        <w:rPr>
          <w:sz w:val="22"/>
        </w:rPr>
        <w:t>349.580,00 euros</w:t>
      </w:r>
      <w:r w:rsidRPr="00672304">
        <w:rPr>
          <w:b/>
          <w:bCs/>
          <w:sz w:val="22"/>
        </w:rPr>
        <w:t xml:space="preserve"> </w:t>
      </w:r>
      <w:r w:rsidRPr="00672304">
        <w:rPr>
          <w:sz w:val="22"/>
        </w:rPr>
        <w:t>(IVA excluido), se cumplen los requisitos exigidos en el artículo 44 de la LCSP para poder considerar el acto impugnado susceptible de recurso especial en materia de contratación. En concreto, el artículo 44.2.b) menciona los actos de trámite adoptados en el procedimiento de adjudicación, siempre que estos decidan directa o indirectamente sobre la adjudicación, determinen la imposibilidad de continuar el procedimiento o produzcan indefensión o perjuicio irreparable a derechos o intereses legítimos.</w:t>
      </w:r>
    </w:p>
    <w:p w14:paraId="21412992" w14:textId="77777777" w:rsidR="00ED4338" w:rsidRDefault="00ED4338" w:rsidP="00ED4338">
      <w:pPr>
        <w:spacing w:after="160"/>
        <w:jc w:val="both"/>
        <w:rPr>
          <w:sz w:val="22"/>
          <w:szCs w:val="22"/>
        </w:rPr>
      </w:pPr>
      <w:r>
        <w:rPr>
          <w:b/>
          <w:sz w:val="22"/>
          <w:szCs w:val="22"/>
        </w:rPr>
        <w:t>SEGUNDO.-</w:t>
      </w:r>
      <w:r>
        <w:rPr>
          <w:sz w:val="22"/>
          <w:szCs w:val="22"/>
        </w:rPr>
        <w:t xml:space="preserve"> La competencia para resolver el presente recurso especial corresponde a este Órgano, conforme a lo establecido en el art. 46.5 LCSP y en el Decreto Foral del Consejo de Diputados 44/2010, de 28 de septiembre, cuyo apartado 2.1, relativo a las competencias, establece que “corresponde al Órgano Administrativo Foral de Recursos Contractuales el conocimiento y resolución de los recursos relativos a los contratos del sector público en los que sea parte la Diputación Foral de Álava o alguno de los órganos dependientes o vinculados a la misma y, en particular, los Organismos Autónomos Forales, las Sociedades Públicas Forales y todos aquellos poderes adjudicadores que estén bajo su control.”</w:t>
      </w:r>
    </w:p>
    <w:p w14:paraId="5BE48E0B" w14:textId="1BFBE890" w:rsidR="00ED4338" w:rsidRDefault="00ED4338" w:rsidP="00ED4338">
      <w:pPr>
        <w:autoSpaceDE w:val="0"/>
        <w:autoSpaceDN w:val="0"/>
        <w:adjustRightInd w:val="0"/>
        <w:spacing w:after="120"/>
        <w:jc w:val="both"/>
        <w:rPr>
          <w:sz w:val="22"/>
          <w:szCs w:val="22"/>
        </w:rPr>
      </w:pPr>
      <w:r>
        <w:rPr>
          <w:b/>
          <w:sz w:val="22"/>
          <w:szCs w:val="22"/>
        </w:rPr>
        <w:lastRenderedPageBreak/>
        <w:t xml:space="preserve">TERCERO.- </w:t>
      </w:r>
      <w:r>
        <w:rPr>
          <w:sz w:val="22"/>
          <w:szCs w:val="22"/>
        </w:rPr>
        <w:t xml:space="preserve">En lo que respecta a la legitimación concurre en la entidad recurrente, licitadora, el interés recogido en el art. 48 de la LCSP, según el cual </w:t>
      </w:r>
      <w:r w:rsidRPr="00C474A6">
        <w:rPr>
          <w:i/>
          <w:iCs/>
          <w:sz w:val="22"/>
          <w:szCs w:val="22"/>
        </w:rPr>
        <w:t>“podrá interponer el recurso especial en materia de contratación cualquier persona física o jurídica cuyos derechos o intereses legítimos, individuales o colectivos, se hayan visto perjudicados o puedan resultar afectados, de manera directa o indirecta, por las decisiones objeto del recurso”</w:t>
      </w:r>
      <w:r>
        <w:rPr>
          <w:sz w:val="22"/>
          <w:szCs w:val="22"/>
        </w:rPr>
        <w:t xml:space="preserve">, pues la estimación de su recurso le permitiría continuar en </w:t>
      </w:r>
      <w:r w:rsidR="00C474A6">
        <w:rPr>
          <w:sz w:val="22"/>
          <w:szCs w:val="22"/>
        </w:rPr>
        <w:t>el</w:t>
      </w:r>
      <w:r>
        <w:rPr>
          <w:sz w:val="22"/>
          <w:szCs w:val="22"/>
        </w:rPr>
        <w:t xml:space="preserve"> procedimiento seguido para la adjudicación del servicio.</w:t>
      </w:r>
    </w:p>
    <w:p w14:paraId="6A2A2B30" w14:textId="77777777" w:rsidR="00ED4338" w:rsidRDefault="00ED4338" w:rsidP="00ED4338">
      <w:pPr>
        <w:autoSpaceDE w:val="0"/>
        <w:autoSpaceDN w:val="0"/>
        <w:adjustRightInd w:val="0"/>
        <w:spacing w:after="120"/>
        <w:jc w:val="both"/>
        <w:rPr>
          <w:sz w:val="22"/>
          <w:szCs w:val="22"/>
        </w:rPr>
      </w:pPr>
      <w:r>
        <w:rPr>
          <w:sz w:val="22"/>
          <w:szCs w:val="22"/>
        </w:rPr>
        <w:t>Además, en este caso, queda acreditada la representación con la que actúa el firmante del recurso.</w:t>
      </w:r>
    </w:p>
    <w:p w14:paraId="6EC7BF8E" w14:textId="385B3C7A" w:rsidR="00ED4338" w:rsidRPr="008E6D67" w:rsidRDefault="00DB0595" w:rsidP="00ED4338">
      <w:pPr>
        <w:autoSpaceDE w:val="0"/>
        <w:autoSpaceDN w:val="0"/>
        <w:adjustRightInd w:val="0"/>
        <w:spacing w:before="120" w:after="120"/>
        <w:jc w:val="both"/>
        <w:rPr>
          <w:sz w:val="22"/>
          <w:szCs w:val="22"/>
        </w:rPr>
      </w:pPr>
      <w:r>
        <w:rPr>
          <w:b/>
          <w:sz w:val="22"/>
          <w:szCs w:val="22"/>
        </w:rPr>
        <w:t>CUARTO. -</w:t>
      </w:r>
      <w:r w:rsidR="00ED4338">
        <w:rPr>
          <w:sz w:val="22"/>
          <w:szCs w:val="22"/>
        </w:rPr>
        <w:t xml:space="preserve"> </w:t>
      </w:r>
      <w:r w:rsidR="00ED4338" w:rsidRPr="001A71C0">
        <w:rPr>
          <w:color w:val="000000"/>
        </w:rPr>
        <w:t xml:space="preserve">El </w:t>
      </w:r>
      <w:r w:rsidR="00ED4338" w:rsidRPr="008E6D67">
        <w:rPr>
          <w:sz w:val="22"/>
          <w:szCs w:val="22"/>
        </w:rPr>
        <w:t xml:space="preserve">recurso se ha interpuesto en el plazo legal previsto en el artículo </w:t>
      </w:r>
      <w:r w:rsidR="00ED4338">
        <w:rPr>
          <w:sz w:val="22"/>
          <w:szCs w:val="22"/>
        </w:rPr>
        <w:t xml:space="preserve">50 de la </w:t>
      </w:r>
      <w:r w:rsidR="00ED4338" w:rsidRPr="008E6D67">
        <w:rPr>
          <w:sz w:val="22"/>
          <w:szCs w:val="22"/>
        </w:rPr>
        <w:t>LCSP, por cuanto no ha transcurrido más de quince días hábiles contados a partir del s</w:t>
      </w:r>
      <w:r w:rsidR="00ED4338">
        <w:rPr>
          <w:sz w:val="22"/>
          <w:szCs w:val="22"/>
        </w:rPr>
        <w:t xml:space="preserve">iguiente a aquel en que fue </w:t>
      </w:r>
      <w:r w:rsidR="00EE76F2">
        <w:rPr>
          <w:sz w:val="22"/>
          <w:szCs w:val="22"/>
        </w:rPr>
        <w:t>conocido el</w:t>
      </w:r>
      <w:r w:rsidR="00ED4338" w:rsidRPr="008E6D67">
        <w:rPr>
          <w:sz w:val="22"/>
          <w:szCs w:val="22"/>
        </w:rPr>
        <w:t xml:space="preserve"> acto impugnado</w:t>
      </w:r>
      <w:r w:rsidR="00ED4338">
        <w:rPr>
          <w:sz w:val="22"/>
          <w:szCs w:val="22"/>
        </w:rPr>
        <w:t xml:space="preserve">, </w:t>
      </w:r>
      <w:r w:rsidR="00CC2B8D" w:rsidRPr="00CC2B8D">
        <w:rPr>
          <w:sz w:val="22"/>
          <w:szCs w:val="22"/>
        </w:rPr>
        <w:t>el 30 de abril de 2026</w:t>
      </w:r>
      <w:r w:rsidR="00ED4338" w:rsidRPr="00CC2B8D">
        <w:rPr>
          <w:sz w:val="22"/>
          <w:szCs w:val="22"/>
        </w:rPr>
        <w:t>.</w:t>
      </w:r>
    </w:p>
    <w:p w14:paraId="000C92BE" w14:textId="41CFD394" w:rsidR="00ED4338" w:rsidRDefault="00DB0595" w:rsidP="00ED4338">
      <w:pPr>
        <w:autoSpaceDE w:val="0"/>
        <w:autoSpaceDN w:val="0"/>
        <w:adjustRightInd w:val="0"/>
        <w:spacing w:before="120" w:after="120"/>
        <w:jc w:val="both"/>
        <w:rPr>
          <w:sz w:val="22"/>
          <w:szCs w:val="22"/>
        </w:rPr>
      </w:pPr>
      <w:r>
        <w:rPr>
          <w:b/>
          <w:sz w:val="22"/>
          <w:szCs w:val="22"/>
        </w:rPr>
        <w:t>QUINTO. -</w:t>
      </w:r>
      <w:r w:rsidR="00ED4338">
        <w:rPr>
          <w:sz w:val="22"/>
          <w:szCs w:val="22"/>
        </w:rPr>
        <w:t xml:space="preserve"> </w:t>
      </w:r>
      <w:r w:rsidR="00E57925">
        <w:rPr>
          <w:sz w:val="22"/>
          <w:szCs w:val="22"/>
        </w:rPr>
        <w:t>En esta resolución se analizará</w:t>
      </w:r>
      <w:r w:rsidR="00ED4338">
        <w:rPr>
          <w:sz w:val="22"/>
          <w:szCs w:val="22"/>
        </w:rPr>
        <w:t xml:space="preserve"> la alegación de la recurrente consistente </w:t>
      </w:r>
      <w:r w:rsidR="00EB4C4C">
        <w:rPr>
          <w:sz w:val="22"/>
          <w:szCs w:val="22"/>
        </w:rPr>
        <w:t xml:space="preserve">en la indefensión que se le ha causado por no haber podido acceder a determinada documentación solicitada y </w:t>
      </w:r>
      <w:r w:rsidR="00E90AC7">
        <w:rPr>
          <w:sz w:val="22"/>
          <w:szCs w:val="22"/>
        </w:rPr>
        <w:t>que el OC no ha puesto a su disposición en la vista del expediente</w:t>
      </w:r>
      <w:r w:rsidR="00EB4C4C">
        <w:rPr>
          <w:sz w:val="22"/>
          <w:szCs w:val="22"/>
        </w:rPr>
        <w:t xml:space="preserve">, </w:t>
      </w:r>
      <w:r w:rsidR="0020424F">
        <w:rPr>
          <w:sz w:val="22"/>
          <w:szCs w:val="22"/>
        </w:rPr>
        <w:t xml:space="preserve">y </w:t>
      </w:r>
      <w:r w:rsidR="00E90AC7">
        <w:rPr>
          <w:sz w:val="22"/>
          <w:szCs w:val="22"/>
        </w:rPr>
        <w:t xml:space="preserve">que, a su entender, es necesaria para presentar alegaciones complementarias sobre </w:t>
      </w:r>
      <w:r w:rsidR="00E57925">
        <w:rPr>
          <w:sz w:val="22"/>
          <w:szCs w:val="22"/>
        </w:rPr>
        <w:t>su</w:t>
      </w:r>
      <w:r w:rsidR="00E90AC7">
        <w:rPr>
          <w:sz w:val="22"/>
          <w:szCs w:val="22"/>
        </w:rPr>
        <w:t xml:space="preserve"> exclusión por </w:t>
      </w:r>
      <w:r w:rsidR="00E57925">
        <w:rPr>
          <w:sz w:val="22"/>
          <w:szCs w:val="22"/>
        </w:rPr>
        <w:t>no alcanzar el mínimo de punt</w:t>
      </w:r>
      <w:r w:rsidR="00F77411">
        <w:rPr>
          <w:sz w:val="22"/>
          <w:szCs w:val="22"/>
        </w:rPr>
        <w:t>u</w:t>
      </w:r>
      <w:r w:rsidR="00E57925">
        <w:rPr>
          <w:sz w:val="22"/>
          <w:szCs w:val="22"/>
        </w:rPr>
        <w:t>ación exigid</w:t>
      </w:r>
      <w:r w:rsidR="00BE5A24">
        <w:rPr>
          <w:sz w:val="22"/>
          <w:szCs w:val="22"/>
        </w:rPr>
        <w:t>o</w:t>
      </w:r>
      <w:r w:rsidR="00E57925">
        <w:rPr>
          <w:sz w:val="22"/>
          <w:szCs w:val="22"/>
        </w:rPr>
        <w:t xml:space="preserve"> en los criterios no evaluables mediante fórmula</w:t>
      </w:r>
      <w:r w:rsidR="00E90AC7">
        <w:rPr>
          <w:sz w:val="22"/>
          <w:szCs w:val="22"/>
        </w:rPr>
        <w:t>.</w:t>
      </w:r>
    </w:p>
    <w:p w14:paraId="078DE06F" w14:textId="070C028C" w:rsidR="00556813" w:rsidRDefault="00556813" w:rsidP="00ED4338">
      <w:pPr>
        <w:autoSpaceDE w:val="0"/>
        <w:autoSpaceDN w:val="0"/>
        <w:adjustRightInd w:val="0"/>
        <w:spacing w:before="120" w:after="120"/>
        <w:jc w:val="both"/>
        <w:rPr>
          <w:sz w:val="22"/>
          <w:szCs w:val="22"/>
        </w:rPr>
      </w:pPr>
      <w:r>
        <w:rPr>
          <w:sz w:val="22"/>
          <w:szCs w:val="22"/>
        </w:rPr>
        <w:t xml:space="preserve">Tal como consta en el expediente, la recurrente presenta </w:t>
      </w:r>
      <w:r w:rsidR="00BE5A24">
        <w:rPr>
          <w:sz w:val="22"/>
          <w:szCs w:val="22"/>
        </w:rPr>
        <w:t xml:space="preserve">los días </w:t>
      </w:r>
      <w:r w:rsidR="00BE5A24" w:rsidRPr="00BE5A24">
        <w:rPr>
          <w:sz w:val="22"/>
          <w:szCs w:val="22"/>
        </w:rPr>
        <w:t>23 de abril de 2026 y 5 de mayo de 2026</w:t>
      </w:r>
      <w:r w:rsidR="00BE5A24">
        <w:rPr>
          <w:sz w:val="22"/>
          <w:szCs w:val="22"/>
        </w:rPr>
        <w:t xml:space="preserve"> </w:t>
      </w:r>
      <w:r w:rsidR="007669E2">
        <w:rPr>
          <w:sz w:val="22"/>
          <w:szCs w:val="22"/>
        </w:rPr>
        <w:t>so</w:t>
      </w:r>
      <w:r>
        <w:rPr>
          <w:sz w:val="22"/>
          <w:szCs w:val="22"/>
        </w:rPr>
        <w:t>licitud de acceso al expediente administrativo</w:t>
      </w:r>
      <w:r w:rsidR="00A44691">
        <w:rPr>
          <w:sz w:val="22"/>
          <w:szCs w:val="22"/>
        </w:rPr>
        <w:t xml:space="preserve"> para poder </w:t>
      </w:r>
      <w:r w:rsidR="00BE5A24">
        <w:rPr>
          <w:sz w:val="22"/>
          <w:szCs w:val="22"/>
        </w:rPr>
        <w:t>examinar las ofertas de sus competidoras en este procedimiento.</w:t>
      </w:r>
    </w:p>
    <w:p w14:paraId="7E04C200" w14:textId="18625D51" w:rsidR="00BB0E1A" w:rsidRDefault="00116971" w:rsidP="00BB0E1A">
      <w:pPr>
        <w:spacing w:after="120"/>
        <w:jc w:val="both"/>
        <w:rPr>
          <w:sz w:val="22"/>
          <w:szCs w:val="22"/>
        </w:rPr>
      </w:pPr>
      <w:r w:rsidRPr="00116971">
        <w:rPr>
          <w:sz w:val="22"/>
          <w:szCs w:val="22"/>
        </w:rPr>
        <w:t>La LCSP</w:t>
      </w:r>
      <w:r w:rsidR="00BB0E1A" w:rsidRPr="00116971">
        <w:rPr>
          <w:sz w:val="22"/>
          <w:szCs w:val="22"/>
        </w:rPr>
        <w:t xml:space="preserve"> dispone en el artículo </w:t>
      </w:r>
      <w:r w:rsidRPr="00116971">
        <w:rPr>
          <w:sz w:val="22"/>
          <w:szCs w:val="22"/>
        </w:rPr>
        <w:t>52.1</w:t>
      </w:r>
      <w:r w:rsidR="00BB0E1A" w:rsidRPr="00116971">
        <w:rPr>
          <w:sz w:val="22"/>
          <w:szCs w:val="22"/>
        </w:rPr>
        <w:t xml:space="preserve"> que </w:t>
      </w:r>
      <w:r w:rsidR="00BB0E1A" w:rsidRPr="00116971">
        <w:rPr>
          <w:i/>
          <w:iCs/>
          <w:sz w:val="22"/>
          <w:szCs w:val="22"/>
        </w:rPr>
        <w:t>“</w:t>
      </w:r>
      <w:r w:rsidRPr="00116971">
        <w:rPr>
          <w:i/>
          <w:iCs/>
          <w:color w:val="000000"/>
          <w:sz w:val="22"/>
          <w:szCs w:val="22"/>
        </w:rPr>
        <w:t>si el interesado desea examinar el expediente de contratación de forma previa a la interposición del recurso especial, deberá solicitarlo al órgano de contratación, el cual tendrá la obligación de ponerlo de manifiesto sin perjuicio de los límites de confidencialidad establecidos en la Ley</w:t>
      </w:r>
      <w:r w:rsidR="00BB0E1A" w:rsidRPr="00116971">
        <w:rPr>
          <w:i/>
          <w:iCs/>
          <w:sz w:val="22"/>
          <w:szCs w:val="22"/>
        </w:rPr>
        <w:t>”</w:t>
      </w:r>
      <w:r w:rsidR="008D3A13">
        <w:rPr>
          <w:sz w:val="22"/>
          <w:szCs w:val="22"/>
        </w:rPr>
        <w:t>, extremo este que no ha sido completado por el OC</w:t>
      </w:r>
      <w:r w:rsidR="00BB0E1A" w:rsidRPr="00116971">
        <w:rPr>
          <w:sz w:val="22"/>
          <w:szCs w:val="22"/>
        </w:rPr>
        <w:t>.</w:t>
      </w:r>
    </w:p>
    <w:p w14:paraId="0D7ADE8C" w14:textId="5C50630C" w:rsidR="00190A39" w:rsidRDefault="00190A39" w:rsidP="00190A39">
      <w:pPr>
        <w:pStyle w:val="Default"/>
        <w:spacing w:after="120"/>
        <w:jc w:val="both"/>
        <w:rPr>
          <w:rFonts w:ascii="Times New Roman" w:hAnsi="Times New Roman" w:cs="Times New Roman"/>
          <w:sz w:val="22"/>
          <w:szCs w:val="22"/>
        </w:rPr>
      </w:pPr>
      <w:r w:rsidRPr="00116971">
        <w:rPr>
          <w:rFonts w:ascii="Times New Roman" w:hAnsi="Times New Roman" w:cs="Times New Roman"/>
          <w:color w:val="auto"/>
          <w:sz w:val="22"/>
          <w:szCs w:val="22"/>
        </w:rPr>
        <w:t>La forma de proceder en este caso es la prevista en el</w:t>
      </w:r>
      <w:r w:rsidR="00116971" w:rsidRPr="00116971">
        <w:rPr>
          <w:rFonts w:ascii="Times New Roman" w:hAnsi="Times New Roman" w:cs="Times New Roman"/>
          <w:color w:val="auto"/>
          <w:sz w:val="22"/>
          <w:szCs w:val="22"/>
        </w:rPr>
        <w:t xml:space="preserve"> párrafo 3 del precitado</w:t>
      </w:r>
      <w:r w:rsidRPr="00116971">
        <w:rPr>
          <w:rFonts w:ascii="Times New Roman" w:hAnsi="Times New Roman" w:cs="Times New Roman"/>
          <w:color w:val="auto"/>
          <w:sz w:val="22"/>
          <w:szCs w:val="22"/>
        </w:rPr>
        <w:t xml:space="preserve"> artículo </w:t>
      </w:r>
      <w:r w:rsidR="00116971" w:rsidRPr="00116971">
        <w:rPr>
          <w:rFonts w:ascii="Times New Roman" w:hAnsi="Times New Roman" w:cs="Times New Roman"/>
          <w:color w:val="auto"/>
          <w:sz w:val="22"/>
          <w:szCs w:val="22"/>
        </w:rPr>
        <w:t>52 de la LCSP</w:t>
      </w:r>
      <w:r w:rsidRPr="00116971">
        <w:rPr>
          <w:rFonts w:ascii="Times New Roman" w:hAnsi="Times New Roman" w:cs="Times New Roman"/>
          <w:sz w:val="22"/>
          <w:szCs w:val="22"/>
        </w:rPr>
        <w:t xml:space="preserve">, según el cual </w:t>
      </w:r>
      <w:r w:rsidR="00ED762C" w:rsidRPr="00116971">
        <w:rPr>
          <w:rFonts w:ascii="Times New Roman" w:hAnsi="Times New Roman" w:cs="Times New Roman"/>
          <w:i/>
          <w:iCs/>
          <w:sz w:val="22"/>
          <w:szCs w:val="22"/>
        </w:rPr>
        <w:t>“</w:t>
      </w:r>
      <w:r w:rsidR="00116971" w:rsidRPr="00116971">
        <w:rPr>
          <w:rFonts w:ascii="Times New Roman" w:hAnsi="Times New Roman" w:cs="Times New Roman"/>
          <w:i/>
          <w:iCs/>
          <w:sz w:val="22"/>
          <w:szCs w:val="22"/>
        </w:rPr>
        <w:t xml:space="preserve">el incumplimiento de las previsiones contenidas en el apartado 1 anterior no eximirá a los interesados de la obligación de interponer el recurso especial dentro del plazo legalmente establecido. </w:t>
      </w:r>
      <w:proofErr w:type="gramStart"/>
      <w:r w:rsidR="00116971" w:rsidRPr="00116971">
        <w:rPr>
          <w:rFonts w:ascii="Times New Roman" w:hAnsi="Times New Roman" w:cs="Times New Roman"/>
          <w:i/>
          <w:iCs/>
          <w:sz w:val="22"/>
          <w:szCs w:val="22"/>
        </w:rPr>
        <w:t>Ello</w:t>
      </w:r>
      <w:proofErr w:type="gramEnd"/>
      <w:r w:rsidR="00116971" w:rsidRPr="00116971">
        <w:rPr>
          <w:rFonts w:ascii="Times New Roman" w:hAnsi="Times New Roman" w:cs="Times New Roman"/>
          <w:i/>
          <w:iCs/>
          <w:sz w:val="22"/>
          <w:szCs w:val="22"/>
        </w:rPr>
        <w:t xml:space="preserve"> no obstante, el citado incumplimiento podrá ser alegado por el recurrente en su recurso, en cuyo caso el órgano competente para resolverlo deberá conceder al recurrente el acceso al expediente de contratación en sus oficinas por plazo de diez días, con carácter previo al trámite de alegaciones, para que proceda a completar su recurso.</w:t>
      </w:r>
      <w:r w:rsidR="00ED762C" w:rsidRPr="00116971">
        <w:rPr>
          <w:rFonts w:ascii="Times New Roman" w:hAnsi="Times New Roman" w:cs="Times New Roman"/>
          <w:i/>
          <w:iCs/>
          <w:sz w:val="22"/>
          <w:szCs w:val="22"/>
        </w:rPr>
        <w:t>”</w:t>
      </w:r>
    </w:p>
    <w:p w14:paraId="5177FB20" w14:textId="691FA648" w:rsidR="008D3A13" w:rsidRPr="00116971" w:rsidRDefault="008D3A13" w:rsidP="00190A39">
      <w:pPr>
        <w:pStyle w:val="Default"/>
        <w:spacing w:after="120"/>
        <w:jc w:val="both"/>
        <w:rPr>
          <w:rFonts w:ascii="Times New Roman" w:hAnsi="Times New Roman" w:cs="Times New Roman"/>
          <w:color w:val="auto"/>
          <w:sz w:val="22"/>
          <w:szCs w:val="22"/>
        </w:rPr>
      </w:pPr>
      <w:r>
        <w:rPr>
          <w:rFonts w:ascii="Times New Roman" w:hAnsi="Times New Roman" w:cs="Times New Roman"/>
          <w:color w:val="auto"/>
          <w:sz w:val="22"/>
          <w:szCs w:val="22"/>
        </w:rPr>
        <w:t>Teniendo en cuenta e</w:t>
      </w:r>
      <w:r w:rsidRPr="00190A39">
        <w:rPr>
          <w:rFonts w:ascii="Times New Roman" w:hAnsi="Times New Roman" w:cs="Times New Roman"/>
          <w:color w:val="auto"/>
          <w:sz w:val="22"/>
          <w:szCs w:val="22"/>
        </w:rPr>
        <w:t xml:space="preserve">l interés legítimo que concurre en la solicitante al acceso a los datos del </w:t>
      </w:r>
      <w:r w:rsidRPr="00ED762C">
        <w:rPr>
          <w:rFonts w:ascii="Times New Roman" w:hAnsi="Times New Roman" w:cs="Times New Roman"/>
          <w:color w:val="auto"/>
          <w:sz w:val="22"/>
          <w:szCs w:val="22"/>
        </w:rPr>
        <w:t>expediente, lleva a concluir la procedencia de aceptar la pretensión de la recurrente</w:t>
      </w:r>
      <w:r>
        <w:rPr>
          <w:rFonts w:ascii="Times New Roman" w:hAnsi="Times New Roman" w:cs="Times New Roman"/>
          <w:color w:val="auto"/>
          <w:sz w:val="22"/>
          <w:szCs w:val="22"/>
        </w:rPr>
        <w:t>, aunque únicamente respecto de las empresas que continúan en el procedimiento</w:t>
      </w:r>
      <w:r w:rsidRPr="00ED762C">
        <w:rPr>
          <w:rFonts w:ascii="Times New Roman" w:hAnsi="Times New Roman" w:cs="Times New Roman"/>
          <w:color w:val="auto"/>
          <w:sz w:val="22"/>
          <w:szCs w:val="22"/>
        </w:rPr>
        <w:t>.</w:t>
      </w:r>
      <w:r>
        <w:rPr>
          <w:rFonts w:ascii="Times New Roman" w:hAnsi="Times New Roman" w:cs="Times New Roman"/>
          <w:color w:val="auto"/>
          <w:sz w:val="22"/>
          <w:szCs w:val="22"/>
        </w:rPr>
        <w:t xml:space="preserve"> Cabe reseñar que en sus proposiciones ninguna de las empresas ha consignado parte alguna como confidencial.</w:t>
      </w:r>
    </w:p>
    <w:p w14:paraId="22619E7E" w14:textId="0276ED39" w:rsidR="00FC1570" w:rsidRDefault="00DB0595" w:rsidP="00FC1570">
      <w:pPr>
        <w:pStyle w:val="Textoindependiente"/>
        <w:spacing w:after="480"/>
        <w:rPr>
          <w:rFonts w:ascii="Times New Roman" w:hAnsi="Times New Roman"/>
          <w:sz w:val="22"/>
        </w:rPr>
      </w:pPr>
      <w:r>
        <w:rPr>
          <w:rFonts w:ascii="Times New Roman" w:hAnsi="Times New Roman"/>
          <w:b/>
          <w:sz w:val="22"/>
        </w:rPr>
        <w:t>SEXTO. -</w:t>
      </w:r>
      <w:r w:rsidR="00FC1570">
        <w:rPr>
          <w:rFonts w:ascii="Times New Roman" w:hAnsi="Times New Roman"/>
          <w:sz w:val="22"/>
        </w:rPr>
        <w:t xml:space="preserve"> Sin prejuzgar </w:t>
      </w:r>
      <w:r w:rsidR="00ED762C">
        <w:rPr>
          <w:rFonts w:ascii="Times New Roman" w:hAnsi="Times New Roman"/>
          <w:sz w:val="22"/>
        </w:rPr>
        <w:t xml:space="preserve">el resto de </w:t>
      </w:r>
      <w:proofErr w:type="gramStart"/>
      <w:r w:rsidR="00ED762C">
        <w:rPr>
          <w:rFonts w:ascii="Times New Roman" w:hAnsi="Times New Roman"/>
          <w:sz w:val="22"/>
        </w:rPr>
        <w:t>cuestiones</w:t>
      </w:r>
      <w:proofErr w:type="gramEnd"/>
      <w:r w:rsidR="00ED762C">
        <w:rPr>
          <w:rFonts w:ascii="Times New Roman" w:hAnsi="Times New Roman"/>
          <w:sz w:val="22"/>
        </w:rPr>
        <w:t xml:space="preserve"> </w:t>
      </w:r>
      <w:r w:rsidR="00FC1570">
        <w:rPr>
          <w:rFonts w:ascii="Times New Roman" w:hAnsi="Times New Roman"/>
          <w:sz w:val="22"/>
        </w:rPr>
        <w:t>de fondo planteada</w:t>
      </w:r>
      <w:r w:rsidR="00ED762C">
        <w:rPr>
          <w:rFonts w:ascii="Times New Roman" w:hAnsi="Times New Roman"/>
          <w:sz w:val="22"/>
        </w:rPr>
        <w:t>s</w:t>
      </w:r>
      <w:r w:rsidR="00FC1570">
        <w:rPr>
          <w:rFonts w:ascii="Times New Roman" w:hAnsi="Times New Roman"/>
          <w:sz w:val="22"/>
        </w:rPr>
        <w:t xml:space="preserve"> en el recurso, al objeto de propiciar y favorecer el efecto útil del recurso planteado con plenitud de efectos, este Órgano Foral de Recursos Contractuales emite la siguiente</w:t>
      </w:r>
    </w:p>
    <w:p w14:paraId="160A0A76" w14:textId="40906788" w:rsidR="00FC1570" w:rsidRDefault="00FC1570" w:rsidP="00FC1570">
      <w:pPr>
        <w:pStyle w:val="Textoindependiente"/>
        <w:spacing w:after="480"/>
        <w:jc w:val="center"/>
        <w:rPr>
          <w:rFonts w:ascii="Times New Roman" w:hAnsi="Times New Roman"/>
          <w:b/>
          <w:sz w:val="22"/>
        </w:rPr>
      </w:pPr>
      <w:r>
        <w:rPr>
          <w:rFonts w:ascii="Times New Roman" w:hAnsi="Times New Roman"/>
          <w:b/>
          <w:sz w:val="22"/>
        </w:rPr>
        <w:t>RESOLUCIÓN</w:t>
      </w:r>
    </w:p>
    <w:p w14:paraId="1A401DAC" w14:textId="1F8E2EFB" w:rsidR="00FC1570" w:rsidRDefault="00D81D7D" w:rsidP="00FC1570">
      <w:pPr>
        <w:pStyle w:val="Textoindependiente2"/>
        <w:spacing w:before="120"/>
        <w:rPr>
          <w:i w:val="0"/>
          <w:sz w:val="22"/>
          <w:szCs w:val="22"/>
        </w:rPr>
      </w:pPr>
      <w:r>
        <w:rPr>
          <w:b/>
          <w:i w:val="0"/>
          <w:sz w:val="22"/>
          <w:szCs w:val="22"/>
        </w:rPr>
        <w:t>Primero</w:t>
      </w:r>
      <w:r w:rsidR="00FC1570">
        <w:rPr>
          <w:b/>
          <w:i w:val="0"/>
          <w:sz w:val="22"/>
          <w:szCs w:val="22"/>
        </w:rPr>
        <w:t>.</w:t>
      </w:r>
      <w:r w:rsidR="00FC1570">
        <w:rPr>
          <w:i w:val="0"/>
          <w:sz w:val="22"/>
          <w:szCs w:val="22"/>
        </w:rPr>
        <w:t xml:space="preserve"> </w:t>
      </w:r>
      <w:r>
        <w:rPr>
          <w:i w:val="0"/>
          <w:sz w:val="22"/>
          <w:szCs w:val="22"/>
        </w:rPr>
        <w:t>Conceder acceso a la recurrente a la documentación presentada por</w:t>
      </w:r>
      <w:r w:rsidR="008D3A13">
        <w:rPr>
          <w:i w:val="0"/>
          <w:sz w:val="22"/>
          <w:szCs w:val="22"/>
        </w:rPr>
        <w:t xml:space="preserve"> las empresas que continúan en la licitación d</w:t>
      </w:r>
      <w:r w:rsidR="00796EBD" w:rsidRPr="00796EBD">
        <w:rPr>
          <w:i w:val="0"/>
          <w:sz w:val="22"/>
          <w:szCs w:val="22"/>
        </w:rPr>
        <w:t>el expediente de contratación del suministro e instalación de un sistema de realidad inmersiva a centros dependientes del Instituto Foral de Bienestar Social</w:t>
      </w:r>
      <w:r w:rsidRPr="00C13ADD">
        <w:rPr>
          <w:i w:val="0"/>
          <w:sz w:val="22"/>
          <w:szCs w:val="22"/>
        </w:rPr>
        <w:t>.</w:t>
      </w:r>
    </w:p>
    <w:p w14:paraId="6BD5CA57" w14:textId="77777777" w:rsidR="00BD7137" w:rsidRDefault="00BD7137" w:rsidP="00FC1570">
      <w:pPr>
        <w:pStyle w:val="Textoindependiente2"/>
        <w:spacing w:before="120"/>
        <w:rPr>
          <w:i w:val="0"/>
          <w:sz w:val="22"/>
          <w:szCs w:val="22"/>
        </w:rPr>
      </w:pPr>
    </w:p>
    <w:p w14:paraId="02E46747" w14:textId="729C0F6B" w:rsidR="00BD7137" w:rsidRPr="00C13ADD" w:rsidRDefault="00BD7137" w:rsidP="00FC1570">
      <w:pPr>
        <w:pStyle w:val="Textoindependiente2"/>
        <w:spacing w:before="120"/>
        <w:rPr>
          <w:i w:val="0"/>
          <w:sz w:val="22"/>
          <w:szCs w:val="22"/>
        </w:rPr>
      </w:pPr>
      <w:r w:rsidRPr="00BD7137">
        <w:rPr>
          <w:b/>
          <w:bCs/>
          <w:i w:val="0"/>
          <w:sz w:val="22"/>
          <w:szCs w:val="22"/>
        </w:rPr>
        <w:lastRenderedPageBreak/>
        <w:t>Segundo.</w:t>
      </w:r>
      <w:r>
        <w:rPr>
          <w:i w:val="0"/>
          <w:sz w:val="22"/>
          <w:szCs w:val="22"/>
        </w:rPr>
        <w:t xml:space="preserve"> Conceder a la recurrente un</w:t>
      </w:r>
      <w:r w:rsidRPr="00BD7137">
        <w:rPr>
          <w:i w:val="0"/>
          <w:sz w:val="22"/>
          <w:szCs w:val="22"/>
        </w:rPr>
        <w:t xml:space="preserve"> plazo de cinco días hábiles, </w:t>
      </w:r>
      <w:r>
        <w:rPr>
          <w:i w:val="0"/>
          <w:sz w:val="22"/>
          <w:szCs w:val="22"/>
        </w:rPr>
        <w:t xml:space="preserve">contados desde el siguiente al del acceso al expediente, </w:t>
      </w:r>
      <w:r w:rsidRPr="00BD7137">
        <w:rPr>
          <w:i w:val="0"/>
          <w:sz w:val="22"/>
          <w:szCs w:val="22"/>
        </w:rPr>
        <w:t>para que proceda a completar su recurso,</w:t>
      </w:r>
    </w:p>
    <w:p w14:paraId="28BF09EE" w14:textId="77777777" w:rsidR="00FC1570" w:rsidRDefault="00FC1570" w:rsidP="00FC1570">
      <w:pPr>
        <w:pStyle w:val="Textoindependiente2"/>
        <w:spacing w:before="120"/>
        <w:rPr>
          <w:i w:val="0"/>
          <w:sz w:val="22"/>
          <w:szCs w:val="22"/>
        </w:rPr>
      </w:pPr>
      <w:r w:rsidRPr="00A2423A">
        <w:rPr>
          <w:i w:val="0"/>
          <w:sz w:val="22"/>
          <w:szCs w:val="22"/>
        </w:rPr>
        <w:t>Contra la presente resolución no cabe recurso alguno, sin per</w:t>
      </w:r>
      <w:r>
        <w:rPr>
          <w:i w:val="0"/>
          <w:sz w:val="22"/>
          <w:szCs w:val="22"/>
        </w:rPr>
        <w:t>juicio del que proceda contra la resolución que se dicte en el procedimiento principal del recurso.</w:t>
      </w:r>
    </w:p>
    <w:p w14:paraId="43ECBD03" w14:textId="77777777" w:rsidR="00FC1570" w:rsidRDefault="00FC1570" w:rsidP="00FC1570">
      <w:pPr>
        <w:spacing w:line="276" w:lineRule="auto"/>
        <w:rPr>
          <w:sz w:val="22"/>
          <w:szCs w:val="22"/>
        </w:rPr>
      </w:pPr>
      <w:r>
        <w:rPr>
          <w:sz w:val="22"/>
        </w:rPr>
        <w:t xml:space="preserve"> </w:t>
      </w:r>
    </w:p>
    <w:p w14:paraId="6CCF1502" w14:textId="77777777" w:rsidR="00796EBD" w:rsidRDefault="00796EBD" w:rsidP="00796EBD">
      <w:pPr>
        <w:jc w:val="both"/>
        <w:rPr>
          <w:sz w:val="22"/>
          <w:szCs w:val="22"/>
        </w:rPr>
      </w:pPr>
    </w:p>
    <w:p w14:paraId="5F65CFA8" w14:textId="77777777" w:rsidR="00796EBD" w:rsidRDefault="00796EBD" w:rsidP="00796EBD">
      <w:pPr>
        <w:jc w:val="both"/>
        <w:rPr>
          <w:sz w:val="22"/>
          <w:szCs w:val="22"/>
        </w:rPr>
      </w:pPr>
    </w:p>
    <w:p w14:paraId="245C67CC" w14:textId="77777777" w:rsidR="00E92B28" w:rsidRDefault="00E92B28" w:rsidP="00FC1570">
      <w:pPr>
        <w:spacing w:line="276" w:lineRule="auto"/>
        <w:jc w:val="both"/>
        <w:rPr>
          <w:sz w:val="22"/>
          <w:szCs w:val="22"/>
        </w:rPr>
      </w:pPr>
    </w:p>
    <w:sectPr w:rsidR="00E92B2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61E9" w14:textId="77777777" w:rsidR="00DB4092" w:rsidRDefault="00A2423A">
      <w:r>
        <w:separator/>
      </w:r>
    </w:p>
  </w:endnote>
  <w:endnote w:type="continuationSeparator" w:id="0">
    <w:p w14:paraId="3AB89A69" w14:textId="77777777" w:rsidR="00DB4092" w:rsidRDefault="00A2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F21D" w14:textId="77777777" w:rsidR="00C270A0" w:rsidRDefault="00C270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30770"/>
      <w:docPartObj>
        <w:docPartGallery w:val="Page Numbers (Bottom of Page)"/>
        <w:docPartUnique/>
      </w:docPartObj>
    </w:sdtPr>
    <w:sdtEndPr/>
    <w:sdtContent>
      <w:p w14:paraId="4ED39761" w14:textId="77777777" w:rsidR="00C270A0" w:rsidRDefault="00FC1570">
        <w:pPr>
          <w:pStyle w:val="Piedepgina"/>
          <w:jc w:val="right"/>
        </w:pPr>
        <w:r>
          <w:fldChar w:fldCharType="begin"/>
        </w:r>
        <w:r>
          <w:instrText>PAGE   \* MERGEFORMAT</w:instrText>
        </w:r>
        <w:r>
          <w:fldChar w:fldCharType="separate"/>
        </w:r>
        <w:r>
          <w:rPr>
            <w:noProof/>
          </w:rPr>
          <w:t>3</w:t>
        </w:r>
        <w:r>
          <w:fldChar w:fldCharType="end"/>
        </w:r>
      </w:p>
    </w:sdtContent>
  </w:sdt>
  <w:p w14:paraId="2663529C" w14:textId="77777777" w:rsidR="00C270A0" w:rsidRDefault="00C270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8C48" w14:textId="77777777" w:rsidR="00C270A0" w:rsidRDefault="00C27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88EB" w14:textId="77777777" w:rsidR="00DB4092" w:rsidRDefault="00A2423A">
      <w:r>
        <w:separator/>
      </w:r>
    </w:p>
  </w:footnote>
  <w:footnote w:type="continuationSeparator" w:id="0">
    <w:p w14:paraId="4C8377A3" w14:textId="77777777" w:rsidR="00DB4092" w:rsidRDefault="00A2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CDCB" w14:textId="77777777" w:rsidR="00C270A0" w:rsidRDefault="00C270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890"/>
      <w:gridCol w:w="4961"/>
    </w:tblGrid>
    <w:tr w:rsidR="00D70071" w:rsidRPr="00814F6B" w14:paraId="2D1C014E" w14:textId="77777777" w:rsidTr="006655E0">
      <w:tc>
        <w:tcPr>
          <w:tcW w:w="4890" w:type="dxa"/>
        </w:tcPr>
        <w:p w14:paraId="3DFBDE3B" w14:textId="77777777" w:rsidR="00C270A0" w:rsidRPr="00814F6B" w:rsidRDefault="00FC1570" w:rsidP="006655E0">
          <w:pPr>
            <w:tabs>
              <w:tab w:val="center" w:pos="4819"/>
              <w:tab w:val="right" w:pos="9071"/>
            </w:tabs>
            <w:spacing w:after="720"/>
            <w:ind w:left="74" w:right="360"/>
            <w:rPr>
              <w:rFonts w:ascii="Arial" w:hAnsi="Arial"/>
              <w:noProof/>
              <w:sz w:val="16"/>
              <w:lang w:val="es-ES_tradnl"/>
            </w:rPr>
          </w:pPr>
          <w:r w:rsidRPr="00814F6B">
            <w:rPr>
              <w:rFonts w:ascii="Arial" w:hAnsi="Arial"/>
              <w:noProof/>
            </w:rPr>
            <w:drawing>
              <wp:inline distT="0" distB="0" distL="0" distR="0" wp14:anchorId="3B9C2662" wp14:editId="70795258">
                <wp:extent cx="2076450" cy="704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inline>
            </w:drawing>
          </w:r>
        </w:p>
        <w:p w14:paraId="028961B1" w14:textId="77777777" w:rsidR="00C270A0" w:rsidRPr="00814F6B" w:rsidRDefault="00C270A0" w:rsidP="006655E0">
          <w:pPr>
            <w:tabs>
              <w:tab w:val="center" w:pos="4819"/>
              <w:tab w:val="right" w:pos="9071"/>
            </w:tabs>
            <w:ind w:left="1064"/>
            <w:rPr>
              <w:rFonts w:ascii="Arial" w:hAnsi="Arial"/>
              <w:noProof/>
              <w:sz w:val="16"/>
              <w:lang w:val="es-ES_tradnl"/>
            </w:rPr>
          </w:pPr>
        </w:p>
      </w:tc>
      <w:tc>
        <w:tcPr>
          <w:tcW w:w="4961" w:type="dxa"/>
        </w:tcPr>
        <w:p w14:paraId="6B75781F" w14:textId="77777777" w:rsidR="00C270A0" w:rsidRPr="00814F6B" w:rsidRDefault="00C270A0" w:rsidP="006655E0">
          <w:pPr>
            <w:tabs>
              <w:tab w:val="center" w:pos="4819"/>
              <w:tab w:val="right" w:pos="9071"/>
            </w:tabs>
            <w:spacing w:after="40" w:line="240" w:lineRule="exact"/>
            <w:ind w:left="-68"/>
            <w:rPr>
              <w:rFonts w:ascii="Arial" w:hAnsi="Arial"/>
              <w:b/>
              <w:noProof/>
              <w:sz w:val="18"/>
              <w:lang w:val="es-ES_tradnl"/>
            </w:rPr>
          </w:pPr>
        </w:p>
        <w:p w14:paraId="148E3FA4" w14:textId="77777777" w:rsidR="00C270A0" w:rsidRPr="00814F6B" w:rsidRDefault="00FC1570" w:rsidP="006655E0">
          <w:pPr>
            <w:tabs>
              <w:tab w:val="center" w:pos="4819"/>
              <w:tab w:val="right" w:pos="9071"/>
            </w:tabs>
            <w:spacing w:after="60" w:line="190" w:lineRule="exact"/>
            <w:ind w:left="-70"/>
            <w:rPr>
              <w:rFonts w:ascii="Arial" w:hAnsi="Arial"/>
              <w:noProof/>
              <w:sz w:val="18"/>
              <w:lang w:val="es-ES_tradnl"/>
            </w:rPr>
          </w:pPr>
          <w:r w:rsidRPr="00814F6B">
            <w:rPr>
              <w:rFonts w:ascii="Arial" w:hAnsi="Arial"/>
              <w:b/>
              <w:noProof/>
              <w:sz w:val="18"/>
              <w:lang w:val="es-ES_tradnl"/>
            </w:rPr>
            <w:t>Kontratu Errekurtsoen Foru Organo Administriboa</w:t>
          </w:r>
        </w:p>
        <w:p w14:paraId="302C433B" w14:textId="77777777" w:rsidR="00C270A0" w:rsidRPr="00814F6B" w:rsidRDefault="00FC1570" w:rsidP="006655E0">
          <w:pPr>
            <w:tabs>
              <w:tab w:val="center" w:pos="4819"/>
              <w:tab w:val="right" w:pos="9071"/>
            </w:tabs>
            <w:spacing w:after="60" w:line="190" w:lineRule="exact"/>
            <w:ind w:left="-70"/>
            <w:rPr>
              <w:rFonts w:ascii="Arial" w:hAnsi="Arial"/>
              <w:b/>
              <w:noProof/>
              <w:sz w:val="18"/>
              <w:lang w:val="es-ES_tradnl"/>
            </w:rPr>
          </w:pPr>
          <w:r w:rsidRPr="00814F6B">
            <w:rPr>
              <w:rFonts w:ascii="Arial" w:hAnsi="Arial"/>
              <w:b/>
              <w:noProof/>
              <w:sz w:val="18"/>
              <w:lang w:val="es-ES_tradnl"/>
            </w:rPr>
            <w:t>Órgano Administrativo Foral de Recursos Contractuales</w:t>
          </w:r>
        </w:p>
      </w:tc>
    </w:tr>
  </w:tbl>
  <w:p w14:paraId="266AE321" w14:textId="77777777" w:rsidR="00C270A0" w:rsidRPr="00D70071" w:rsidRDefault="00C270A0">
    <w:pPr>
      <w:pStyle w:val="Encabezado"/>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649E" w14:textId="77777777" w:rsidR="00C270A0" w:rsidRDefault="00C270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DB399F"/>
    <w:multiLevelType w:val="hybridMultilevel"/>
    <w:tmpl w:val="724ADEB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950243"/>
    <w:multiLevelType w:val="hybridMultilevel"/>
    <w:tmpl w:val="09F1F0F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029D4"/>
    <w:multiLevelType w:val="hybridMultilevel"/>
    <w:tmpl w:val="B136F4FA"/>
    <w:lvl w:ilvl="0" w:tplc="FB6C0AA4">
      <w:start w:val="1"/>
      <w:numFmt w:val="lowerRoman"/>
      <w:lvlText w:val="(%1)"/>
      <w:lvlJc w:val="left"/>
      <w:pPr>
        <w:ind w:left="1428" w:hanging="72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8074EB7"/>
    <w:multiLevelType w:val="hybridMultilevel"/>
    <w:tmpl w:val="97D090DC"/>
    <w:lvl w:ilvl="0" w:tplc="688420D2">
      <w:numFmt w:val="bullet"/>
      <w:lvlText w:val="-"/>
      <w:lvlJc w:val="left"/>
      <w:pPr>
        <w:ind w:left="720" w:hanging="360"/>
      </w:pPr>
      <w:rPr>
        <w:rFonts w:ascii="TimesNewRoman" w:eastAsia="Times New Roman"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EFFDBF"/>
    <w:multiLevelType w:val="hybridMultilevel"/>
    <w:tmpl w:val="138A673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76430466">
    <w:abstractNumId w:val="2"/>
  </w:num>
  <w:num w:numId="2" w16cid:durableId="826480874">
    <w:abstractNumId w:val="1"/>
  </w:num>
  <w:num w:numId="3" w16cid:durableId="1820071364">
    <w:abstractNumId w:val="0"/>
  </w:num>
  <w:num w:numId="4" w16cid:durableId="1082945859">
    <w:abstractNumId w:val="4"/>
  </w:num>
  <w:num w:numId="5" w16cid:durableId="100686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70"/>
    <w:rsid w:val="00093454"/>
    <w:rsid w:val="000D0FD4"/>
    <w:rsid w:val="000D7AFB"/>
    <w:rsid w:val="000E4DB5"/>
    <w:rsid w:val="00116971"/>
    <w:rsid w:val="0016346E"/>
    <w:rsid w:val="00190A39"/>
    <w:rsid w:val="00203457"/>
    <w:rsid w:val="0020424F"/>
    <w:rsid w:val="00211A8F"/>
    <w:rsid w:val="002E118B"/>
    <w:rsid w:val="003A2D17"/>
    <w:rsid w:val="003E04F2"/>
    <w:rsid w:val="003E4AD3"/>
    <w:rsid w:val="00477D17"/>
    <w:rsid w:val="00490179"/>
    <w:rsid w:val="004E285D"/>
    <w:rsid w:val="00556813"/>
    <w:rsid w:val="005A1493"/>
    <w:rsid w:val="005B32C7"/>
    <w:rsid w:val="0063144D"/>
    <w:rsid w:val="00651A54"/>
    <w:rsid w:val="0066685D"/>
    <w:rsid w:val="00716F9B"/>
    <w:rsid w:val="007669E2"/>
    <w:rsid w:val="00773A17"/>
    <w:rsid w:val="00775602"/>
    <w:rsid w:val="00796EBD"/>
    <w:rsid w:val="007B4738"/>
    <w:rsid w:val="007F377C"/>
    <w:rsid w:val="00804D2C"/>
    <w:rsid w:val="00875C63"/>
    <w:rsid w:val="008B7E94"/>
    <w:rsid w:val="008D3A13"/>
    <w:rsid w:val="00944A44"/>
    <w:rsid w:val="00996A13"/>
    <w:rsid w:val="009B2C21"/>
    <w:rsid w:val="009F45F0"/>
    <w:rsid w:val="00A10CC5"/>
    <w:rsid w:val="00A2423A"/>
    <w:rsid w:val="00A349BE"/>
    <w:rsid w:val="00A3672B"/>
    <w:rsid w:val="00A44691"/>
    <w:rsid w:val="00A938BA"/>
    <w:rsid w:val="00BA7C9D"/>
    <w:rsid w:val="00BB0E1A"/>
    <w:rsid w:val="00BD01AD"/>
    <w:rsid w:val="00BD7137"/>
    <w:rsid w:val="00BE5A24"/>
    <w:rsid w:val="00C033E5"/>
    <w:rsid w:val="00C11BD8"/>
    <w:rsid w:val="00C13ADD"/>
    <w:rsid w:val="00C270A0"/>
    <w:rsid w:val="00C474A6"/>
    <w:rsid w:val="00C81601"/>
    <w:rsid w:val="00C84BFC"/>
    <w:rsid w:val="00CC2B8D"/>
    <w:rsid w:val="00CF1425"/>
    <w:rsid w:val="00D55497"/>
    <w:rsid w:val="00D57B0A"/>
    <w:rsid w:val="00D81D7D"/>
    <w:rsid w:val="00DB0595"/>
    <w:rsid w:val="00DB4092"/>
    <w:rsid w:val="00DE3D67"/>
    <w:rsid w:val="00E0771B"/>
    <w:rsid w:val="00E57925"/>
    <w:rsid w:val="00E90AC7"/>
    <w:rsid w:val="00E91EFA"/>
    <w:rsid w:val="00E92B28"/>
    <w:rsid w:val="00EA17AA"/>
    <w:rsid w:val="00EB4C4C"/>
    <w:rsid w:val="00ED4338"/>
    <w:rsid w:val="00ED762C"/>
    <w:rsid w:val="00EE18C6"/>
    <w:rsid w:val="00EE76F2"/>
    <w:rsid w:val="00F26074"/>
    <w:rsid w:val="00F30ED5"/>
    <w:rsid w:val="00F570CD"/>
    <w:rsid w:val="00F77411"/>
    <w:rsid w:val="00FC1570"/>
    <w:rsid w:val="00FF4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812E"/>
  <w15:chartTrackingRefBased/>
  <w15:docId w15:val="{A83A4D9C-6DF1-4658-814D-099B854C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7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FC1570"/>
    <w:pPr>
      <w:spacing w:before="240"/>
      <w:outlineLvl w:val="0"/>
    </w:pPr>
    <w:rPr>
      <w:rFonts w:ascii="Arial" w:hAnsi="Arial"/>
      <w:b/>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1570"/>
    <w:rPr>
      <w:rFonts w:ascii="Arial" w:eastAsia="Times New Roman" w:hAnsi="Arial" w:cs="Times New Roman"/>
      <w:b/>
      <w:sz w:val="24"/>
      <w:szCs w:val="20"/>
      <w:u w:val="single"/>
      <w:lang w:val="es-ES_tradnl" w:eastAsia="es-ES"/>
    </w:rPr>
  </w:style>
  <w:style w:type="paragraph" w:styleId="Piedepgina">
    <w:name w:val="footer"/>
    <w:basedOn w:val="Normal"/>
    <w:link w:val="PiedepginaCar"/>
    <w:uiPriority w:val="99"/>
    <w:unhideWhenUsed/>
    <w:rsid w:val="00FC1570"/>
    <w:pPr>
      <w:tabs>
        <w:tab w:val="center" w:pos="4252"/>
        <w:tab w:val="right" w:pos="8504"/>
      </w:tabs>
    </w:pPr>
  </w:style>
  <w:style w:type="character" w:customStyle="1" w:styleId="PiedepginaCar">
    <w:name w:val="Pie de página Car"/>
    <w:basedOn w:val="Fuentedeprrafopredeter"/>
    <w:link w:val="Piedepgina"/>
    <w:uiPriority w:val="99"/>
    <w:rsid w:val="00FC1570"/>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semiHidden/>
    <w:unhideWhenUsed/>
    <w:rsid w:val="00FC1570"/>
    <w:pPr>
      <w:tabs>
        <w:tab w:val="left" w:pos="851"/>
      </w:tabs>
      <w:spacing w:after="120"/>
      <w:jc w:val="both"/>
    </w:pPr>
    <w:rPr>
      <w:rFonts w:ascii="Arial" w:hAnsi="Arial"/>
      <w:sz w:val="26"/>
      <w:lang w:val="es-ES_tradnl"/>
    </w:rPr>
  </w:style>
  <w:style w:type="character" w:customStyle="1" w:styleId="TextoindependienteCar">
    <w:name w:val="Texto independiente Car"/>
    <w:basedOn w:val="Fuentedeprrafopredeter"/>
    <w:link w:val="Textoindependiente"/>
    <w:semiHidden/>
    <w:rsid w:val="00FC1570"/>
    <w:rPr>
      <w:rFonts w:ascii="Arial" w:eastAsia="Times New Roman" w:hAnsi="Arial" w:cs="Times New Roman"/>
      <w:sz w:val="26"/>
      <w:szCs w:val="20"/>
      <w:lang w:val="es-ES_tradnl" w:eastAsia="es-ES"/>
    </w:rPr>
  </w:style>
  <w:style w:type="paragraph" w:styleId="Textoindependiente2">
    <w:name w:val="Body Text 2"/>
    <w:basedOn w:val="Normal"/>
    <w:link w:val="Textoindependiente2Car"/>
    <w:semiHidden/>
    <w:unhideWhenUsed/>
    <w:rsid w:val="00FC1570"/>
    <w:pPr>
      <w:jc w:val="both"/>
    </w:pPr>
    <w:rPr>
      <w:i/>
      <w:sz w:val="24"/>
    </w:rPr>
  </w:style>
  <w:style w:type="character" w:customStyle="1" w:styleId="Textoindependiente2Car">
    <w:name w:val="Texto independiente 2 Car"/>
    <w:basedOn w:val="Fuentedeprrafopredeter"/>
    <w:link w:val="Textoindependiente2"/>
    <w:semiHidden/>
    <w:rsid w:val="00FC1570"/>
    <w:rPr>
      <w:rFonts w:ascii="Times New Roman" w:eastAsia="Times New Roman" w:hAnsi="Times New Roman" w:cs="Times New Roman"/>
      <w:i/>
      <w:sz w:val="24"/>
      <w:szCs w:val="20"/>
      <w:lang w:eastAsia="es-ES"/>
    </w:rPr>
  </w:style>
  <w:style w:type="paragraph" w:customStyle="1" w:styleId="Estilo1">
    <w:name w:val="Estilo1"/>
    <w:basedOn w:val="Normal"/>
    <w:rsid w:val="00FC1570"/>
    <w:pPr>
      <w:tabs>
        <w:tab w:val="left" w:pos="1418"/>
      </w:tabs>
      <w:spacing w:after="120"/>
      <w:ind w:firstLine="709"/>
      <w:jc w:val="both"/>
    </w:pPr>
    <w:rPr>
      <w:sz w:val="24"/>
      <w:lang w:val="es-ES_tradnl"/>
    </w:rPr>
  </w:style>
  <w:style w:type="paragraph" w:styleId="Encabezado">
    <w:name w:val="header"/>
    <w:basedOn w:val="Normal"/>
    <w:link w:val="EncabezadoCar"/>
    <w:uiPriority w:val="99"/>
    <w:unhideWhenUsed/>
    <w:rsid w:val="00FC1570"/>
    <w:pPr>
      <w:tabs>
        <w:tab w:val="center" w:pos="4252"/>
        <w:tab w:val="right" w:pos="8504"/>
      </w:tabs>
    </w:pPr>
  </w:style>
  <w:style w:type="character" w:customStyle="1" w:styleId="EncabezadoCar">
    <w:name w:val="Encabezado Car"/>
    <w:basedOn w:val="Fuentedeprrafopredeter"/>
    <w:link w:val="Encabezado"/>
    <w:uiPriority w:val="99"/>
    <w:rsid w:val="00FC1570"/>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2E11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18B"/>
    <w:rPr>
      <w:rFonts w:ascii="Segoe UI" w:eastAsia="Times New Roman" w:hAnsi="Segoe UI" w:cs="Segoe UI"/>
      <w:sz w:val="18"/>
      <w:szCs w:val="18"/>
      <w:lang w:eastAsia="es-ES"/>
    </w:rPr>
  </w:style>
  <w:style w:type="paragraph" w:styleId="Prrafodelista">
    <w:name w:val="List Paragraph"/>
    <w:basedOn w:val="Normal"/>
    <w:uiPriority w:val="34"/>
    <w:qFormat/>
    <w:rsid w:val="003A2D17"/>
    <w:pPr>
      <w:ind w:left="720"/>
      <w:contextualSpacing/>
    </w:pPr>
  </w:style>
  <w:style w:type="paragraph" w:customStyle="1" w:styleId="Default">
    <w:name w:val="Default"/>
    <w:rsid w:val="000D0FD4"/>
    <w:pPr>
      <w:autoSpaceDE w:val="0"/>
      <w:autoSpaceDN w:val="0"/>
      <w:adjustRightInd w:val="0"/>
      <w:spacing w:after="0" w:line="240" w:lineRule="auto"/>
    </w:pPr>
    <w:rPr>
      <w:rFonts w:ascii="Century Gothic" w:hAnsi="Century Gothic" w:cs="Century Gothic"/>
      <w:color w:val="000000"/>
      <w:sz w:val="24"/>
      <w:szCs w:val="24"/>
    </w:rPr>
  </w:style>
  <w:style w:type="character" w:styleId="Textoennegrita">
    <w:name w:val="Strong"/>
    <w:basedOn w:val="Fuentedeprrafopredeter"/>
    <w:uiPriority w:val="22"/>
    <w:qFormat/>
    <w:rsid w:val="00CF1425"/>
    <w:rPr>
      <w:b/>
      <w:bCs/>
    </w:rPr>
  </w:style>
  <w:style w:type="paragraph" w:styleId="NormalWeb">
    <w:name w:val="Normal (Web)"/>
    <w:basedOn w:val="Normal"/>
    <w:uiPriority w:val="99"/>
    <w:semiHidden/>
    <w:unhideWhenUsed/>
    <w:rsid w:val="00190A3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1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1376</Words>
  <Characters>7173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Diputación Foral de Alava Arabako foru aldundia</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Arregui Lacuesta, Jon</dc:creator>
  <cp:keywords/>
  <dc:description/>
  <cp:lastModifiedBy>Achotegui Martinez de Arenaza, Fernando</cp:lastModifiedBy>
  <cp:revision>4</cp:revision>
  <cp:lastPrinted>2026-07-02T07:18:00Z</cp:lastPrinted>
  <dcterms:created xsi:type="dcterms:W3CDTF">2026-07-02T07:17:00Z</dcterms:created>
  <dcterms:modified xsi:type="dcterms:W3CDTF">2026-07-02T07:18:00Z</dcterms:modified>
</cp:coreProperties>
</file>