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871AA1" w14:paraId="489AAD9D" w14:textId="77777777" w:rsidTr="009A271C">
        <w:trPr>
          <w:trHeight w:val="2093"/>
        </w:trPr>
        <w:tc>
          <w:tcPr>
            <w:tcW w:w="4375" w:type="dxa"/>
            <w:hideMark/>
          </w:tcPr>
          <w:p w14:paraId="708AA5C0" w14:textId="3685E8B0" w:rsidR="00BE2D5E" w:rsidRDefault="00871AA1" w:rsidP="00BE2D5E">
            <w:pPr>
              <w:pStyle w:val="Ttulo1"/>
              <w:spacing w:before="120" w:after="120"/>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w:t>
            </w:r>
            <w:r w:rsidR="00BE2D5E">
              <w:rPr>
                <w:rFonts w:ascii="Times New Roman" w:hAnsi="Times New Roman"/>
                <w:b w:val="0"/>
                <w:sz w:val="22"/>
                <w:u w:val="none"/>
                <w:lang w:eastAsia="en-US"/>
              </w:rPr>
              <w:t xml:space="preserve">Recurso Especial </w:t>
            </w:r>
            <w:r w:rsidR="00CA6D24">
              <w:rPr>
                <w:rFonts w:ascii="Times New Roman" w:hAnsi="Times New Roman"/>
                <w:b w:val="0"/>
                <w:sz w:val="22"/>
                <w:u w:val="none"/>
                <w:lang w:eastAsia="en-US"/>
              </w:rPr>
              <w:t xml:space="preserve">de </w:t>
            </w:r>
            <w:r w:rsidR="00CF7C5B">
              <w:rPr>
                <w:rFonts w:ascii="Times New Roman" w:hAnsi="Times New Roman"/>
                <w:b w:val="0"/>
                <w:sz w:val="22"/>
                <w:u w:val="none"/>
                <w:lang w:eastAsia="en-US"/>
              </w:rPr>
              <w:t>XXXXX XXXXXXXXXXXXXXXXXXXXXXXXXXXXXXXXXXXX</w:t>
            </w:r>
            <w:r w:rsidR="00CA6D24">
              <w:rPr>
                <w:rFonts w:ascii="Times New Roman" w:hAnsi="Times New Roman"/>
                <w:b w:val="0"/>
                <w:sz w:val="22"/>
                <w:u w:val="none"/>
                <w:lang w:eastAsia="en-US"/>
              </w:rPr>
              <w:t xml:space="preserve"> contra la adjudicación del contrato de servicios profesionales para el asesoramiento y la defensa jurídica y judicial del Área del Menor y Familia del Instituto Foral de Bienestar Social</w:t>
            </w:r>
            <w:r w:rsidR="00BE2D5E">
              <w:rPr>
                <w:rFonts w:ascii="Times New Roman" w:hAnsi="Times New Roman"/>
                <w:b w:val="0"/>
                <w:sz w:val="22"/>
                <w:u w:val="none"/>
                <w:lang w:eastAsia="en-US"/>
              </w:rPr>
              <w:t>.</w:t>
            </w:r>
          </w:p>
          <w:p w14:paraId="2026C4A1" w14:textId="2E99394A" w:rsidR="00022797" w:rsidRPr="00022797" w:rsidRDefault="00022797" w:rsidP="00022797">
            <w:pPr>
              <w:jc w:val="both"/>
              <w:rPr>
                <w:sz w:val="22"/>
                <w:szCs w:val="22"/>
                <w:lang w:val="es-ES_tradnl" w:eastAsia="en-US"/>
              </w:rPr>
            </w:pPr>
            <w:r w:rsidRPr="00022797">
              <w:rPr>
                <w:sz w:val="22"/>
                <w:szCs w:val="22"/>
                <w:lang w:val="es-ES_tradnl" w:eastAsia="en-US"/>
              </w:rPr>
              <w:t xml:space="preserve">Recurso extraordinario de revisión de </w:t>
            </w:r>
            <w:r w:rsidR="00CF7C5B">
              <w:rPr>
                <w:sz w:val="22"/>
                <w:szCs w:val="22"/>
                <w:lang w:val="es-ES_tradnl" w:eastAsia="en-US"/>
              </w:rPr>
              <w:t xml:space="preserve">XXXX XXXXXXXXXXXXXXXXXXXXXXXXXXXXXXXXXXXXX </w:t>
            </w:r>
            <w:r w:rsidRPr="00022797">
              <w:rPr>
                <w:sz w:val="22"/>
                <w:szCs w:val="22"/>
              </w:rPr>
              <w:t>frente a la Resolución 38/2025, de 31 de octubre, que ha puesto término al recurso especial</w:t>
            </w:r>
          </w:p>
          <w:p w14:paraId="16C5F14A" w14:textId="57EB3B0A" w:rsidR="00871AA1" w:rsidRDefault="00BE2D5E" w:rsidP="00BE2D5E">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w:t>
            </w:r>
            <w:proofErr w:type="spellStart"/>
            <w:r>
              <w:rPr>
                <w:rFonts w:ascii="Times New Roman" w:hAnsi="Times New Roman"/>
                <w:sz w:val="22"/>
                <w:lang w:eastAsia="en-US"/>
              </w:rPr>
              <w:t>Nº</w:t>
            </w:r>
            <w:proofErr w:type="spellEnd"/>
            <w:r>
              <w:rPr>
                <w:rFonts w:ascii="Times New Roman" w:hAnsi="Times New Roman"/>
                <w:sz w:val="22"/>
                <w:lang w:eastAsia="en-US"/>
              </w:rPr>
              <w:t xml:space="preserve">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w:t>
            </w:r>
            <w:r w:rsidR="00CA6D24">
              <w:rPr>
                <w:rFonts w:ascii="Times New Roman" w:hAnsi="Times New Roman"/>
                <w:b w:val="0"/>
                <w:sz w:val="22"/>
                <w:u w:val="none"/>
                <w:lang w:eastAsia="en-US"/>
              </w:rPr>
              <w:t>5</w:t>
            </w:r>
            <w:r>
              <w:rPr>
                <w:rFonts w:ascii="Times New Roman" w:hAnsi="Times New Roman"/>
                <w:b w:val="0"/>
                <w:sz w:val="22"/>
                <w:u w:val="none"/>
                <w:lang w:eastAsia="en-US"/>
              </w:rPr>
              <w:t>/</w:t>
            </w:r>
            <w:r w:rsidR="00CA6D24">
              <w:rPr>
                <w:rFonts w:ascii="Times New Roman" w:hAnsi="Times New Roman"/>
                <w:b w:val="0"/>
                <w:sz w:val="22"/>
                <w:u w:val="none"/>
                <w:lang w:eastAsia="en-US"/>
              </w:rPr>
              <w:t>15</w:t>
            </w:r>
          </w:p>
        </w:tc>
        <w:tc>
          <w:tcPr>
            <w:tcW w:w="20" w:type="dxa"/>
            <w:hideMark/>
          </w:tcPr>
          <w:p w14:paraId="42C66811" w14:textId="77777777" w:rsidR="00871AA1" w:rsidRDefault="00871AA1" w:rsidP="009A271C">
            <w:pPr>
              <w:spacing w:before="120" w:after="120" w:line="276" w:lineRule="auto"/>
              <w:rPr>
                <w:lang w:eastAsia="en-US"/>
              </w:rPr>
            </w:pPr>
            <w:r>
              <w:rPr>
                <w:lang w:val="es-ES_tradnl" w:eastAsia="en-US"/>
              </w:rPr>
              <w:t xml:space="preserve"> </w:t>
            </w:r>
          </w:p>
        </w:tc>
        <w:tc>
          <w:tcPr>
            <w:tcW w:w="4677" w:type="dxa"/>
          </w:tcPr>
          <w:p w14:paraId="50933941" w14:textId="77777777" w:rsidR="00871AA1" w:rsidRDefault="00871AA1" w:rsidP="009A271C">
            <w:pPr>
              <w:pStyle w:val="Piedepgina"/>
              <w:tabs>
                <w:tab w:val="clear" w:pos="4252"/>
                <w:tab w:val="right" w:pos="4677"/>
              </w:tabs>
              <w:spacing w:before="120" w:after="120" w:line="276" w:lineRule="auto"/>
              <w:rPr>
                <w:b/>
                <w:lang w:eastAsia="en-US"/>
              </w:rPr>
            </w:pPr>
          </w:p>
          <w:p w14:paraId="3B084DBA" w14:textId="77777777" w:rsidR="00871AA1" w:rsidRDefault="00871AA1" w:rsidP="009A271C">
            <w:pPr>
              <w:spacing w:line="276" w:lineRule="auto"/>
              <w:jc w:val="center"/>
              <w:rPr>
                <w:b/>
                <w:lang w:eastAsia="en-US"/>
              </w:rPr>
            </w:pPr>
          </w:p>
        </w:tc>
      </w:tr>
    </w:tbl>
    <w:p w14:paraId="71034017" w14:textId="77777777" w:rsidR="00871AA1" w:rsidRDefault="00871AA1" w:rsidP="00871AA1">
      <w:pPr>
        <w:tabs>
          <w:tab w:val="left" w:pos="3261"/>
        </w:tabs>
        <w:spacing w:after="480"/>
        <w:jc w:val="both"/>
        <w:rPr>
          <w:sz w:val="22"/>
        </w:rPr>
      </w:pPr>
    </w:p>
    <w:p w14:paraId="24BEAD51" w14:textId="4A78D2EB" w:rsidR="00871AA1" w:rsidRDefault="00871AA1" w:rsidP="00871AA1">
      <w:pPr>
        <w:tabs>
          <w:tab w:val="left" w:pos="3261"/>
        </w:tabs>
        <w:spacing w:after="480"/>
        <w:jc w:val="center"/>
        <w:rPr>
          <w:b/>
          <w:sz w:val="22"/>
          <w:u w:val="single"/>
        </w:rPr>
      </w:pPr>
      <w:r>
        <w:rPr>
          <w:b/>
          <w:sz w:val="22"/>
          <w:u w:val="single"/>
        </w:rPr>
        <w:t xml:space="preserve">RESOLUCION </w:t>
      </w:r>
      <w:r w:rsidR="00A300B5">
        <w:rPr>
          <w:b/>
          <w:sz w:val="22"/>
          <w:u w:val="single"/>
        </w:rPr>
        <w:t>2</w:t>
      </w:r>
      <w:r w:rsidR="005B6A30">
        <w:rPr>
          <w:b/>
          <w:sz w:val="22"/>
          <w:u w:val="single"/>
        </w:rPr>
        <w:t>/</w:t>
      </w:r>
      <w:r>
        <w:rPr>
          <w:b/>
          <w:sz w:val="22"/>
          <w:u w:val="single"/>
        </w:rPr>
        <w:t>202</w:t>
      </w:r>
      <w:r w:rsidR="00234D74">
        <w:rPr>
          <w:b/>
          <w:sz w:val="22"/>
          <w:u w:val="single"/>
        </w:rPr>
        <w:t>6</w:t>
      </w:r>
    </w:p>
    <w:p w14:paraId="420BB2C0" w14:textId="2F2499D0" w:rsidR="00871AA1" w:rsidRDefault="00871AA1" w:rsidP="00871AA1">
      <w:pPr>
        <w:tabs>
          <w:tab w:val="left" w:pos="3261"/>
        </w:tabs>
        <w:spacing w:after="480"/>
        <w:jc w:val="both"/>
        <w:rPr>
          <w:sz w:val="22"/>
        </w:rPr>
      </w:pPr>
      <w:r>
        <w:rPr>
          <w:sz w:val="22"/>
        </w:rPr>
        <w:t>En Vitoria-Gasteiz, a</w:t>
      </w:r>
      <w:r w:rsidR="005B6A30">
        <w:rPr>
          <w:sz w:val="22"/>
        </w:rPr>
        <w:t xml:space="preserve"> </w:t>
      </w:r>
      <w:r w:rsidR="00A300B5">
        <w:rPr>
          <w:sz w:val="22"/>
        </w:rPr>
        <w:t>10</w:t>
      </w:r>
      <w:r w:rsidR="004F28D2">
        <w:rPr>
          <w:sz w:val="22"/>
        </w:rPr>
        <w:t xml:space="preserve"> </w:t>
      </w:r>
      <w:r w:rsidR="005B6A30">
        <w:rPr>
          <w:sz w:val="22"/>
        </w:rPr>
        <w:t xml:space="preserve">de </w:t>
      </w:r>
      <w:r w:rsidR="00234D74">
        <w:rPr>
          <w:sz w:val="22"/>
        </w:rPr>
        <w:t>febrero</w:t>
      </w:r>
      <w:r w:rsidR="005B6A30">
        <w:rPr>
          <w:sz w:val="22"/>
        </w:rPr>
        <w:t xml:space="preserve"> de 202</w:t>
      </w:r>
      <w:r w:rsidR="00234D74">
        <w:rPr>
          <w:sz w:val="22"/>
        </w:rPr>
        <w:t>6</w:t>
      </w:r>
      <w:r>
        <w:rPr>
          <w:sz w:val="22"/>
        </w:rPr>
        <w:t>.</w:t>
      </w:r>
    </w:p>
    <w:p w14:paraId="23BCBC0E" w14:textId="34D226F4" w:rsidR="00CA6D24" w:rsidRPr="000C6A30" w:rsidRDefault="00CA6D24" w:rsidP="00CA6D24">
      <w:pPr>
        <w:spacing w:before="120" w:after="120"/>
        <w:jc w:val="both"/>
        <w:rPr>
          <w:sz w:val="22"/>
        </w:rPr>
      </w:pPr>
      <w:r>
        <w:rPr>
          <w:sz w:val="22"/>
        </w:rPr>
        <w:t xml:space="preserve">El Órgano Administrativo Foral de Recursos Contractuales de la Diputación Foral de Álava ha dictado la siguiente RESOLUCIÓN en relación con </w:t>
      </w:r>
      <w:r w:rsidR="00B9661D">
        <w:rPr>
          <w:sz w:val="22"/>
        </w:rPr>
        <w:t>la solicitud</w:t>
      </w:r>
      <w:r w:rsidR="007A1CD4">
        <w:rPr>
          <w:sz w:val="22"/>
        </w:rPr>
        <w:t>, calificada de recurso extraordinario de revisión,</w:t>
      </w:r>
      <w:r w:rsidR="00B9661D">
        <w:rPr>
          <w:sz w:val="22"/>
        </w:rPr>
        <w:t xml:space="preserve"> formulada el día 13 de noviembre de 2025 por </w:t>
      </w:r>
      <w:r w:rsidR="00CF7C5B">
        <w:rPr>
          <w:sz w:val="22"/>
        </w:rPr>
        <w:t>XXXXXXXXXXXXX XXXXXXXXXXXXXXXXXXXXXXXXXXXXXXX</w:t>
      </w:r>
      <w:r w:rsidR="00B9661D">
        <w:rPr>
          <w:sz w:val="22"/>
        </w:rPr>
        <w:t xml:space="preserve">, </w:t>
      </w:r>
      <w:r w:rsidR="00E00B6D">
        <w:rPr>
          <w:sz w:val="22"/>
        </w:rPr>
        <w:t>contra la Resolución n.º 38/2025, de 31 de octubre, que estimó el recurso n</w:t>
      </w:r>
      <w:r w:rsidR="00B9661D">
        <w:rPr>
          <w:sz w:val="22"/>
        </w:rPr>
        <w:t xml:space="preserve">.º de expediente 2025/15 </w:t>
      </w:r>
      <w:r w:rsidR="00F269FB">
        <w:rPr>
          <w:sz w:val="22"/>
        </w:rPr>
        <w:t xml:space="preserve">interpuesto por </w:t>
      </w:r>
      <w:r w:rsidR="00CF7C5B">
        <w:rPr>
          <w:sz w:val="22"/>
        </w:rPr>
        <w:t>XXXXXXXXX XXXXXXXXXXXXXXXXXXXXXXXXXXXXXXXX</w:t>
      </w:r>
      <w:r w:rsidR="00F269FB">
        <w:rPr>
          <w:sz w:val="22"/>
        </w:rPr>
        <w:t xml:space="preserve"> contra el Acuerdo de 19 de junio de 2025, del Consejo de Administración del Instituto Foral de Bienestar Social, de “Adjudicación del expediente de contratación de los servicios profesionales para el asesoramiento y la defensa jurídica y judicial del Área del Menor y Familia” del mencionado Instituto Foral (</w:t>
      </w:r>
      <w:proofErr w:type="spellStart"/>
      <w:r w:rsidR="00F269FB">
        <w:rPr>
          <w:sz w:val="22"/>
        </w:rPr>
        <w:t>expte</w:t>
      </w:r>
      <w:proofErr w:type="spellEnd"/>
      <w:r w:rsidR="00F269FB">
        <w:rPr>
          <w:sz w:val="22"/>
        </w:rPr>
        <w:t>. 2/2024)</w:t>
      </w:r>
      <w:r>
        <w:rPr>
          <w:sz w:val="22"/>
        </w:rPr>
        <w:t>.</w:t>
      </w:r>
    </w:p>
    <w:p w14:paraId="27D2C00F" w14:textId="4079A92D" w:rsidR="00CA6D24" w:rsidRDefault="00F269FB" w:rsidP="00CA6D24">
      <w:pPr>
        <w:tabs>
          <w:tab w:val="left" w:pos="3261"/>
        </w:tabs>
        <w:spacing w:after="120" w:line="276" w:lineRule="auto"/>
        <w:jc w:val="both"/>
        <w:rPr>
          <w:sz w:val="22"/>
        </w:rPr>
      </w:pPr>
      <w:r>
        <w:rPr>
          <w:sz w:val="22"/>
        </w:rPr>
        <w:t>Son</w:t>
      </w:r>
      <w:r w:rsidR="00CA6D24">
        <w:rPr>
          <w:sz w:val="22"/>
        </w:rPr>
        <w:t xml:space="preserve"> partes en </w:t>
      </w:r>
      <w:r w:rsidR="00E00B6D">
        <w:rPr>
          <w:sz w:val="22"/>
        </w:rPr>
        <w:t xml:space="preserve">el </w:t>
      </w:r>
      <w:r w:rsidR="002601C1">
        <w:rPr>
          <w:sz w:val="22"/>
        </w:rPr>
        <w:t>recurso extraordinario de revisión</w:t>
      </w:r>
      <w:r w:rsidR="00CA6D24">
        <w:rPr>
          <w:sz w:val="22"/>
        </w:rPr>
        <w:t>: como RECURRENTES,</w:t>
      </w:r>
      <w:r w:rsidR="00CF7C5B">
        <w:rPr>
          <w:sz w:val="22"/>
        </w:rPr>
        <w:t xml:space="preserve"> XXXXXXXXXX XXXXXXXXXXXXXXXXXXXXXXXXXXXXXXXXXXXXXXXXXXXXXXXX </w:t>
      </w:r>
      <w:r w:rsidR="002601C1">
        <w:rPr>
          <w:sz w:val="22"/>
        </w:rPr>
        <w:t>y, como RECURRIDAS, el INSTITUTO FORAL DE BIENESTAR SOCIAL (IFBS), siendo el órgano de contratación el Consejo de Administración del mismo Instituto Foral, y</w:t>
      </w:r>
      <w:r w:rsidR="00CF7C5B">
        <w:rPr>
          <w:sz w:val="22"/>
        </w:rPr>
        <w:t xml:space="preserve"> XXXXXXX XXXXXXXXXXXXXXXXXXXXXXXXXXXXXXXXXXXXXXXXXXXX.</w:t>
      </w:r>
    </w:p>
    <w:p w14:paraId="53E4D375" w14:textId="3FE6B5C8" w:rsidR="00871AA1" w:rsidRDefault="00871AA1" w:rsidP="00D44891">
      <w:pPr>
        <w:spacing w:before="120" w:after="120"/>
        <w:jc w:val="both"/>
        <w:rPr>
          <w:sz w:val="22"/>
        </w:rPr>
      </w:pPr>
      <w:r>
        <w:rPr>
          <w:sz w:val="22"/>
        </w:rPr>
        <w:t>Vist</w:t>
      </w:r>
      <w:r w:rsidR="00F269FB">
        <w:rPr>
          <w:sz w:val="22"/>
        </w:rPr>
        <w:t>a</w:t>
      </w:r>
      <w:r>
        <w:rPr>
          <w:sz w:val="22"/>
        </w:rPr>
        <w:t xml:space="preserve"> </w:t>
      </w:r>
      <w:r w:rsidR="00F269FB">
        <w:rPr>
          <w:sz w:val="22"/>
        </w:rPr>
        <w:t>la solicitud formulad</w:t>
      </w:r>
      <w:r>
        <w:rPr>
          <w:sz w:val="22"/>
        </w:rPr>
        <w:t>, este Órgano efectúa las siguientes consideraciones:</w:t>
      </w:r>
    </w:p>
    <w:p w14:paraId="26A7C2AA" w14:textId="77777777" w:rsidR="002601C1" w:rsidRDefault="002601C1" w:rsidP="00871AA1">
      <w:pPr>
        <w:spacing w:after="120"/>
        <w:jc w:val="center"/>
        <w:rPr>
          <w:b/>
          <w:sz w:val="22"/>
        </w:rPr>
      </w:pPr>
    </w:p>
    <w:p w14:paraId="7D9A2FD6" w14:textId="77777777" w:rsidR="00871AA1" w:rsidRDefault="00871AA1" w:rsidP="00871AA1">
      <w:pPr>
        <w:spacing w:after="120"/>
        <w:jc w:val="center"/>
        <w:rPr>
          <w:b/>
          <w:sz w:val="22"/>
        </w:rPr>
      </w:pPr>
      <w:r>
        <w:rPr>
          <w:b/>
          <w:sz w:val="22"/>
        </w:rPr>
        <w:t>ANTECEDENTES DE HECHO</w:t>
      </w:r>
    </w:p>
    <w:p w14:paraId="1F2A17C2" w14:textId="77777777" w:rsidR="00871AA1" w:rsidRDefault="00871AA1" w:rsidP="00871AA1">
      <w:pPr>
        <w:pStyle w:val="Estilo1"/>
        <w:tabs>
          <w:tab w:val="left" w:pos="567"/>
        </w:tabs>
        <w:ind w:firstLine="0"/>
        <w:rPr>
          <w:b/>
          <w:sz w:val="22"/>
          <w:szCs w:val="22"/>
          <w:lang w:val="es-ES"/>
        </w:rPr>
      </w:pPr>
    </w:p>
    <w:p w14:paraId="4A29DF1E" w14:textId="7E5FCF21" w:rsidR="00CA6D24" w:rsidRDefault="00CA6D24" w:rsidP="00CA6D24">
      <w:pPr>
        <w:spacing w:before="120" w:after="120"/>
        <w:jc w:val="both"/>
        <w:rPr>
          <w:sz w:val="22"/>
          <w:szCs w:val="22"/>
        </w:rPr>
      </w:pPr>
      <w:r>
        <w:rPr>
          <w:b/>
          <w:sz w:val="22"/>
          <w:szCs w:val="22"/>
        </w:rPr>
        <w:t>1º.</w:t>
      </w:r>
      <w:r w:rsidRPr="001C3979">
        <w:rPr>
          <w:sz w:val="22"/>
        </w:rPr>
        <w:t xml:space="preserve"> </w:t>
      </w:r>
      <w:r>
        <w:rPr>
          <w:sz w:val="22"/>
        </w:rPr>
        <w:t xml:space="preserve">Mediante Acuerdo de 1 de agosto de 2024, el Consejo de Administración del IFBS determinó la necesidad de contratar y aprobó el expediente de contratación de los servicios </w:t>
      </w:r>
      <w:r w:rsidRPr="00417109">
        <w:rPr>
          <w:sz w:val="22"/>
        </w:rPr>
        <w:t>profesionales para el asesoramiento y la defensa jurídica y judicial del área del Menor y Familia del IFBS</w:t>
      </w:r>
      <w:r w:rsidR="00CC5BF0">
        <w:rPr>
          <w:sz w:val="22"/>
        </w:rPr>
        <w:t>,</w:t>
      </w:r>
      <w:r>
        <w:rPr>
          <w:sz w:val="22"/>
        </w:rPr>
        <w:t xml:space="preserve"> a </w:t>
      </w:r>
      <w:r>
        <w:rPr>
          <w:sz w:val="22"/>
        </w:rPr>
        <w:lastRenderedPageBreak/>
        <w:t>tramitar como procedimiento abierto, con un presupuesto base de licitación de 242.000 € (IVA incluido) y un valor estimado de 500.000 € (IVA excluido).</w:t>
      </w:r>
    </w:p>
    <w:p w14:paraId="4361658E" w14:textId="0EAAD7D6" w:rsidR="00CA6D24" w:rsidRDefault="00CA6D24" w:rsidP="00CA6D24">
      <w:pPr>
        <w:pStyle w:val="Estilo1"/>
        <w:tabs>
          <w:tab w:val="left" w:pos="567"/>
        </w:tabs>
        <w:ind w:firstLine="0"/>
        <w:rPr>
          <w:sz w:val="22"/>
          <w:szCs w:val="22"/>
          <w:lang w:val="es-ES"/>
        </w:rPr>
      </w:pPr>
      <w:bookmarkStart w:id="0" w:name="_Hlk69195781"/>
      <w:r>
        <w:rPr>
          <w:b/>
          <w:sz w:val="22"/>
          <w:szCs w:val="22"/>
          <w:lang w:val="es-ES"/>
        </w:rPr>
        <w:t>2º.</w:t>
      </w:r>
      <w:r>
        <w:rPr>
          <w:sz w:val="22"/>
          <w:szCs w:val="22"/>
          <w:lang w:val="es-ES"/>
        </w:rPr>
        <w:t xml:space="preserve"> Por Acuerdo de 19 de junio de 2025, </w:t>
      </w:r>
      <w:r>
        <w:rPr>
          <w:sz w:val="22"/>
        </w:rPr>
        <w:t xml:space="preserve">el Consejo de Administración del IFBS </w:t>
      </w:r>
      <w:r>
        <w:rPr>
          <w:sz w:val="22"/>
          <w:szCs w:val="22"/>
          <w:lang w:val="es-ES"/>
        </w:rPr>
        <w:t>excluyó de la licitación la oferta presentada por</w:t>
      </w:r>
      <w:r w:rsidR="00CF7C5B">
        <w:rPr>
          <w:sz w:val="22"/>
          <w:szCs w:val="22"/>
          <w:lang w:val="es-ES"/>
        </w:rPr>
        <w:t xml:space="preserve"> XXXXXXXXXXXXXXXXXXXXXXXXXXXXXXXXX </w:t>
      </w:r>
      <w:r>
        <w:rPr>
          <w:sz w:val="22"/>
        </w:rPr>
        <w:t>(</w:t>
      </w:r>
      <w:r>
        <w:rPr>
          <w:sz w:val="22"/>
          <w:szCs w:val="22"/>
          <w:lang w:val="es-ES"/>
        </w:rPr>
        <w:t>con el compromiso de constitución en unión temporal de empresarias, en su caso)</w:t>
      </w:r>
      <w:r>
        <w:rPr>
          <w:sz w:val="22"/>
        </w:rPr>
        <w:t>,</w:t>
      </w:r>
      <w:r>
        <w:rPr>
          <w:sz w:val="22"/>
          <w:szCs w:val="22"/>
          <w:lang w:val="es-ES"/>
        </w:rPr>
        <w:t xml:space="preserve"> “por incurrir en un defecto no subsanable que afecta a su capacidad técnica para ejecutar adecuadamente el objeto del contrato: incumplir los requisitos técnicos exigidos en el Pliego de Prescripciones técnicas, en concreto, por no haber acreditado la licitadora la capacidad técnica requerida en el PPT apartado 3.1 Medios Humanos”. La misma resolución adjudicó el contrato a la empresa Arribas </w:t>
      </w:r>
      <w:proofErr w:type="spellStart"/>
      <w:r>
        <w:rPr>
          <w:sz w:val="22"/>
          <w:szCs w:val="22"/>
          <w:lang w:val="es-ES"/>
        </w:rPr>
        <w:t>Lajo</w:t>
      </w:r>
      <w:proofErr w:type="spellEnd"/>
      <w:r>
        <w:rPr>
          <w:sz w:val="22"/>
          <w:szCs w:val="22"/>
          <w:lang w:val="es-ES"/>
        </w:rPr>
        <w:t xml:space="preserve"> SC.</w:t>
      </w:r>
    </w:p>
    <w:p w14:paraId="0A81C265" w14:textId="77777777" w:rsidR="00CA6D24" w:rsidRDefault="00CA6D24" w:rsidP="00CA6D24">
      <w:pPr>
        <w:pStyle w:val="Estilo1"/>
        <w:tabs>
          <w:tab w:val="left" w:pos="567"/>
        </w:tabs>
        <w:ind w:firstLine="0"/>
        <w:rPr>
          <w:sz w:val="22"/>
          <w:szCs w:val="22"/>
          <w:lang w:val="es-ES"/>
        </w:rPr>
      </w:pPr>
      <w:r>
        <w:rPr>
          <w:sz w:val="22"/>
          <w:szCs w:val="22"/>
          <w:lang w:val="es-ES"/>
        </w:rPr>
        <w:t>El Acuerdo de 19 de junio de 2025 fue notificado a las hoy recurrentes el día 20 de junio de 2025.</w:t>
      </w:r>
    </w:p>
    <w:bookmarkEnd w:id="0"/>
    <w:p w14:paraId="36C36D3E" w14:textId="33F883B4" w:rsidR="007360FC" w:rsidRDefault="00CA6D24" w:rsidP="00CA6D24">
      <w:pPr>
        <w:spacing w:after="120"/>
        <w:jc w:val="both"/>
        <w:rPr>
          <w:sz w:val="22"/>
          <w:szCs w:val="22"/>
        </w:rPr>
      </w:pPr>
      <w:r>
        <w:rPr>
          <w:b/>
          <w:sz w:val="22"/>
          <w:szCs w:val="22"/>
        </w:rPr>
        <w:t xml:space="preserve">3º. </w:t>
      </w:r>
      <w:r>
        <w:rPr>
          <w:sz w:val="22"/>
          <w:szCs w:val="22"/>
        </w:rPr>
        <w:t xml:space="preserve">El 10 de julio de 2025 tiene entrada en el Registro Electrónico Común el escrito de interposición de recurso especial en materia de contratación presentado por </w:t>
      </w:r>
      <w:r w:rsidR="00CF7C5B">
        <w:rPr>
          <w:sz w:val="22"/>
          <w:szCs w:val="22"/>
        </w:rPr>
        <w:t>XXXXXXXXXX XXXXXXXXXXXXXXXXXXXXXXXXXXXX</w:t>
      </w:r>
      <w:r>
        <w:rPr>
          <w:sz w:val="22"/>
          <w:szCs w:val="22"/>
        </w:rPr>
        <w:t>, en impugnación del acto de adjudicación</w:t>
      </w:r>
      <w:r w:rsidR="004F28D2">
        <w:rPr>
          <w:sz w:val="22"/>
          <w:szCs w:val="22"/>
        </w:rPr>
        <w:t xml:space="preserve"> y solicitando que se declare la nulidad del mismo, se acuerde la retroacción de las actuaciones al momento inmediatamente anterior a la exclusión de las recurrentes,</w:t>
      </w:r>
      <w:r w:rsidR="007360FC">
        <w:rPr>
          <w:sz w:val="22"/>
          <w:szCs w:val="22"/>
        </w:rPr>
        <w:t xml:space="preserve"> se ordene al órgano de contratación la formulación de propuesta de adjudicación a favor de las mismas recurrentes y, subsidiariamente, se les permita subsanar la acreditación de los requisitos técnicos a que se refiere el punto 8.3 del Pliego de Prescripciones Técnicas del Contrato.</w:t>
      </w:r>
    </w:p>
    <w:p w14:paraId="71ABCFF8" w14:textId="64715DB6" w:rsidR="00C14935" w:rsidRPr="00A56C4A" w:rsidRDefault="00C14935" w:rsidP="00C14935">
      <w:pPr>
        <w:spacing w:before="120" w:after="120"/>
        <w:jc w:val="both"/>
        <w:rPr>
          <w:sz w:val="22"/>
          <w:szCs w:val="22"/>
        </w:rPr>
      </w:pPr>
      <w:r w:rsidRPr="00A85142">
        <w:rPr>
          <w:b/>
          <w:bCs/>
          <w:sz w:val="22"/>
          <w:szCs w:val="22"/>
        </w:rPr>
        <w:t>4º</w:t>
      </w:r>
      <w:r w:rsidR="00A85142" w:rsidRPr="00A85142">
        <w:rPr>
          <w:b/>
          <w:bCs/>
          <w:sz w:val="22"/>
          <w:szCs w:val="22"/>
        </w:rPr>
        <w:t>.</w:t>
      </w:r>
      <w:r>
        <w:rPr>
          <w:sz w:val="22"/>
          <w:szCs w:val="22"/>
        </w:rPr>
        <w:t xml:space="preserve"> S</w:t>
      </w:r>
      <w:r w:rsidRPr="00A56C4A">
        <w:rPr>
          <w:sz w:val="22"/>
          <w:szCs w:val="22"/>
        </w:rPr>
        <w:t xml:space="preserve">e </w:t>
      </w:r>
      <w:r>
        <w:rPr>
          <w:sz w:val="22"/>
          <w:szCs w:val="22"/>
        </w:rPr>
        <w:t>ha dado</w:t>
      </w:r>
      <w:r w:rsidRPr="00A56C4A">
        <w:rPr>
          <w:sz w:val="22"/>
          <w:szCs w:val="22"/>
        </w:rPr>
        <w:t xml:space="preserve"> traslado</w:t>
      </w:r>
      <w:r>
        <w:rPr>
          <w:sz w:val="22"/>
          <w:szCs w:val="22"/>
        </w:rPr>
        <w:t xml:space="preserve"> del recurso</w:t>
      </w:r>
      <w:r w:rsidRPr="00A56C4A">
        <w:rPr>
          <w:sz w:val="22"/>
          <w:szCs w:val="22"/>
        </w:rPr>
        <w:t xml:space="preserve"> al </w:t>
      </w:r>
      <w:r>
        <w:rPr>
          <w:sz w:val="22"/>
          <w:szCs w:val="22"/>
        </w:rPr>
        <w:t>órgano de contratación, con</w:t>
      </w:r>
      <w:r w:rsidRPr="00A56C4A">
        <w:rPr>
          <w:sz w:val="22"/>
          <w:szCs w:val="22"/>
        </w:rPr>
        <w:t xml:space="preserve"> solicitud del expediente y del informe correspondiente, en cumplimiento de lo previsto en el art. 56.2 LCSP</w:t>
      </w:r>
      <w:r>
        <w:rPr>
          <w:sz w:val="22"/>
          <w:szCs w:val="22"/>
        </w:rPr>
        <w:t xml:space="preserve">, informe que se recibió el día </w:t>
      </w:r>
      <w:r w:rsidR="00A85142">
        <w:rPr>
          <w:sz w:val="22"/>
          <w:szCs w:val="22"/>
        </w:rPr>
        <w:t>16 de julio de 2025</w:t>
      </w:r>
      <w:r w:rsidRPr="00036D41">
        <w:rPr>
          <w:sz w:val="22"/>
          <w:szCs w:val="22"/>
        </w:rPr>
        <w:t xml:space="preserve"> </w:t>
      </w:r>
      <w:r w:rsidRPr="00A56C4A">
        <w:rPr>
          <w:sz w:val="22"/>
          <w:szCs w:val="22"/>
        </w:rPr>
        <w:t>en el Órgano Administrativo Foral de Recursos Contractuales</w:t>
      </w:r>
      <w:r>
        <w:rPr>
          <w:sz w:val="22"/>
          <w:szCs w:val="22"/>
        </w:rPr>
        <w:t>,</w:t>
      </w:r>
      <w:r w:rsidRPr="00036D41">
        <w:rPr>
          <w:sz w:val="22"/>
          <w:szCs w:val="22"/>
        </w:rPr>
        <w:t xml:space="preserve"> </w:t>
      </w:r>
      <w:r>
        <w:rPr>
          <w:sz w:val="22"/>
          <w:szCs w:val="22"/>
        </w:rPr>
        <w:t>proponiendo</w:t>
      </w:r>
      <w:r w:rsidRPr="00A56C4A">
        <w:rPr>
          <w:sz w:val="22"/>
          <w:szCs w:val="22"/>
        </w:rPr>
        <w:t xml:space="preserve"> la desestimación del recurso</w:t>
      </w:r>
      <w:r>
        <w:rPr>
          <w:sz w:val="22"/>
          <w:szCs w:val="22"/>
        </w:rPr>
        <w:t>.</w:t>
      </w:r>
    </w:p>
    <w:p w14:paraId="66989C16" w14:textId="40E18930" w:rsidR="007B2B42" w:rsidRDefault="00C14935" w:rsidP="00C14935">
      <w:pPr>
        <w:spacing w:before="120" w:after="120"/>
        <w:jc w:val="both"/>
        <w:rPr>
          <w:sz w:val="22"/>
          <w:szCs w:val="22"/>
        </w:rPr>
      </w:pPr>
      <w:r w:rsidRPr="007E0A26">
        <w:rPr>
          <w:b/>
          <w:bCs/>
          <w:sz w:val="22"/>
          <w:szCs w:val="22"/>
        </w:rPr>
        <w:t>5</w:t>
      </w:r>
      <w:r w:rsidRPr="00746007">
        <w:rPr>
          <w:b/>
          <w:bCs/>
          <w:sz w:val="22"/>
          <w:szCs w:val="22"/>
        </w:rPr>
        <w:t>º.</w:t>
      </w:r>
      <w:r w:rsidRPr="00851BD2">
        <w:rPr>
          <w:sz w:val="22"/>
          <w:szCs w:val="22"/>
        </w:rPr>
        <w:t xml:space="preserve"> </w:t>
      </w:r>
      <w:r>
        <w:rPr>
          <w:sz w:val="22"/>
          <w:szCs w:val="22"/>
        </w:rPr>
        <w:t xml:space="preserve">Asimismo, </w:t>
      </w:r>
      <w:r w:rsidR="00A85142">
        <w:rPr>
          <w:sz w:val="22"/>
          <w:szCs w:val="22"/>
        </w:rPr>
        <w:t xml:space="preserve">se </w:t>
      </w:r>
      <w:r w:rsidR="00F269FB">
        <w:rPr>
          <w:sz w:val="22"/>
          <w:szCs w:val="22"/>
        </w:rPr>
        <w:t>dio</w:t>
      </w:r>
      <w:r w:rsidRPr="00A56C4A">
        <w:rPr>
          <w:sz w:val="22"/>
          <w:szCs w:val="22"/>
        </w:rPr>
        <w:t xml:space="preserve"> traslado del </w:t>
      </w:r>
      <w:r w:rsidR="00A85142">
        <w:rPr>
          <w:sz w:val="22"/>
          <w:szCs w:val="22"/>
        </w:rPr>
        <w:t>r</w:t>
      </w:r>
      <w:r w:rsidRPr="00A56C4A">
        <w:rPr>
          <w:sz w:val="22"/>
          <w:szCs w:val="22"/>
        </w:rPr>
        <w:t xml:space="preserve">ecurso </w:t>
      </w:r>
      <w:r>
        <w:rPr>
          <w:sz w:val="22"/>
          <w:szCs w:val="22"/>
        </w:rPr>
        <w:t>al</w:t>
      </w:r>
      <w:r w:rsidRPr="00A56C4A">
        <w:rPr>
          <w:sz w:val="22"/>
          <w:szCs w:val="22"/>
        </w:rPr>
        <w:t xml:space="preserve"> resto de interesados, </w:t>
      </w:r>
      <w:r w:rsidR="00F269FB">
        <w:rPr>
          <w:sz w:val="22"/>
          <w:szCs w:val="22"/>
        </w:rPr>
        <w:t xml:space="preserve">es decir, a los ahora solicitantes </w:t>
      </w:r>
      <w:r w:rsidR="00CF7C5B">
        <w:rPr>
          <w:sz w:val="22"/>
          <w:szCs w:val="22"/>
        </w:rPr>
        <w:t>XXXXXXXXXXXXXXXXXXXXXXXXXXXXXXXXXXXXXXX</w:t>
      </w:r>
      <w:r w:rsidR="009B7EEB" w:rsidRPr="00A56C4A">
        <w:rPr>
          <w:sz w:val="22"/>
          <w:szCs w:val="22"/>
        </w:rPr>
        <w:t xml:space="preserve"> </w:t>
      </w:r>
      <w:r w:rsidRPr="00A56C4A">
        <w:rPr>
          <w:sz w:val="22"/>
          <w:szCs w:val="22"/>
        </w:rPr>
        <w:t>en cumplimiento de lo previsto en el art. 56.3 LCSP, otorgándoles un plazo de cinco días hábiles para formular alegaciones</w:t>
      </w:r>
      <w:r w:rsidR="009B7EEB">
        <w:rPr>
          <w:sz w:val="22"/>
          <w:szCs w:val="22"/>
        </w:rPr>
        <w:t>.</w:t>
      </w:r>
    </w:p>
    <w:p w14:paraId="675649BD" w14:textId="361F3DCF" w:rsidR="00C14935" w:rsidRPr="007B2B42" w:rsidRDefault="007B2B42" w:rsidP="00C14935">
      <w:pPr>
        <w:spacing w:before="120" w:after="120"/>
        <w:jc w:val="both"/>
        <w:rPr>
          <w:sz w:val="22"/>
          <w:szCs w:val="22"/>
        </w:rPr>
      </w:pPr>
      <w:r w:rsidRPr="007B2B42">
        <w:rPr>
          <w:sz w:val="22"/>
          <w:szCs w:val="22"/>
        </w:rPr>
        <w:t>Realizadas las oportunas gestiones administrativas, se constata que los interesados presentaron el día 22 de julio de 2025 escrito de alegaciones en el Registro Electrónico General de la Diputación Foral de Álava, escrito que, sin embargo, no fue derivado a este Órgano Foral, de manera que no fue incorporado al expediente del recurso especial ni considerado a los efectos de dictar la resolución que puso término al mismo</w:t>
      </w:r>
      <w:r>
        <w:rPr>
          <w:sz w:val="22"/>
          <w:szCs w:val="22"/>
        </w:rPr>
        <w:t xml:space="preserve"> y que se indica en el siguiente antecedente 7º</w:t>
      </w:r>
      <w:r w:rsidRPr="007B2B42">
        <w:rPr>
          <w:sz w:val="22"/>
          <w:szCs w:val="22"/>
        </w:rPr>
        <w:t>.</w:t>
      </w:r>
    </w:p>
    <w:p w14:paraId="675534BF" w14:textId="1E811BF8" w:rsidR="00871AA1" w:rsidRDefault="00C14935" w:rsidP="00C14935">
      <w:pPr>
        <w:spacing w:after="120"/>
        <w:jc w:val="both"/>
        <w:rPr>
          <w:sz w:val="22"/>
          <w:szCs w:val="22"/>
        </w:rPr>
      </w:pPr>
      <w:r w:rsidRPr="00A85142">
        <w:rPr>
          <w:b/>
          <w:bCs/>
          <w:sz w:val="22"/>
          <w:szCs w:val="22"/>
        </w:rPr>
        <w:t>6º</w:t>
      </w:r>
      <w:r w:rsidRPr="00F651A0">
        <w:rPr>
          <w:sz w:val="22"/>
          <w:szCs w:val="22"/>
        </w:rPr>
        <w:t>.</w:t>
      </w:r>
      <w:r w:rsidRPr="00A56C4A">
        <w:rPr>
          <w:sz w:val="22"/>
          <w:szCs w:val="22"/>
        </w:rPr>
        <w:t xml:space="preserve"> Con fecha </w:t>
      </w:r>
      <w:r>
        <w:rPr>
          <w:sz w:val="22"/>
          <w:szCs w:val="22"/>
        </w:rPr>
        <w:t xml:space="preserve">1 de </w:t>
      </w:r>
      <w:r w:rsidR="00A85142">
        <w:rPr>
          <w:sz w:val="22"/>
          <w:szCs w:val="22"/>
        </w:rPr>
        <w:t>agosto</w:t>
      </w:r>
      <w:r>
        <w:rPr>
          <w:sz w:val="22"/>
          <w:szCs w:val="22"/>
        </w:rPr>
        <w:t xml:space="preserve"> de 202</w:t>
      </w:r>
      <w:r w:rsidR="00A85142">
        <w:rPr>
          <w:sz w:val="22"/>
          <w:szCs w:val="22"/>
        </w:rPr>
        <w:t>5</w:t>
      </w:r>
      <w:r>
        <w:rPr>
          <w:sz w:val="22"/>
          <w:szCs w:val="22"/>
        </w:rPr>
        <w:t xml:space="preserve"> </w:t>
      </w:r>
      <w:r w:rsidRPr="00A56C4A">
        <w:rPr>
          <w:sz w:val="22"/>
          <w:szCs w:val="22"/>
        </w:rPr>
        <w:t xml:space="preserve">este Órgano Administrativo </w:t>
      </w:r>
      <w:r w:rsidR="007B2B42">
        <w:rPr>
          <w:sz w:val="22"/>
          <w:szCs w:val="22"/>
        </w:rPr>
        <w:t xml:space="preserve">Foral </w:t>
      </w:r>
      <w:r w:rsidRPr="00A56C4A">
        <w:rPr>
          <w:sz w:val="22"/>
          <w:szCs w:val="22"/>
        </w:rPr>
        <w:t xml:space="preserve">dictó la Resolución </w:t>
      </w:r>
      <w:r w:rsidR="00A85142">
        <w:rPr>
          <w:sz w:val="22"/>
          <w:szCs w:val="22"/>
        </w:rPr>
        <w:t>26</w:t>
      </w:r>
      <w:r>
        <w:rPr>
          <w:sz w:val="22"/>
          <w:szCs w:val="22"/>
        </w:rPr>
        <w:t>/202</w:t>
      </w:r>
      <w:r w:rsidR="00A85142">
        <w:rPr>
          <w:sz w:val="22"/>
          <w:szCs w:val="22"/>
        </w:rPr>
        <w:t>5</w:t>
      </w:r>
      <w:r w:rsidRPr="00A56C4A">
        <w:rPr>
          <w:sz w:val="22"/>
          <w:szCs w:val="22"/>
        </w:rPr>
        <w:t xml:space="preserve"> acordando la suspensión del procedimiento de contratación hasta tanto se </w:t>
      </w:r>
      <w:r w:rsidR="007B2B42">
        <w:rPr>
          <w:sz w:val="22"/>
          <w:szCs w:val="22"/>
        </w:rPr>
        <w:t>resolviera</w:t>
      </w:r>
      <w:r w:rsidRPr="00A56C4A">
        <w:rPr>
          <w:sz w:val="22"/>
          <w:szCs w:val="22"/>
        </w:rPr>
        <w:t xml:space="preserve"> sobre el fondo del recurso especial</w:t>
      </w:r>
      <w:r>
        <w:rPr>
          <w:sz w:val="22"/>
          <w:szCs w:val="22"/>
        </w:rPr>
        <w:t>, resolución que fue notificada seguidamente a las partes</w:t>
      </w:r>
      <w:r w:rsidR="00CC5BF0">
        <w:rPr>
          <w:sz w:val="22"/>
          <w:szCs w:val="22"/>
        </w:rPr>
        <w:t>.</w:t>
      </w:r>
    </w:p>
    <w:p w14:paraId="25D68A1F" w14:textId="27DC11D8" w:rsidR="009B7EEB" w:rsidRDefault="009B7EEB" w:rsidP="00C14935">
      <w:pPr>
        <w:spacing w:after="120"/>
        <w:jc w:val="both"/>
        <w:rPr>
          <w:sz w:val="22"/>
          <w:szCs w:val="22"/>
        </w:rPr>
      </w:pPr>
      <w:r w:rsidRPr="009B7EEB">
        <w:rPr>
          <w:b/>
          <w:bCs/>
          <w:sz w:val="22"/>
          <w:szCs w:val="22"/>
        </w:rPr>
        <w:t>7º.</w:t>
      </w:r>
      <w:r>
        <w:rPr>
          <w:sz w:val="22"/>
          <w:szCs w:val="22"/>
        </w:rPr>
        <w:t xml:space="preserve"> </w:t>
      </w:r>
      <w:r w:rsidRPr="00A56C4A">
        <w:rPr>
          <w:sz w:val="22"/>
          <w:szCs w:val="22"/>
        </w:rPr>
        <w:t xml:space="preserve">Con fecha </w:t>
      </w:r>
      <w:r>
        <w:rPr>
          <w:sz w:val="22"/>
          <w:szCs w:val="22"/>
        </w:rPr>
        <w:t xml:space="preserve">31 de octubre de 2025 </w:t>
      </w:r>
      <w:r w:rsidRPr="00A56C4A">
        <w:rPr>
          <w:sz w:val="22"/>
          <w:szCs w:val="22"/>
        </w:rPr>
        <w:t xml:space="preserve">este Órgano Administrativo </w:t>
      </w:r>
      <w:r w:rsidR="007B2B42">
        <w:rPr>
          <w:sz w:val="22"/>
          <w:szCs w:val="22"/>
        </w:rPr>
        <w:t xml:space="preserve">Foral </w:t>
      </w:r>
      <w:r w:rsidRPr="00A56C4A">
        <w:rPr>
          <w:sz w:val="22"/>
          <w:szCs w:val="22"/>
        </w:rPr>
        <w:t xml:space="preserve">dictó la Resolución </w:t>
      </w:r>
      <w:r>
        <w:rPr>
          <w:sz w:val="22"/>
          <w:szCs w:val="22"/>
        </w:rPr>
        <w:t>38/2025</w:t>
      </w:r>
      <w:r w:rsidRPr="00A56C4A">
        <w:rPr>
          <w:sz w:val="22"/>
          <w:szCs w:val="22"/>
        </w:rPr>
        <w:t xml:space="preserve"> </w:t>
      </w:r>
      <w:r>
        <w:rPr>
          <w:sz w:val="22"/>
          <w:szCs w:val="22"/>
        </w:rPr>
        <w:t xml:space="preserve">estimando el recurso especial interpuesto por </w:t>
      </w:r>
      <w:r w:rsidR="00CF7C5B">
        <w:rPr>
          <w:sz w:val="22"/>
          <w:szCs w:val="22"/>
        </w:rPr>
        <w:t>XXXXXXXXXXXXXXXXXX XXXXXXX</w:t>
      </w:r>
      <w:r w:rsidRPr="00A56C4A">
        <w:rPr>
          <w:sz w:val="22"/>
          <w:szCs w:val="22"/>
        </w:rPr>
        <w:t xml:space="preserve"> del recurso especial</w:t>
      </w:r>
      <w:r>
        <w:rPr>
          <w:sz w:val="22"/>
          <w:szCs w:val="22"/>
        </w:rPr>
        <w:t>, resolución que fue notificada seguidamente a las partes.</w:t>
      </w:r>
    </w:p>
    <w:p w14:paraId="58FDAF57" w14:textId="5F76B08A" w:rsidR="00D7613E" w:rsidRDefault="009B7EEB" w:rsidP="00C14935">
      <w:pPr>
        <w:spacing w:after="120"/>
        <w:jc w:val="both"/>
        <w:rPr>
          <w:sz w:val="22"/>
          <w:szCs w:val="22"/>
        </w:rPr>
      </w:pPr>
      <w:r>
        <w:rPr>
          <w:b/>
          <w:bCs/>
          <w:sz w:val="22"/>
          <w:szCs w:val="22"/>
        </w:rPr>
        <w:t>8º.</w:t>
      </w:r>
      <w:r>
        <w:rPr>
          <w:sz w:val="22"/>
          <w:szCs w:val="22"/>
        </w:rPr>
        <w:t xml:space="preserve"> El 13 de noviembre de 2025 tiene entrada en el Registro Electrónico Común escrito </w:t>
      </w:r>
      <w:r w:rsidR="00D7613E">
        <w:rPr>
          <w:sz w:val="22"/>
          <w:szCs w:val="22"/>
        </w:rPr>
        <w:t>presentado</w:t>
      </w:r>
      <w:r>
        <w:rPr>
          <w:sz w:val="22"/>
          <w:szCs w:val="22"/>
        </w:rPr>
        <w:t xml:space="preserve"> </w:t>
      </w:r>
      <w:r w:rsidR="00CF7C5B">
        <w:rPr>
          <w:sz w:val="22"/>
          <w:szCs w:val="22"/>
        </w:rPr>
        <w:t>XXXXXXXXXXXXXXXXXXXXXXXXXXXXXX</w:t>
      </w:r>
      <w:r w:rsidR="00D7613E">
        <w:rPr>
          <w:sz w:val="22"/>
        </w:rPr>
        <w:t xml:space="preserve"> por el que comunican que, al contrario de lo que expresaba el antecedente 5º de la </w:t>
      </w:r>
      <w:r w:rsidR="00D7613E">
        <w:rPr>
          <w:sz w:val="22"/>
          <w:szCs w:val="22"/>
        </w:rPr>
        <w:t xml:space="preserve">Resolución 38/2025, de 31 de octubre, el día </w:t>
      </w:r>
      <w:r w:rsidR="0039664B">
        <w:rPr>
          <w:sz w:val="22"/>
          <w:szCs w:val="22"/>
        </w:rPr>
        <w:t xml:space="preserve">22 de julio de 2025 </w:t>
      </w:r>
      <w:r w:rsidR="00D7613E">
        <w:rPr>
          <w:sz w:val="22"/>
          <w:szCs w:val="22"/>
        </w:rPr>
        <w:t>formularon alegaciones en el procedimiento de recurso especial 2025/15</w:t>
      </w:r>
      <w:r w:rsidR="0039664B">
        <w:rPr>
          <w:sz w:val="22"/>
          <w:szCs w:val="22"/>
        </w:rPr>
        <w:t xml:space="preserve"> y, en consecuencia, solicitan que se dicte nueva resolución que declare que la Resolución 38/2025 ha incurrido en error de hecho</w:t>
      </w:r>
      <w:r w:rsidR="00CC41E3">
        <w:rPr>
          <w:sz w:val="22"/>
          <w:szCs w:val="22"/>
        </w:rPr>
        <w:t xml:space="preserve"> y, en definitiva, considerando las alegaciones presentadas,</w:t>
      </w:r>
      <w:r w:rsidR="0039664B">
        <w:rPr>
          <w:sz w:val="22"/>
          <w:szCs w:val="22"/>
        </w:rPr>
        <w:t xml:space="preserve"> </w:t>
      </w:r>
      <w:r w:rsidR="00D7613E">
        <w:rPr>
          <w:sz w:val="22"/>
        </w:rPr>
        <w:t xml:space="preserve">desestime el recurso especial interpuesto por </w:t>
      </w:r>
      <w:r w:rsidR="00CF7C5B">
        <w:rPr>
          <w:sz w:val="22"/>
        </w:rPr>
        <w:t>XXXXXXXXXXXXXXXXXXXXXXXXXXXXXXXX</w:t>
      </w:r>
      <w:r w:rsidR="00D7613E">
        <w:rPr>
          <w:sz w:val="22"/>
          <w:szCs w:val="22"/>
        </w:rPr>
        <w:t>.</w:t>
      </w:r>
    </w:p>
    <w:p w14:paraId="06206E15" w14:textId="5FE9B75F" w:rsidR="009B7EEB" w:rsidRPr="009B7EEB" w:rsidRDefault="00CC41E3" w:rsidP="00C14935">
      <w:pPr>
        <w:spacing w:after="120"/>
        <w:jc w:val="both"/>
        <w:rPr>
          <w:sz w:val="22"/>
          <w:szCs w:val="22"/>
        </w:rPr>
      </w:pPr>
      <w:r w:rsidRPr="00574260">
        <w:rPr>
          <w:b/>
          <w:bCs/>
          <w:sz w:val="22"/>
          <w:szCs w:val="22"/>
        </w:rPr>
        <w:lastRenderedPageBreak/>
        <w:t>9º.</w:t>
      </w:r>
      <w:r>
        <w:rPr>
          <w:sz w:val="22"/>
          <w:szCs w:val="22"/>
        </w:rPr>
        <w:t xml:space="preserve"> </w:t>
      </w:r>
      <w:r w:rsidR="007B2B42">
        <w:rPr>
          <w:sz w:val="22"/>
          <w:szCs w:val="22"/>
        </w:rPr>
        <w:t>El día 20 de noviembre de 2026 s</w:t>
      </w:r>
      <w:r>
        <w:rPr>
          <w:sz w:val="22"/>
          <w:szCs w:val="22"/>
        </w:rPr>
        <w:t xml:space="preserve">e ha dado traslado de la solicitud identificada en el antecedente anterior a los interesados. El día </w:t>
      </w:r>
      <w:r w:rsidR="007B2B42">
        <w:rPr>
          <w:sz w:val="22"/>
          <w:szCs w:val="22"/>
        </w:rPr>
        <w:t>26 de noviembre de 2026</w:t>
      </w:r>
      <w:r>
        <w:rPr>
          <w:sz w:val="22"/>
          <w:szCs w:val="22"/>
        </w:rPr>
        <w:t xml:space="preserve"> </w:t>
      </w:r>
      <w:r w:rsidR="00CF7C5B">
        <w:rPr>
          <w:sz w:val="22"/>
          <w:szCs w:val="22"/>
        </w:rPr>
        <w:t>XXXXXXXXXXXXXX XXXXXXXXXXXXXXXXXXXXXXXXXXXXXXXX</w:t>
      </w:r>
      <w:r>
        <w:rPr>
          <w:sz w:val="22"/>
        </w:rPr>
        <w:t xml:space="preserve"> han presentado escrito de alegaciones solicitando, con carácter principal</w:t>
      </w:r>
      <w:r w:rsidR="00B0725C">
        <w:rPr>
          <w:sz w:val="22"/>
        </w:rPr>
        <w:t>,</w:t>
      </w:r>
      <w:r>
        <w:rPr>
          <w:sz w:val="22"/>
        </w:rPr>
        <w:t xml:space="preserve"> la inadmisión de la solicitud presentada por </w:t>
      </w:r>
      <w:r w:rsidR="00CF7C5B">
        <w:rPr>
          <w:sz w:val="22"/>
        </w:rPr>
        <w:t>XXXXXXXXXX XXXXXXXXXXXXXXXXX</w:t>
      </w:r>
      <w:r>
        <w:rPr>
          <w:sz w:val="22"/>
        </w:rPr>
        <w:t xml:space="preserve"> y, subsidiariamente, su desestimación. Todo ello con fundamento en </w:t>
      </w:r>
      <w:r w:rsidR="00F9580E">
        <w:rPr>
          <w:sz w:val="22"/>
        </w:rPr>
        <w:t xml:space="preserve">que, en primer lugar, la Resolución 38/2025, de 31 de octubre, pone fin, según expresan, a la vía administrativa, por lo que no cabe recurso administrativo contra la misma; y, en segundo lugar, en que la omisión, por parte de este Órgano Foral, de la consideración de las alegaciones presentadas en su momento por </w:t>
      </w:r>
      <w:r w:rsidR="00CF7C5B">
        <w:rPr>
          <w:sz w:val="22"/>
        </w:rPr>
        <w:t>XXXXXXXXXXXXXXXXXXXXXXXXXXXXXXXXXX</w:t>
      </w:r>
      <w:r w:rsidR="00F9580E">
        <w:rPr>
          <w:sz w:val="22"/>
        </w:rPr>
        <w:t xml:space="preserve"> no causa a éstos indefensión material.</w:t>
      </w:r>
    </w:p>
    <w:p w14:paraId="4AD563E5" w14:textId="77777777" w:rsidR="00871AA1" w:rsidRDefault="00871AA1" w:rsidP="00A85142">
      <w:pPr>
        <w:spacing w:before="480" w:after="480"/>
        <w:jc w:val="center"/>
        <w:rPr>
          <w:b/>
          <w:sz w:val="22"/>
        </w:rPr>
      </w:pPr>
      <w:r>
        <w:rPr>
          <w:b/>
          <w:sz w:val="22"/>
        </w:rPr>
        <w:t>FUNDAMENTOS DE DERECHO</w:t>
      </w:r>
    </w:p>
    <w:p w14:paraId="7766203B" w14:textId="759C6FE3" w:rsidR="00871AA1" w:rsidRDefault="00871AA1" w:rsidP="00871AA1">
      <w:pPr>
        <w:spacing w:before="120" w:after="120"/>
        <w:jc w:val="both"/>
        <w:rPr>
          <w:sz w:val="22"/>
          <w:szCs w:val="22"/>
        </w:rPr>
      </w:pPr>
      <w:proofErr w:type="gramStart"/>
      <w:r>
        <w:rPr>
          <w:b/>
          <w:sz w:val="22"/>
          <w:szCs w:val="22"/>
        </w:rPr>
        <w:t>PRIMERO.</w:t>
      </w:r>
      <w:r w:rsidR="00B31F05">
        <w:rPr>
          <w:b/>
          <w:sz w:val="22"/>
          <w:szCs w:val="22"/>
        </w:rPr>
        <w:t>-</w:t>
      </w:r>
      <w:proofErr w:type="gramEnd"/>
      <w:r>
        <w:rPr>
          <w:sz w:val="22"/>
          <w:szCs w:val="22"/>
        </w:rPr>
        <w:t xml:space="preserve"> </w:t>
      </w:r>
      <w:r w:rsidRPr="00A56C4A">
        <w:rPr>
          <w:sz w:val="22"/>
          <w:szCs w:val="22"/>
        </w:rPr>
        <w:t xml:space="preserve">Es objeto del presente </w:t>
      </w:r>
      <w:r w:rsidR="00DC6C11">
        <w:rPr>
          <w:sz w:val="22"/>
          <w:szCs w:val="22"/>
        </w:rPr>
        <w:t>procedimiento</w:t>
      </w:r>
      <w:r w:rsidRPr="00A56C4A">
        <w:rPr>
          <w:sz w:val="22"/>
          <w:szCs w:val="22"/>
        </w:rPr>
        <w:t xml:space="preserve"> la </w:t>
      </w:r>
      <w:r w:rsidR="00574260">
        <w:rPr>
          <w:sz w:val="22"/>
          <w:szCs w:val="22"/>
        </w:rPr>
        <w:t xml:space="preserve">solicitud formulada el 13 de noviembre de 2025 por </w:t>
      </w:r>
      <w:r w:rsidR="00CF7C5B">
        <w:rPr>
          <w:sz w:val="22"/>
          <w:szCs w:val="22"/>
        </w:rPr>
        <w:t>XXXXXXXXXXXXXXXXXXXXXXXXXXXXXXXXXXX</w:t>
      </w:r>
      <w:r w:rsidR="00574260">
        <w:rPr>
          <w:sz w:val="22"/>
        </w:rPr>
        <w:t xml:space="preserve"> identificada en el anterior antecedente 8º. De acuerdo con lo expuesto en el mismo antecedente, la solicitud persigue, en primer lugar</w:t>
      </w:r>
      <w:r w:rsidR="00B533DA">
        <w:rPr>
          <w:sz w:val="22"/>
        </w:rPr>
        <w:t>,</w:t>
      </w:r>
      <w:r w:rsidR="00574260">
        <w:rPr>
          <w:sz w:val="22"/>
        </w:rPr>
        <w:t xml:space="preserve"> la subsanación de</w:t>
      </w:r>
      <w:r w:rsidR="00A300B5">
        <w:rPr>
          <w:sz w:val="22"/>
        </w:rPr>
        <w:t xml:space="preserve"> </w:t>
      </w:r>
      <w:r w:rsidR="00574260">
        <w:rPr>
          <w:sz w:val="22"/>
        </w:rPr>
        <w:t>l</w:t>
      </w:r>
      <w:r w:rsidR="00A300B5">
        <w:rPr>
          <w:sz w:val="22"/>
        </w:rPr>
        <w:t>o</w:t>
      </w:r>
      <w:r w:rsidR="00574260">
        <w:rPr>
          <w:sz w:val="22"/>
        </w:rPr>
        <w:t xml:space="preserve"> que los solicitantes califican de “error de hecho” en el que, a su modo de ver, ha incurrido la Resolución 28/2025, de 31 de octubre, en su antecedente 5.º, según el cual, los solicitantes no formularon alegaciones en el trámite de audiencia abierto en el curso del recurso especial 2025/15. Pretenden también, como se ha expuesto, </w:t>
      </w:r>
      <w:r w:rsidR="00921328">
        <w:rPr>
          <w:sz w:val="22"/>
        </w:rPr>
        <w:t xml:space="preserve">previa incorporación de las alegaciones efectivamente formuladas el día 22 de julio de 2025 y a la vista de </w:t>
      </w:r>
      <w:proofErr w:type="gramStart"/>
      <w:r w:rsidR="00921328">
        <w:rPr>
          <w:sz w:val="22"/>
        </w:rPr>
        <w:t>las mismas</w:t>
      </w:r>
      <w:proofErr w:type="gramEnd"/>
      <w:r w:rsidR="00921328">
        <w:rPr>
          <w:sz w:val="22"/>
        </w:rPr>
        <w:t xml:space="preserve">, </w:t>
      </w:r>
      <w:r w:rsidR="00574260">
        <w:rPr>
          <w:sz w:val="22"/>
        </w:rPr>
        <w:t>la íntegra desestimación del recurso especial</w:t>
      </w:r>
      <w:r>
        <w:rPr>
          <w:sz w:val="22"/>
          <w:szCs w:val="22"/>
        </w:rPr>
        <w:t>.</w:t>
      </w:r>
    </w:p>
    <w:p w14:paraId="50C7F0FC" w14:textId="18E0ADFC" w:rsidR="00B0725C" w:rsidRDefault="00B0725C" w:rsidP="00871AA1">
      <w:pPr>
        <w:spacing w:before="120" w:after="120"/>
        <w:jc w:val="both"/>
        <w:rPr>
          <w:sz w:val="22"/>
          <w:szCs w:val="22"/>
        </w:rPr>
      </w:pPr>
      <w:r>
        <w:rPr>
          <w:sz w:val="22"/>
          <w:szCs w:val="22"/>
        </w:rPr>
        <w:t>Como se expone más adelante, la solicitud será calificada como recurso extraordinario de revisión.</w:t>
      </w:r>
    </w:p>
    <w:p w14:paraId="0A60BCA6" w14:textId="2793EBA1" w:rsidR="008139DB" w:rsidRDefault="008139DB" w:rsidP="00DC6C11">
      <w:pPr>
        <w:spacing w:before="360" w:after="120"/>
        <w:jc w:val="both"/>
        <w:rPr>
          <w:sz w:val="22"/>
          <w:szCs w:val="22"/>
        </w:rPr>
      </w:pPr>
      <w:proofErr w:type="gramStart"/>
      <w:r w:rsidRPr="008139DB">
        <w:rPr>
          <w:b/>
          <w:bCs/>
          <w:sz w:val="22"/>
          <w:szCs w:val="22"/>
        </w:rPr>
        <w:t>SEGUNDO.-</w:t>
      </w:r>
      <w:proofErr w:type="gramEnd"/>
      <w:r>
        <w:rPr>
          <w:sz w:val="22"/>
          <w:szCs w:val="22"/>
        </w:rPr>
        <w:t xml:space="preserve"> Comoquiera que la cuestión planteada tiene por objeto la revisión, en sentido amplio, de una resolución de recurso especial, la competencia para conocer de la misma corresponde a este Órgano conforme a lo establecido en los artículo 59.3 de la Ley de Contratos del Sector Público (LCSP) y 106 y siguientes de la Ley de Procedimiento Administrativo Común (LPAC). Todo ello en relación con </w:t>
      </w:r>
      <w:r w:rsidRPr="00A56C4A">
        <w:rPr>
          <w:sz w:val="22"/>
          <w:szCs w:val="22"/>
        </w:rPr>
        <w:t xml:space="preserve">lo establecido en </w:t>
      </w:r>
      <w:r>
        <w:rPr>
          <w:sz w:val="22"/>
          <w:szCs w:val="22"/>
        </w:rPr>
        <w:t xml:space="preserve">relación con el recurso especial en </w:t>
      </w:r>
      <w:r w:rsidRPr="00A56C4A">
        <w:rPr>
          <w:sz w:val="22"/>
          <w:szCs w:val="22"/>
        </w:rPr>
        <w:t>el art. 46.5 LCSP, y en el Decreto Foral 44/2010, de 28 de septiembre, del Consejo de Gobierno Foral,</w:t>
      </w:r>
      <w:r w:rsidRPr="00C320DC">
        <w:t xml:space="preserve"> </w:t>
      </w:r>
      <w:r w:rsidRPr="00C320DC">
        <w:rPr>
          <w:sz w:val="22"/>
          <w:szCs w:val="22"/>
        </w:rPr>
        <w:t>que aprueba la creación del Órgano Administrativo Foral de Recursos Contractuales</w:t>
      </w:r>
      <w:r>
        <w:rPr>
          <w:sz w:val="22"/>
          <w:szCs w:val="22"/>
        </w:rPr>
        <w:t>,</w:t>
      </w:r>
      <w:r w:rsidRPr="00A56C4A">
        <w:rPr>
          <w:sz w:val="22"/>
          <w:szCs w:val="22"/>
        </w:rPr>
        <w:t xml:space="preserv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54DCE392" w14:textId="0F17C6B0" w:rsidR="00D04F49" w:rsidRDefault="00D04F49" w:rsidP="00DC6C11">
      <w:pPr>
        <w:spacing w:before="360" w:after="120"/>
        <w:jc w:val="both"/>
        <w:rPr>
          <w:sz w:val="22"/>
          <w:szCs w:val="22"/>
        </w:rPr>
      </w:pPr>
      <w:proofErr w:type="gramStart"/>
      <w:r>
        <w:rPr>
          <w:b/>
          <w:sz w:val="22"/>
        </w:rPr>
        <w:t>TERCERO.-</w:t>
      </w:r>
      <w:proofErr w:type="gramEnd"/>
      <w:r w:rsidRPr="005B514E">
        <w:rPr>
          <w:sz w:val="22"/>
          <w:szCs w:val="22"/>
        </w:rPr>
        <w:t xml:space="preserve"> </w:t>
      </w:r>
      <w:r>
        <w:rPr>
          <w:sz w:val="22"/>
          <w:szCs w:val="22"/>
        </w:rPr>
        <w:t>Cualquiera que sea la forma en que se califique la solicitud presentada, la misma debe entenderse formulada en plazo, atendiendo a los que se establecen para cada tipo de medio de revisión en los artículos 106 y siguientes LPAC.</w:t>
      </w:r>
    </w:p>
    <w:p w14:paraId="66944A32" w14:textId="7A9A41D4" w:rsidR="00D04F49" w:rsidRDefault="00D04F49" w:rsidP="00DC6C11">
      <w:pPr>
        <w:spacing w:before="360" w:after="360"/>
        <w:jc w:val="both"/>
        <w:rPr>
          <w:sz w:val="22"/>
          <w:szCs w:val="22"/>
        </w:rPr>
      </w:pPr>
      <w:proofErr w:type="gramStart"/>
      <w:r>
        <w:rPr>
          <w:b/>
          <w:bCs/>
          <w:sz w:val="22"/>
          <w:szCs w:val="22"/>
        </w:rPr>
        <w:t>CUARTO</w:t>
      </w:r>
      <w:r w:rsidRPr="00A56C4A">
        <w:rPr>
          <w:sz w:val="22"/>
          <w:szCs w:val="22"/>
        </w:rPr>
        <w:t>.-</w:t>
      </w:r>
      <w:proofErr w:type="gramEnd"/>
      <w:r w:rsidRPr="00A56C4A">
        <w:rPr>
          <w:sz w:val="22"/>
          <w:szCs w:val="22"/>
        </w:rPr>
        <w:t xml:space="preserve"> La</w:t>
      </w:r>
      <w:r>
        <w:rPr>
          <w:sz w:val="22"/>
          <w:szCs w:val="22"/>
        </w:rPr>
        <w:t>s</w:t>
      </w:r>
      <w:r w:rsidRPr="00A56C4A">
        <w:rPr>
          <w:sz w:val="22"/>
          <w:szCs w:val="22"/>
        </w:rPr>
        <w:t xml:space="preserve"> </w:t>
      </w:r>
      <w:r>
        <w:rPr>
          <w:sz w:val="22"/>
          <w:szCs w:val="22"/>
        </w:rPr>
        <w:t>personas solicitantes</w:t>
      </w:r>
      <w:r w:rsidRPr="00A56C4A">
        <w:rPr>
          <w:sz w:val="22"/>
          <w:szCs w:val="22"/>
        </w:rPr>
        <w:t xml:space="preserve"> ostenta</w:t>
      </w:r>
      <w:r>
        <w:rPr>
          <w:sz w:val="22"/>
          <w:szCs w:val="22"/>
        </w:rPr>
        <w:t>n</w:t>
      </w:r>
      <w:r w:rsidRPr="00A56C4A">
        <w:rPr>
          <w:sz w:val="22"/>
          <w:szCs w:val="22"/>
        </w:rPr>
        <w:t xml:space="preserve"> </w:t>
      </w:r>
      <w:r>
        <w:rPr>
          <w:sz w:val="22"/>
          <w:szCs w:val="22"/>
        </w:rPr>
        <w:t xml:space="preserve">la misma </w:t>
      </w:r>
      <w:r w:rsidRPr="00A56C4A">
        <w:rPr>
          <w:sz w:val="22"/>
          <w:szCs w:val="22"/>
        </w:rPr>
        <w:t xml:space="preserve">legitimación </w:t>
      </w:r>
      <w:r>
        <w:rPr>
          <w:sz w:val="22"/>
          <w:szCs w:val="22"/>
        </w:rPr>
        <w:t xml:space="preserve">que les corresponde en relación con el recurso especial </w:t>
      </w:r>
      <w:r w:rsidRPr="00A56C4A">
        <w:rPr>
          <w:sz w:val="22"/>
          <w:szCs w:val="22"/>
        </w:rPr>
        <w:t>de acuerdo con el artículo 48 de la LCSP.</w:t>
      </w:r>
    </w:p>
    <w:p w14:paraId="23EF61AF" w14:textId="606DC966" w:rsidR="00871AA1" w:rsidRDefault="00D04F49" w:rsidP="00871AA1">
      <w:pPr>
        <w:spacing w:before="120" w:after="120"/>
        <w:jc w:val="both"/>
        <w:rPr>
          <w:sz w:val="22"/>
          <w:szCs w:val="22"/>
        </w:rPr>
      </w:pPr>
      <w:proofErr w:type="gramStart"/>
      <w:r w:rsidRPr="00D04F49">
        <w:rPr>
          <w:b/>
          <w:bCs/>
          <w:sz w:val="22"/>
          <w:szCs w:val="22"/>
        </w:rPr>
        <w:lastRenderedPageBreak/>
        <w:t>QUINTO.-</w:t>
      </w:r>
      <w:proofErr w:type="gramEnd"/>
      <w:r>
        <w:rPr>
          <w:sz w:val="22"/>
          <w:szCs w:val="22"/>
        </w:rPr>
        <w:t xml:space="preserve"> L</w:t>
      </w:r>
      <w:r w:rsidR="00921328">
        <w:rPr>
          <w:sz w:val="22"/>
          <w:szCs w:val="22"/>
        </w:rPr>
        <w:t xml:space="preserve">a solicitud objeto del presente </w:t>
      </w:r>
      <w:r w:rsidR="00DC6C11">
        <w:rPr>
          <w:sz w:val="22"/>
          <w:szCs w:val="22"/>
        </w:rPr>
        <w:t>procedimiento</w:t>
      </w:r>
      <w:r w:rsidR="00921328">
        <w:rPr>
          <w:sz w:val="22"/>
          <w:szCs w:val="22"/>
        </w:rPr>
        <w:t xml:space="preserve"> plantea, como primera cuestión, la de su calificación jurídica, que deberá ser examinada conforme a lo que establece el artículo 115.2 de la Ley 39/2015, de 1 de octubre, del Procedimiento Administrativo Común de la Administraciones Públicas (LPAC), según el cual, “</w:t>
      </w:r>
      <w:r w:rsidR="00921328" w:rsidRPr="00921328">
        <w:rPr>
          <w:sz w:val="22"/>
          <w:szCs w:val="22"/>
        </w:rPr>
        <w:t>El error o la ausencia de la calificación del recurso por parte del recurrente no será obstáculo para su tramitación, siempre que se deduzca su verdadero carácte</w:t>
      </w:r>
      <w:r w:rsidR="00921328">
        <w:rPr>
          <w:sz w:val="22"/>
          <w:szCs w:val="22"/>
        </w:rPr>
        <w:t>r”.</w:t>
      </w:r>
    </w:p>
    <w:p w14:paraId="166C12A3" w14:textId="0E87DB87" w:rsidR="00681766" w:rsidRDefault="00681766" w:rsidP="00871AA1">
      <w:pPr>
        <w:spacing w:before="120" w:after="120"/>
        <w:jc w:val="both"/>
        <w:rPr>
          <w:sz w:val="22"/>
          <w:szCs w:val="22"/>
        </w:rPr>
      </w:pPr>
      <w:r>
        <w:rPr>
          <w:sz w:val="22"/>
          <w:szCs w:val="22"/>
        </w:rPr>
        <w:t xml:space="preserve">Y ello a la luz </w:t>
      </w:r>
      <w:r w:rsidRPr="00681766">
        <w:rPr>
          <w:sz w:val="22"/>
          <w:szCs w:val="22"/>
        </w:rPr>
        <w:t xml:space="preserve">del principio pro </w:t>
      </w:r>
      <w:proofErr w:type="spellStart"/>
      <w:r w:rsidRPr="00681766">
        <w:rPr>
          <w:sz w:val="22"/>
          <w:szCs w:val="22"/>
        </w:rPr>
        <w:t>actione</w:t>
      </w:r>
      <w:proofErr w:type="spellEnd"/>
      <w:r w:rsidRPr="00681766">
        <w:rPr>
          <w:sz w:val="22"/>
          <w:szCs w:val="22"/>
        </w:rPr>
        <w:t>, que exige</w:t>
      </w:r>
      <w:r>
        <w:rPr>
          <w:sz w:val="22"/>
          <w:szCs w:val="22"/>
        </w:rPr>
        <w:t>, como subraya la jurisprudencia del Tribunal Supremo,</w:t>
      </w:r>
      <w:r w:rsidRPr="00681766">
        <w:rPr>
          <w:sz w:val="22"/>
          <w:szCs w:val="22"/>
        </w:rPr>
        <w:t xml:space="preserve"> interpretar las normas procesales de manera que se favorezca el acceso a la tutela judicial efectiva y se evite el rigorismo formalista que pueda conducir a la inadmisión de recursos por errores no sustanciales (</w:t>
      </w:r>
      <w:r>
        <w:rPr>
          <w:sz w:val="22"/>
          <w:szCs w:val="22"/>
        </w:rPr>
        <w:t>en este sentido, entre otras, la Sentencia del TS n.º 729/2022, de 14 de junio</w:t>
      </w:r>
      <w:r w:rsidRPr="00681766">
        <w:rPr>
          <w:sz w:val="22"/>
          <w:szCs w:val="22"/>
        </w:rPr>
        <w:t>). Este principio es especialmente relevante cuando el error de calificación podría suponer la inadmisión del recurso y, por tanto, la privación de la tutela efectiva</w:t>
      </w:r>
      <w:r>
        <w:rPr>
          <w:sz w:val="22"/>
          <w:szCs w:val="22"/>
        </w:rPr>
        <w:t>.</w:t>
      </w:r>
    </w:p>
    <w:p w14:paraId="594688A0" w14:textId="4E23FA29" w:rsidR="00313C9C" w:rsidRDefault="00D04F49" w:rsidP="00DC6C11">
      <w:pPr>
        <w:spacing w:before="360" w:after="120"/>
        <w:jc w:val="both"/>
        <w:rPr>
          <w:sz w:val="22"/>
          <w:szCs w:val="22"/>
        </w:rPr>
      </w:pPr>
      <w:r w:rsidRPr="00D04F49">
        <w:rPr>
          <w:b/>
          <w:bCs/>
          <w:sz w:val="22"/>
          <w:szCs w:val="22"/>
        </w:rPr>
        <w:t>SEXTO.-</w:t>
      </w:r>
      <w:r>
        <w:rPr>
          <w:sz w:val="22"/>
          <w:szCs w:val="22"/>
        </w:rPr>
        <w:t xml:space="preserve"> Debe considerarse</w:t>
      </w:r>
      <w:r w:rsidR="00681766">
        <w:rPr>
          <w:sz w:val="22"/>
          <w:szCs w:val="22"/>
        </w:rPr>
        <w:t>, en primer lugar, l</w:t>
      </w:r>
      <w:r w:rsidR="00313C9C">
        <w:rPr>
          <w:sz w:val="22"/>
          <w:szCs w:val="22"/>
        </w:rPr>
        <w:t xml:space="preserve">a posibilidad de encauzar la solicitud formulada como rectificación de errores, </w:t>
      </w:r>
      <w:r w:rsidR="00681766">
        <w:rPr>
          <w:sz w:val="22"/>
          <w:szCs w:val="22"/>
        </w:rPr>
        <w:t xml:space="preserve">pues, </w:t>
      </w:r>
      <w:r w:rsidR="00313C9C">
        <w:rPr>
          <w:sz w:val="22"/>
          <w:szCs w:val="22"/>
        </w:rPr>
        <w:t>ciertamente, el mismo artículo 59 LCSP establece el párrafo 2º de su apartado 3, en línea con lo dispuesto en el artículo 109.2 LPAC, que “</w:t>
      </w:r>
      <w:r w:rsidR="00313C9C" w:rsidRPr="00313C9C">
        <w:rPr>
          <w:sz w:val="22"/>
          <w:szCs w:val="22"/>
        </w:rPr>
        <w:t>Los órganos competentes para la resolución del recurso podrán rectificar en cualquier momento, de oficio o a instancia de los interesados, los errores materiales, de hecho o aritméticos existentes en sus actos, incluida la resolución del recurso</w:t>
      </w:r>
      <w:r w:rsidR="00313C9C">
        <w:rPr>
          <w:sz w:val="22"/>
          <w:szCs w:val="22"/>
        </w:rPr>
        <w:t>”.</w:t>
      </w:r>
    </w:p>
    <w:p w14:paraId="7F3D5F89" w14:textId="517FAFCF" w:rsidR="00555792" w:rsidRDefault="00555792" w:rsidP="00313C9C">
      <w:pPr>
        <w:spacing w:before="120" w:after="120"/>
        <w:jc w:val="both"/>
        <w:rPr>
          <w:sz w:val="22"/>
          <w:szCs w:val="22"/>
        </w:rPr>
      </w:pPr>
      <w:r>
        <w:rPr>
          <w:sz w:val="22"/>
          <w:szCs w:val="22"/>
        </w:rPr>
        <w:t xml:space="preserve">No obstante, en relación con los requisitos que permiten acudir al trámite de rectificación de errores, expone la Sentencia del Tribunal Supremo </w:t>
      </w:r>
      <w:r w:rsidR="00D166F4">
        <w:rPr>
          <w:sz w:val="22"/>
          <w:szCs w:val="22"/>
        </w:rPr>
        <w:t>2.941</w:t>
      </w:r>
      <w:r w:rsidR="00681766">
        <w:rPr>
          <w:sz w:val="22"/>
          <w:szCs w:val="22"/>
        </w:rPr>
        <w:t>/1992, de 28 de septiembre (R. 1508/1990),</w:t>
      </w:r>
      <w:r>
        <w:rPr>
          <w:sz w:val="22"/>
          <w:szCs w:val="22"/>
        </w:rPr>
        <w:t xml:space="preserve"> confirmada por otras posteriores que </w:t>
      </w:r>
    </w:p>
    <w:p w14:paraId="0268BCB1" w14:textId="6DE12CB8" w:rsidR="00555792" w:rsidRDefault="00555792" w:rsidP="00DC6C11">
      <w:pPr>
        <w:spacing w:before="240" w:after="240"/>
        <w:ind w:left="567"/>
        <w:jc w:val="both"/>
        <w:rPr>
          <w:sz w:val="22"/>
          <w:szCs w:val="22"/>
        </w:rPr>
      </w:pPr>
      <w:r w:rsidRPr="00555792">
        <w:rPr>
          <w:sz w:val="22"/>
          <w:szCs w:val="22"/>
        </w:rPr>
        <w:t xml:space="preserve">La doctrina jurisprudencial de esta Sala, plasmada, entre otras, en las Sentencias de 18 de mayo de 1967, 24 de marzo de 1977, 15 y 31 de octubre y 16 de noviembre de 1984; 30 de mayo y 18 de septiembre de 1985; 31 de enero, 13 y 29 de marzo, 9 y 26 de octubre y 20 de diciembre de 1989 y 27 de febrero de 1990, tiene establecido que el error material </w:t>
      </w:r>
      <w:r>
        <w:rPr>
          <w:sz w:val="22"/>
          <w:szCs w:val="22"/>
        </w:rPr>
        <w:t>o</w:t>
      </w:r>
      <w:r w:rsidRPr="00555792">
        <w:rPr>
          <w:sz w:val="22"/>
          <w:szCs w:val="22"/>
        </w:rPr>
        <w:t xml:space="preserve"> de hecho se caracteriza por ser ostensible, manifiesto e indiscutible, implicando, por sí solo, la evidencia del mismo, sin necesidad de mayores razonamientos, y exteriorizándose prima facie por su sola contemplación (frente al carácter de calificación jurídica, seguida de una declaración basada en ella, que ostenta el error de Derecho), por lo que, para poder aplicar el mecanismo procedimental de rectificación de errores materiales o de hecho, se requiere que concurran, en esencia, las siguientes circunstancias: 1.º que se trate de simples equivocaciones elementales de nombres, fechas, operaciones aritméticas o transcripciones de documentos; 2.º que el error se aprecie teniendo en cuenta exclusivamente los datos del expediente administrativo en el que se advierte</w:t>
      </w:r>
      <w:r>
        <w:rPr>
          <w:sz w:val="22"/>
          <w:szCs w:val="22"/>
        </w:rPr>
        <w:t xml:space="preserve">; 3.º </w:t>
      </w:r>
      <w:r w:rsidRPr="00555792">
        <w:rPr>
          <w:sz w:val="22"/>
          <w:szCs w:val="22"/>
        </w:rPr>
        <w:t>que el error sea patente y claro, sin necesidad de acudir a interpretaciones de normas jurídicas aplicables; 4.º que no se proceda de oficio a la revisión de actos administrativos firmes y consentidos; 5.</w:t>
      </w:r>
      <w:r>
        <w:rPr>
          <w:sz w:val="22"/>
          <w:szCs w:val="22"/>
        </w:rPr>
        <w:t>º</w:t>
      </w:r>
      <w:r w:rsidRPr="00555792">
        <w:rPr>
          <w:sz w:val="22"/>
          <w:szCs w:val="22"/>
        </w:rPr>
        <w:t xml:space="preserve"> que no se produzca una alteración fundamental en el sentido del acto (pues no existe error material cuando su apreciación implique un juicio valorativo o exija una operación de calificación jurídica); 6.º que no padezca la subsistencia del acto administrativo (es decir, que no se genere la anulación o revocación del mismo, en cuanto creador de derechos subjetivos, produciéndose uno nuevo sobre bases diferentes y sin las debidas garantías para el afectado, pues el acto administrativo rectificador ha de mostrar idéntico contenido dispositivo, sustantivo y resolutorio que el acto rectificado, sin que pueda la Administración, so pretexto de su potestad </w:t>
      </w:r>
      <w:proofErr w:type="spellStart"/>
      <w:r w:rsidRPr="00555792">
        <w:rPr>
          <w:sz w:val="22"/>
          <w:szCs w:val="22"/>
        </w:rPr>
        <w:t>rectificatoria</w:t>
      </w:r>
      <w:proofErr w:type="spellEnd"/>
      <w:r w:rsidRPr="00555792">
        <w:rPr>
          <w:sz w:val="22"/>
          <w:szCs w:val="22"/>
        </w:rPr>
        <w:t xml:space="preserve"> de oficio, encubrir una auténtica revisión, porque ello </w:t>
      </w:r>
      <w:r w:rsidRPr="00555792">
        <w:rPr>
          <w:sz w:val="22"/>
          <w:szCs w:val="22"/>
        </w:rPr>
        <w:lastRenderedPageBreak/>
        <w:t xml:space="preserve">entrañaría un </w:t>
      </w:r>
      <w:proofErr w:type="spellStart"/>
      <w:r w:rsidRPr="00555792">
        <w:rPr>
          <w:sz w:val="22"/>
          <w:szCs w:val="22"/>
        </w:rPr>
        <w:t>fraus</w:t>
      </w:r>
      <w:proofErr w:type="spellEnd"/>
      <w:r w:rsidRPr="00555792">
        <w:rPr>
          <w:sz w:val="22"/>
          <w:szCs w:val="22"/>
        </w:rPr>
        <w:t xml:space="preserve"> </w:t>
      </w:r>
      <w:proofErr w:type="spellStart"/>
      <w:r w:rsidRPr="00555792">
        <w:rPr>
          <w:sz w:val="22"/>
          <w:szCs w:val="22"/>
        </w:rPr>
        <w:t>legis</w:t>
      </w:r>
      <w:proofErr w:type="spellEnd"/>
      <w:r w:rsidRPr="00555792">
        <w:rPr>
          <w:sz w:val="22"/>
          <w:szCs w:val="22"/>
        </w:rPr>
        <w:t xml:space="preserve"> constitutivo de desviación de poder), y 7.º que se aplique con un hondo criterio restrictivo</w:t>
      </w:r>
      <w:r>
        <w:rPr>
          <w:sz w:val="22"/>
          <w:szCs w:val="22"/>
        </w:rPr>
        <w:t>.</w:t>
      </w:r>
    </w:p>
    <w:p w14:paraId="4704882A" w14:textId="35895173" w:rsidR="00555792" w:rsidRDefault="00555792" w:rsidP="00313C9C">
      <w:pPr>
        <w:spacing w:before="120" w:after="120"/>
        <w:jc w:val="both"/>
        <w:rPr>
          <w:sz w:val="22"/>
          <w:szCs w:val="22"/>
        </w:rPr>
      </w:pPr>
      <w:r>
        <w:rPr>
          <w:sz w:val="22"/>
          <w:szCs w:val="22"/>
        </w:rPr>
        <w:t xml:space="preserve">En el presente caso, </w:t>
      </w:r>
      <w:r w:rsidR="00AA328E">
        <w:rPr>
          <w:sz w:val="22"/>
          <w:szCs w:val="22"/>
        </w:rPr>
        <w:t>basta considerar que la solicitud objeto de examen pretende expresamente, no sólo la rectificación de un simple y supuesto “error de hecho”, sino, principalmente, la revisión de la Resolución 38/2025, de 31 de octubre, para concluir que su tratamiento excede ampliamente el ámbito propio de la rectificación de errores</w:t>
      </w:r>
      <w:r w:rsidR="00681766">
        <w:rPr>
          <w:sz w:val="22"/>
          <w:szCs w:val="22"/>
        </w:rPr>
        <w:t>.</w:t>
      </w:r>
    </w:p>
    <w:p w14:paraId="44355FED" w14:textId="2727875C" w:rsidR="00D04F49" w:rsidRPr="00D04F49" w:rsidRDefault="00D04F49" w:rsidP="00DC6C11">
      <w:pPr>
        <w:spacing w:before="360" w:after="120"/>
        <w:jc w:val="both"/>
        <w:rPr>
          <w:sz w:val="22"/>
          <w:szCs w:val="22"/>
        </w:rPr>
      </w:pPr>
      <w:proofErr w:type="gramStart"/>
      <w:r>
        <w:rPr>
          <w:b/>
          <w:bCs/>
          <w:sz w:val="22"/>
          <w:szCs w:val="22"/>
        </w:rPr>
        <w:t>SÉPTIMO.-</w:t>
      </w:r>
      <w:proofErr w:type="gramEnd"/>
      <w:r>
        <w:rPr>
          <w:b/>
          <w:bCs/>
          <w:sz w:val="22"/>
          <w:szCs w:val="22"/>
        </w:rPr>
        <w:t xml:space="preserve"> </w:t>
      </w:r>
      <w:r w:rsidRPr="00D04F49">
        <w:rPr>
          <w:sz w:val="22"/>
          <w:szCs w:val="22"/>
        </w:rPr>
        <w:t xml:space="preserve">Debe </w:t>
      </w:r>
      <w:r w:rsidR="004F296D">
        <w:rPr>
          <w:sz w:val="22"/>
          <w:szCs w:val="22"/>
        </w:rPr>
        <w:t>tenerse en cuenta</w:t>
      </w:r>
      <w:r w:rsidRPr="00D04F49">
        <w:rPr>
          <w:sz w:val="22"/>
          <w:szCs w:val="22"/>
        </w:rPr>
        <w:t xml:space="preserve">, en </w:t>
      </w:r>
      <w:r w:rsidR="004F296D">
        <w:rPr>
          <w:sz w:val="22"/>
          <w:szCs w:val="22"/>
        </w:rPr>
        <w:t>segundo</w:t>
      </w:r>
      <w:r w:rsidRPr="00D04F49">
        <w:rPr>
          <w:sz w:val="22"/>
          <w:szCs w:val="22"/>
        </w:rPr>
        <w:t xml:space="preserve"> lugar, que el artículo 59 LCSP excluye la posibilidad de tramitar el escrito de alegaciones como solicitud de revisión de oficio de la resolución cuando establece en su apartado 3. que “No procederá la revisión de oficio de la resolución ni de ninguno de los actos dictados por los órganos competentes para la resolución del recurso”.</w:t>
      </w:r>
    </w:p>
    <w:p w14:paraId="5CFF1DC4" w14:textId="4C88164E" w:rsidR="00B533DA" w:rsidRDefault="004F296D" w:rsidP="00DC6C11">
      <w:pPr>
        <w:spacing w:before="360" w:after="120"/>
        <w:jc w:val="both"/>
        <w:rPr>
          <w:sz w:val="22"/>
          <w:szCs w:val="22"/>
        </w:rPr>
      </w:pPr>
      <w:proofErr w:type="gramStart"/>
      <w:r w:rsidRPr="004F296D">
        <w:rPr>
          <w:b/>
          <w:bCs/>
          <w:sz w:val="22"/>
          <w:szCs w:val="22"/>
        </w:rPr>
        <w:t>OCTAVO.-</w:t>
      </w:r>
      <w:proofErr w:type="gramEnd"/>
      <w:r>
        <w:rPr>
          <w:sz w:val="22"/>
          <w:szCs w:val="22"/>
        </w:rPr>
        <w:t xml:space="preserve"> En cuanto a la consideración de la solicitud presentada como recurso, debe tenerse en cuenta</w:t>
      </w:r>
      <w:r w:rsidR="00D166F4">
        <w:rPr>
          <w:sz w:val="22"/>
          <w:szCs w:val="22"/>
        </w:rPr>
        <w:t xml:space="preserve"> </w:t>
      </w:r>
      <w:r w:rsidR="007D1BF6">
        <w:rPr>
          <w:sz w:val="22"/>
          <w:szCs w:val="22"/>
        </w:rPr>
        <w:t>que las resoluciones que ponen término al procedimiento de recurso especial son firmes en vía administrativa, por lo que no son susceptibles de recurso administrativo ordinario (reposición</w:t>
      </w:r>
      <w:r w:rsidR="00DC6C11">
        <w:rPr>
          <w:sz w:val="22"/>
          <w:szCs w:val="22"/>
        </w:rPr>
        <w:t xml:space="preserve"> en nuestro caso</w:t>
      </w:r>
      <w:r w:rsidR="007D1BF6">
        <w:rPr>
          <w:sz w:val="22"/>
          <w:szCs w:val="22"/>
        </w:rPr>
        <w:t>). Dispone, en este sentido, el artículo 59 de la Ley de Contratos del Sector Público (LCSP) que “</w:t>
      </w:r>
      <w:r w:rsidR="007D1BF6" w:rsidRPr="007D1BF6">
        <w:rPr>
          <w:sz w:val="22"/>
          <w:szCs w:val="22"/>
        </w:rPr>
        <w:t>Contra la resolución dictada en este procedimiento solo cabrá la interposición de recurso contencioso-administrativo conforme a lo dispuesto en el artículo 10, letras k) y l) del apartado 1 y en el artículo 11, letra f) de su apartado 1 de la</w:t>
      </w:r>
      <w:r w:rsidR="007D1BF6">
        <w:rPr>
          <w:sz w:val="22"/>
          <w:szCs w:val="22"/>
        </w:rPr>
        <w:t xml:space="preserve"> Ley 29/1998, de 13 de julio</w:t>
      </w:r>
      <w:r w:rsidR="007D1BF6" w:rsidRPr="007D1BF6">
        <w:rPr>
          <w:sz w:val="22"/>
          <w:szCs w:val="22"/>
        </w:rPr>
        <w:t>, reguladora de la Jurisdicción Contencioso-administrativa</w:t>
      </w:r>
      <w:r w:rsidR="007D1BF6">
        <w:rPr>
          <w:sz w:val="22"/>
          <w:szCs w:val="22"/>
        </w:rPr>
        <w:t>”.</w:t>
      </w:r>
    </w:p>
    <w:p w14:paraId="65AEAF2C" w14:textId="36C5A9FA" w:rsidR="00313C9C" w:rsidRDefault="004F296D" w:rsidP="00DC6C11">
      <w:pPr>
        <w:spacing w:before="360" w:after="120"/>
        <w:jc w:val="both"/>
        <w:rPr>
          <w:sz w:val="22"/>
          <w:szCs w:val="22"/>
        </w:rPr>
      </w:pPr>
      <w:proofErr w:type="gramStart"/>
      <w:r w:rsidRPr="004F296D">
        <w:rPr>
          <w:b/>
          <w:bCs/>
          <w:sz w:val="22"/>
          <w:szCs w:val="22"/>
        </w:rPr>
        <w:t>NOVENO.-</w:t>
      </w:r>
      <w:proofErr w:type="gramEnd"/>
      <w:r>
        <w:rPr>
          <w:sz w:val="22"/>
          <w:szCs w:val="22"/>
        </w:rPr>
        <w:t xml:space="preserve"> </w:t>
      </w:r>
      <w:r w:rsidR="00D166F4">
        <w:rPr>
          <w:sz w:val="22"/>
          <w:szCs w:val="22"/>
        </w:rPr>
        <w:t>Resta</w:t>
      </w:r>
      <w:r w:rsidR="00313C9C">
        <w:rPr>
          <w:sz w:val="22"/>
          <w:szCs w:val="22"/>
        </w:rPr>
        <w:t>, finalmente, calificar la solicitud formulada como recurso extraordinario de revisión, pues, conforme a lo establecido en el artículo 113 LPAC, “</w:t>
      </w:r>
      <w:r w:rsidR="00313C9C" w:rsidRPr="00313C9C">
        <w:rPr>
          <w:sz w:val="22"/>
          <w:szCs w:val="22"/>
        </w:rPr>
        <w:t>Contra los actos firmes en vía administrativa, sólo procederá el recurso extraordinario de revisión cuando concurra alguna de las circunstancias previstas en el artículo</w:t>
      </w:r>
      <w:r w:rsidR="00313C9C">
        <w:rPr>
          <w:sz w:val="22"/>
          <w:szCs w:val="22"/>
        </w:rPr>
        <w:t xml:space="preserve"> </w:t>
      </w:r>
      <w:r w:rsidR="00313C9C" w:rsidRPr="00313C9C">
        <w:rPr>
          <w:sz w:val="22"/>
          <w:szCs w:val="22"/>
        </w:rPr>
        <w:t>125.1</w:t>
      </w:r>
      <w:r w:rsidR="00313C9C">
        <w:rPr>
          <w:sz w:val="22"/>
          <w:szCs w:val="22"/>
        </w:rPr>
        <w:t>”.</w:t>
      </w:r>
    </w:p>
    <w:p w14:paraId="29BBB610" w14:textId="463F0B58" w:rsidR="00313C9C" w:rsidRDefault="004F296D" w:rsidP="004F296D">
      <w:pPr>
        <w:spacing w:before="120" w:after="120"/>
        <w:jc w:val="both"/>
        <w:rPr>
          <w:sz w:val="22"/>
          <w:szCs w:val="22"/>
        </w:rPr>
      </w:pPr>
      <w:r>
        <w:rPr>
          <w:sz w:val="22"/>
          <w:szCs w:val="22"/>
        </w:rPr>
        <w:t>Y,</w:t>
      </w:r>
      <w:r w:rsidR="00313C9C">
        <w:rPr>
          <w:sz w:val="22"/>
          <w:szCs w:val="22"/>
        </w:rPr>
        <w:t xml:space="preserve"> según el artículo 125 LPAC,</w:t>
      </w:r>
      <w:r w:rsidR="00313C9C" w:rsidRPr="00313C9C">
        <w:rPr>
          <w:rFonts w:ascii="Verdana" w:hAnsi="Verdana"/>
          <w:color w:val="000000"/>
          <w:shd w:val="clear" w:color="auto" w:fill="FFFFFF"/>
        </w:rPr>
        <w:t xml:space="preserve"> </w:t>
      </w:r>
      <w:r w:rsidR="00313C9C">
        <w:rPr>
          <w:rFonts w:ascii="Verdana" w:hAnsi="Verdana"/>
          <w:color w:val="000000"/>
          <w:shd w:val="clear" w:color="auto" w:fill="FFFFFF"/>
        </w:rPr>
        <w:t>“</w:t>
      </w:r>
      <w:r w:rsidR="00313C9C" w:rsidRPr="00313C9C">
        <w:rPr>
          <w:sz w:val="22"/>
          <w:szCs w:val="22"/>
        </w:rPr>
        <w:t>Contra los actos firmes en vía administrativa podrá interponerse el recurso extraordinario de revisión ante el órgano administrativo que los dictó, que también será el competente para su resolución, cuando concurra alguna de las circunstancias siguientes</w:t>
      </w:r>
      <w:r w:rsidR="00313C9C">
        <w:rPr>
          <w:sz w:val="22"/>
          <w:szCs w:val="22"/>
        </w:rPr>
        <w:t xml:space="preserve">: </w:t>
      </w:r>
      <w:r w:rsidR="00137832">
        <w:rPr>
          <w:sz w:val="22"/>
          <w:szCs w:val="22"/>
        </w:rPr>
        <w:t>a</w:t>
      </w:r>
      <w:r w:rsidR="00137832" w:rsidRPr="00137832">
        <w:rPr>
          <w:sz w:val="22"/>
          <w:szCs w:val="22"/>
        </w:rPr>
        <w:t>) Que al dictarlos se hubiera incurrido en error de hecho, que resulte de los propios documentos incorporados al expediente</w:t>
      </w:r>
      <w:r w:rsidR="00137832">
        <w:rPr>
          <w:sz w:val="22"/>
          <w:szCs w:val="22"/>
        </w:rPr>
        <w:t xml:space="preserve"> […]”</w:t>
      </w:r>
      <w:r w:rsidR="00D166F4">
        <w:rPr>
          <w:sz w:val="22"/>
          <w:szCs w:val="22"/>
        </w:rPr>
        <w:t>.</w:t>
      </w:r>
    </w:p>
    <w:p w14:paraId="79F7A218" w14:textId="0D5DD11C" w:rsidR="004F296D" w:rsidRPr="004F296D" w:rsidRDefault="004F296D" w:rsidP="004F296D">
      <w:pPr>
        <w:spacing w:before="120" w:after="120"/>
        <w:jc w:val="both"/>
        <w:rPr>
          <w:sz w:val="22"/>
          <w:szCs w:val="22"/>
        </w:rPr>
      </w:pPr>
      <w:r w:rsidRPr="004F296D">
        <w:rPr>
          <w:sz w:val="22"/>
          <w:szCs w:val="22"/>
        </w:rPr>
        <w:t xml:space="preserve">No obstante, debe analizarse la </w:t>
      </w:r>
      <w:r w:rsidR="00DC6C11">
        <w:rPr>
          <w:sz w:val="22"/>
          <w:szCs w:val="22"/>
        </w:rPr>
        <w:t xml:space="preserve">admisibilidad </w:t>
      </w:r>
      <w:r w:rsidRPr="004F296D">
        <w:rPr>
          <w:sz w:val="22"/>
          <w:szCs w:val="22"/>
        </w:rPr>
        <w:t>del recurso extraordinario de revisión contra las resoluciones de este Órgano Foral de Recursos Contractuales dictadas en procedimientos de recurso especial en materia de contratación. Y, en este sentido, cabe afirmar como doctrina generalizada de los tribunales administrativos de recursos contractuales que el mismo no cabe frente a este tipo de resoluciones (así, Resolución 305/2021, de 27 de agosto, del Tribunal Administrativo de Recursos Contractuales de la Junta de Andalucía; Acuerdo 4/2016, de 14 de enero, del Tribunal Administrativo de Contratos Públicos de Navarra; Resolución 47/2016, de 22 de enero, del Tribunal Administrativo Central de Recursos Contractuales; y Resolución 185/2015, de 20 de febrero, del Tribunal Administrativo de Contratos Públicos de Aragón).</w:t>
      </w:r>
    </w:p>
    <w:p w14:paraId="2C127C24" w14:textId="77777777" w:rsidR="004F296D" w:rsidRPr="004F296D" w:rsidRDefault="004F296D" w:rsidP="004F296D">
      <w:pPr>
        <w:spacing w:before="120" w:after="120"/>
        <w:jc w:val="both"/>
        <w:rPr>
          <w:sz w:val="22"/>
          <w:szCs w:val="22"/>
        </w:rPr>
      </w:pPr>
      <w:r w:rsidRPr="004F296D">
        <w:rPr>
          <w:sz w:val="22"/>
          <w:szCs w:val="22"/>
        </w:rPr>
        <w:t>Según la Resolución 305/2021, de 27 de agosto, del Tribunal Administrativo de Recursos Contractuales de la Junta de Andalucía,</w:t>
      </w:r>
    </w:p>
    <w:p w14:paraId="5C3129A6" w14:textId="77777777" w:rsidR="004F296D" w:rsidRPr="004F296D" w:rsidRDefault="004F296D" w:rsidP="00DC6C11">
      <w:pPr>
        <w:spacing w:before="240" w:after="120"/>
        <w:ind w:left="567"/>
        <w:jc w:val="both"/>
        <w:rPr>
          <w:sz w:val="22"/>
          <w:szCs w:val="22"/>
        </w:rPr>
      </w:pPr>
      <w:r w:rsidRPr="004F296D">
        <w:rPr>
          <w:sz w:val="22"/>
          <w:szCs w:val="22"/>
        </w:rPr>
        <w:t xml:space="preserve">En cuanto al efecto de estas resoluciones, indica el artículo 59 de la Ley 9/2017, de 8 de noviembre, de Contratos del Sector Público, por la que se transponen al ordenamiento </w:t>
      </w:r>
      <w:r w:rsidRPr="004F296D">
        <w:rPr>
          <w:sz w:val="22"/>
          <w:szCs w:val="22"/>
        </w:rPr>
        <w:lastRenderedPageBreak/>
        <w:t>jurídico español las Directivas del Parlamento Europeo y del Consejo 2014/23/UE y 2014/24/UE, de 26 de febrero de 2014 (en adelante LCSP), en su apartado 1, que “Contra la resolución dictada en este procedimiento solo cabrá la interposición de recurso contencioso-administrativo conforme a lo dispuesto en el artículo 10, letras k) y l) del apartado 1 y en el artículo 11, letra f) de su apartado 1, de la Ley 29/1998, de 13 de julio, Reguladora de la Jurisdicción Contencioso-Administrativa” -tal como se indica en el pie de recurso de la resolución impugnada- añadiendo en su apartado 3, que "No procederá la revisión de oficio de la resolución ni de ninguno de los actos dictados por los órganos competentes para la resolución del recurso.</w:t>
      </w:r>
    </w:p>
    <w:p w14:paraId="6517A476" w14:textId="77777777" w:rsidR="004F296D" w:rsidRPr="004F296D" w:rsidRDefault="004F296D" w:rsidP="00DC6C11">
      <w:pPr>
        <w:spacing w:before="120" w:after="240"/>
        <w:ind w:left="567"/>
        <w:jc w:val="both"/>
        <w:rPr>
          <w:sz w:val="22"/>
          <w:szCs w:val="22"/>
        </w:rPr>
      </w:pPr>
      <w:r w:rsidRPr="004F296D">
        <w:rPr>
          <w:sz w:val="22"/>
          <w:szCs w:val="22"/>
        </w:rPr>
        <w:t xml:space="preserve">También comparte esta doctrina las Resoluciones del Tribunal Administrativo Central de Recursos Contractuales: 47/2016, de 22 de enero, 200/2016, de 11 de marzo, 82/2017, de 27 de enero, 319/2017, de 31 de marzo y 96/2018, de 2 de febrero, manifestando esta última en concreto que «Así pues, contra las resoluciones de este Tribunal “sólo cabe la interposición del correspondiente recurso contencioso-administrativo”. No procede la revisión de oficio y se debe entender también que el recurso extraordinario de revisión entra dentro de la exclusión general de todos los recursos, salvo el contencioso administrativo, proclamada por el párrafo primero del citado artículo 49.1. Así lo hemos mantenido en numerosas resoluciones (como referencia, con cita de otras, en la </w:t>
      </w:r>
      <w:proofErr w:type="spellStart"/>
      <w:r w:rsidRPr="004F296D">
        <w:rPr>
          <w:sz w:val="22"/>
          <w:szCs w:val="22"/>
        </w:rPr>
        <w:t>nº</w:t>
      </w:r>
      <w:proofErr w:type="spellEnd"/>
      <w:r w:rsidRPr="004F296D">
        <w:rPr>
          <w:sz w:val="22"/>
          <w:szCs w:val="22"/>
        </w:rPr>
        <w:t xml:space="preserve"> 200/2016, de 11 de marzo). Como se manifiesta en todas ellas, se considera que la aplicación supletoria de la LPAC (entonces LRJ-PAC) en materia de contratos públicos presupone siempre la existencia de una “laguna” legal o vacío normativo en la legislación contractual directamente aplicable. Tal situación no se da en absoluto en estos casos dado que el artículo 49.1 del TRLCSP ya citado, dispone claramente que contra las resoluciones dictadas en los procedimientos del recurso especial en materia de contratación sólo cabe el recurso contencioso administrativo, lo que excluye la posibilidad de interposición de cualquier otro recurso administrativo del tipo que sea y, entre ellos, del extraordinario de revisión. Si este recurso no se regula en la Ley de Contratos, se debe precisamente a que se excluye tajantemente su aplicación.</w:t>
      </w:r>
    </w:p>
    <w:p w14:paraId="570D36EE" w14:textId="77777777" w:rsidR="004F296D" w:rsidRPr="004F296D" w:rsidRDefault="004F296D" w:rsidP="004F296D">
      <w:pPr>
        <w:spacing w:before="120" w:after="120"/>
        <w:jc w:val="both"/>
        <w:rPr>
          <w:sz w:val="22"/>
          <w:szCs w:val="22"/>
        </w:rPr>
      </w:pPr>
      <w:r w:rsidRPr="004F296D">
        <w:rPr>
          <w:sz w:val="22"/>
          <w:szCs w:val="22"/>
        </w:rPr>
        <w:t>Procede en consecuencia la inadmisión de la solicitud objeto de la presente resolución.</w:t>
      </w:r>
    </w:p>
    <w:p w14:paraId="09FFEF56" w14:textId="428F8C20" w:rsidR="00D166F4" w:rsidRPr="004F296D" w:rsidRDefault="004F296D" w:rsidP="00DC6C11">
      <w:pPr>
        <w:spacing w:before="360" w:after="120"/>
        <w:jc w:val="both"/>
        <w:rPr>
          <w:b/>
          <w:bCs/>
          <w:sz w:val="22"/>
          <w:szCs w:val="22"/>
        </w:rPr>
      </w:pPr>
      <w:proofErr w:type="gramStart"/>
      <w:r w:rsidRPr="004F296D">
        <w:rPr>
          <w:b/>
          <w:bCs/>
          <w:sz w:val="22"/>
          <w:szCs w:val="22"/>
        </w:rPr>
        <w:t>DÉCIMO.-</w:t>
      </w:r>
      <w:proofErr w:type="gramEnd"/>
      <w:r w:rsidRPr="004F296D">
        <w:rPr>
          <w:b/>
          <w:bCs/>
          <w:sz w:val="22"/>
          <w:szCs w:val="22"/>
        </w:rPr>
        <w:t xml:space="preserve"> </w:t>
      </w:r>
      <w:r w:rsidRPr="004F296D">
        <w:rPr>
          <w:sz w:val="22"/>
          <w:szCs w:val="22"/>
        </w:rPr>
        <w:t>Sin perjuicio de lo anterior, cabe añadir, finalmente, que</w:t>
      </w:r>
      <w:r>
        <w:rPr>
          <w:sz w:val="22"/>
          <w:szCs w:val="22"/>
        </w:rPr>
        <w:t xml:space="preserve"> nuestra Resolución 38/2025, de </w:t>
      </w:r>
      <w:r w:rsidR="00DC6C11">
        <w:rPr>
          <w:sz w:val="22"/>
          <w:szCs w:val="22"/>
        </w:rPr>
        <w:t>3</w:t>
      </w:r>
      <w:r>
        <w:rPr>
          <w:sz w:val="22"/>
          <w:szCs w:val="22"/>
        </w:rPr>
        <w:t xml:space="preserve">1 de octubre, objeto de la solicitud que estamos examinando, se fundamenta (FJ 8) en la </w:t>
      </w:r>
      <w:r>
        <w:rPr>
          <w:bCs/>
          <w:sz w:val="22"/>
          <w:szCs w:val="22"/>
        </w:rPr>
        <w:t>indebida aplicación de la normativa de protección de datos como causa de exclusión por parte del órgano de contratación, cuestión oportunamente alegada por las recurrentes (</w:t>
      </w:r>
      <w:r w:rsidR="00CF7C5B">
        <w:rPr>
          <w:bCs/>
          <w:sz w:val="22"/>
          <w:szCs w:val="22"/>
        </w:rPr>
        <w:t>XXXXXXXXX XXXXX</w:t>
      </w:r>
      <w:r>
        <w:rPr>
          <w:bCs/>
          <w:sz w:val="22"/>
          <w:szCs w:val="22"/>
        </w:rPr>
        <w:t xml:space="preserve">) como motivo del recurso especial, y debidamente argumentada en la misma Resolución 38/2015. Pues bien, a esta cuestión el escrito de alegaciones presentado por </w:t>
      </w:r>
      <w:r w:rsidR="00CF7C5B">
        <w:rPr>
          <w:bCs/>
          <w:sz w:val="22"/>
          <w:szCs w:val="22"/>
        </w:rPr>
        <w:t>XXXXXXX XXXXXX</w:t>
      </w:r>
      <w:r>
        <w:rPr>
          <w:bCs/>
          <w:sz w:val="22"/>
          <w:szCs w:val="22"/>
        </w:rPr>
        <w:t xml:space="preserve"> en el curso del mismo recurso especial, y que no fue considerado oportunamente por este Órgano Administrativo Foral, dedica, sin embargo, una referencia muy sucinta (motivo tercero) y limitada a dar por sentada la imposibilidad de subsanación de la documentación aportada en su momento por las promotoras del recurso especial y que sirvió de fundamento para su exclusión del procedimiento en vía administrativa. </w:t>
      </w:r>
      <w:r w:rsidR="00DC6C11">
        <w:rPr>
          <w:bCs/>
          <w:sz w:val="22"/>
          <w:szCs w:val="22"/>
        </w:rPr>
        <w:t>C</w:t>
      </w:r>
      <w:r>
        <w:rPr>
          <w:bCs/>
          <w:sz w:val="22"/>
          <w:szCs w:val="22"/>
        </w:rPr>
        <w:t>omoquiera que, relación con este punto, las alegaciones de los solicitantes no añadían ningún argumento sustancial al debate que concluyó en la estimación del recurso especial, la omisión de su consideración no ha causado indefensión desde un punto de vista material.</w:t>
      </w:r>
    </w:p>
    <w:p w14:paraId="347A7EAB" w14:textId="3E7CAA80" w:rsidR="009C249E" w:rsidRDefault="009C249E" w:rsidP="00C6399D">
      <w:pPr>
        <w:jc w:val="both"/>
        <w:rPr>
          <w:bCs/>
          <w:sz w:val="22"/>
          <w:szCs w:val="22"/>
        </w:rPr>
      </w:pPr>
      <w:r>
        <w:rPr>
          <w:bCs/>
          <w:sz w:val="22"/>
          <w:szCs w:val="22"/>
        </w:rPr>
        <w:lastRenderedPageBreak/>
        <w:t xml:space="preserve">Procede, en </w:t>
      </w:r>
      <w:r w:rsidR="004F296D">
        <w:rPr>
          <w:bCs/>
          <w:sz w:val="22"/>
          <w:szCs w:val="22"/>
        </w:rPr>
        <w:t>definitiva</w:t>
      </w:r>
      <w:r>
        <w:rPr>
          <w:bCs/>
          <w:sz w:val="22"/>
          <w:szCs w:val="22"/>
        </w:rPr>
        <w:t xml:space="preserve">, </w:t>
      </w:r>
      <w:r w:rsidR="004F296D">
        <w:rPr>
          <w:bCs/>
          <w:sz w:val="22"/>
          <w:szCs w:val="22"/>
        </w:rPr>
        <w:t xml:space="preserve">calificar la solicitud presentada </w:t>
      </w:r>
      <w:r w:rsidR="000F2E15">
        <w:rPr>
          <w:bCs/>
          <w:sz w:val="22"/>
          <w:szCs w:val="22"/>
        </w:rPr>
        <w:t xml:space="preserve">el día </w:t>
      </w:r>
      <w:r w:rsidR="000F2E15">
        <w:rPr>
          <w:sz w:val="22"/>
          <w:szCs w:val="22"/>
        </w:rPr>
        <w:t xml:space="preserve">13 de noviembre de 2025 por </w:t>
      </w:r>
      <w:r w:rsidR="00CF7C5B">
        <w:rPr>
          <w:sz w:val="22"/>
          <w:szCs w:val="22"/>
        </w:rPr>
        <w:t>XXX XXXXXXXXXXXXXXXX</w:t>
      </w:r>
      <w:r w:rsidR="000F2E15">
        <w:rPr>
          <w:sz w:val="22"/>
        </w:rPr>
        <w:t xml:space="preserve"> </w:t>
      </w:r>
      <w:r w:rsidR="000F2E15">
        <w:rPr>
          <w:bCs/>
          <w:sz w:val="22"/>
          <w:szCs w:val="22"/>
        </w:rPr>
        <w:t>como recurso extraordinario de revisión e inadmitirlo de acuerdo con lo expuesto en el anterior fundamento de derecho noveno.</w:t>
      </w:r>
    </w:p>
    <w:p w14:paraId="49DEA823" w14:textId="77777777" w:rsidR="009C249E" w:rsidRDefault="009C249E" w:rsidP="00C6399D">
      <w:pPr>
        <w:jc w:val="both"/>
        <w:rPr>
          <w:bCs/>
          <w:sz w:val="22"/>
          <w:szCs w:val="22"/>
        </w:rPr>
      </w:pPr>
    </w:p>
    <w:p w14:paraId="15CF5D69" w14:textId="1367B559" w:rsidR="00150761" w:rsidRDefault="001754AC" w:rsidP="00871AA1">
      <w:pPr>
        <w:jc w:val="both"/>
        <w:rPr>
          <w:bCs/>
          <w:sz w:val="22"/>
          <w:szCs w:val="22"/>
        </w:rPr>
      </w:pPr>
      <w:r>
        <w:rPr>
          <w:bCs/>
          <w:sz w:val="22"/>
          <w:szCs w:val="22"/>
        </w:rPr>
        <w:t>En su virtud</w:t>
      </w:r>
      <w:r w:rsidR="00871AA1">
        <w:rPr>
          <w:bCs/>
          <w:sz w:val="22"/>
          <w:szCs w:val="22"/>
        </w:rPr>
        <w:t>, este Órgano Administrativo Foral de Recursos Contractuales emite la siguiente</w:t>
      </w:r>
    </w:p>
    <w:p w14:paraId="3653A68E" w14:textId="77777777" w:rsidR="00871AA1" w:rsidRDefault="00871AA1" w:rsidP="001754AC">
      <w:pPr>
        <w:pStyle w:val="Textoindependiente"/>
        <w:spacing w:before="480" w:after="480"/>
        <w:jc w:val="center"/>
        <w:rPr>
          <w:rFonts w:ascii="Times New Roman" w:hAnsi="Times New Roman"/>
          <w:b/>
          <w:sz w:val="22"/>
        </w:rPr>
      </w:pPr>
      <w:r>
        <w:rPr>
          <w:rFonts w:ascii="Times New Roman" w:hAnsi="Times New Roman"/>
          <w:b/>
          <w:sz w:val="22"/>
        </w:rPr>
        <w:t>RESOLUCIÓN</w:t>
      </w:r>
    </w:p>
    <w:p w14:paraId="07B477C2" w14:textId="3311F3DA" w:rsidR="00692CD8" w:rsidRPr="000F2E15" w:rsidRDefault="00DC6C11" w:rsidP="00871AA1">
      <w:pPr>
        <w:pStyle w:val="CM4"/>
        <w:spacing w:after="360"/>
        <w:jc w:val="both"/>
        <w:rPr>
          <w:rFonts w:ascii="Times New Roman" w:hAnsi="Times New Roman" w:cs="Times New Roman"/>
          <w:sz w:val="22"/>
        </w:rPr>
      </w:pPr>
      <w:r>
        <w:rPr>
          <w:rFonts w:ascii="Times New Roman" w:hAnsi="Times New Roman" w:cs="Times New Roman"/>
          <w:b/>
          <w:bCs/>
          <w:sz w:val="22"/>
          <w:szCs w:val="22"/>
        </w:rPr>
        <w:t>PRIMERO</w:t>
      </w:r>
      <w:r w:rsidR="00871AA1" w:rsidRPr="000F2E15">
        <w:rPr>
          <w:rFonts w:ascii="Times New Roman" w:hAnsi="Times New Roman" w:cs="Times New Roman"/>
          <w:b/>
          <w:bCs/>
          <w:sz w:val="22"/>
          <w:szCs w:val="22"/>
        </w:rPr>
        <w:t xml:space="preserve">.– </w:t>
      </w:r>
      <w:r w:rsidR="000F2E15" w:rsidRPr="000F2E15">
        <w:rPr>
          <w:rFonts w:ascii="Times New Roman" w:hAnsi="Times New Roman" w:cs="Times New Roman"/>
          <w:sz w:val="22"/>
          <w:szCs w:val="22"/>
        </w:rPr>
        <w:t xml:space="preserve">Inadmitir el recurso extraordinario de revisión interpuesto </w:t>
      </w:r>
      <w:r w:rsidR="000F2E15" w:rsidRPr="000F2E15">
        <w:rPr>
          <w:rFonts w:ascii="Times New Roman" w:hAnsi="Times New Roman" w:cs="Times New Roman"/>
          <w:bCs/>
          <w:sz w:val="22"/>
          <w:szCs w:val="22"/>
        </w:rPr>
        <w:t xml:space="preserve">el día </w:t>
      </w:r>
      <w:r w:rsidR="000F2E15" w:rsidRPr="000F2E15">
        <w:rPr>
          <w:rFonts w:ascii="Times New Roman" w:hAnsi="Times New Roman" w:cs="Times New Roman"/>
          <w:sz w:val="22"/>
          <w:szCs w:val="22"/>
        </w:rPr>
        <w:t xml:space="preserve">13 de noviembre de 2025 por </w:t>
      </w:r>
      <w:r w:rsidR="00CF7C5B">
        <w:rPr>
          <w:rFonts w:ascii="Times New Roman" w:hAnsi="Times New Roman" w:cs="Times New Roman"/>
          <w:sz w:val="22"/>
          <w:szCs w:val="22"/>
        </w:rPr>
        <w:t>XXXXXXXXXXXXXXXXXXXXXXXXXXXXXXX</w:t>
      </w:r>
      <w:r w:rsidR="000F2E15" w:rsidRPr="000F2E15">
        <w:rPr>
          <w:rFonts w:ascii="Times New Roman" w:hAnsi="Times New Roman" w:cs="Times New Roman"/>
          <w:sz w:val="22"/>
        </w:rPr>
        <w:t xml:space="preserve"> contra la Resolución 38/2025, de 31 de octubre, que estimó el recurso especial interpuesto </w:t>
      </w:r>
      <w:r w:rsidR="00692CD8" w:rsidRPr="000F2E15">
        <w:rPr>
          <w:rFonts w:ascii="Times New Roman" w:hAnsi="Times New Roman" w:cs="Times New Roman"/>
          <w:sz w:val="22"/>
          <w:szCs w:val="22"/>
        </w:rPr>
        <w:t xml:space="preserve">por </w:t>
      </w:r>
      <w:r w:rsidR="00CF7C5B">
        <w:rPr>
          <w:rFonts w:ascii="Times New Roman" w:hAnsi="Times New Roman" w:cs="Times New Roman"/>
          <w:sz w:val="22"/>
          <w:szCs w:val="22"/>
        </w:rPr>
        <w:t>XXXXXXX XXXXXXXXXXXXXXXXXXXXX</w:t>
      </w:r>
      <w:r w:rsidR="00692CD8" w:rsidRPr="000F2E15">
        <w:rPr>
          <w:rFonts w:ascii="Times New Roman" w:hAnsi="Times New Roman" w:cs="Times New Roman"/>
          <w:sz w:val="22"/>
        </w:rPr>
        <w:t xml:space="preserve"> contra el Acuerdo de 19 de junio de 2025, del Consejo de Administración del Instituto Foral de Bienestar Social</w:t>
      </w:r>
      <w:r w:rsidR="00692CD8" w:rsidRPr="000F2E15">
        <w:rPr>
          <w:rFonts w:ascii="Times New Roman" w:hAnsi="Times New Roman" w:cs="Times New Roman"/>
          <w:sz w:val="22"/>
          <w:szCs w:val="22"/>
        </w:rPr>
        <w:t xml:space="preserve">, </w:t>
      </w:r>
      <w:r w:rsidR="00692CD8" w:rsidRPr="000F2E15">
        <w:rPr>
          <w:rFonts w:ascii="Times New Roman" w:hAnsi="Times New Roman" w:cs="Times New Roman"/>
          <w:sz w:val="22"/>
        </w:rPr>
        <w:t>de “Adjudicación del expediente de contratación de los servicios profesionales para el asesoramiento y la defensa jurídica y judicial del Área del Menor y Familia”</w:t>
      </w:r>
      <w:r w:rsidR="000F2E15" w:rsidRPr="000F2E15">
        <w:rPr>
          <w:rFonts w:ascii="Times New Roman" w:hAnsi="Times New Roman" w:cs="Times New Roman"/>
          <w:sz w:val="22"/>
        </w:rPr>
        <w:t>.</w:t>
      </w:r>
    </w:p>
    <w:p w14:paraId="48AAEA0F" w14:textId="7B75A69B" w:rsidR="00871AA1" w:rsidRDefault="00731FC9" w:rsidP="000F2E15">
      <w:pPr>
        <w:pStyle w:val="CM4"/>
        <w:spacing w:after="360"/>
        <w:jc w:val="both"/>
        <w:rPr>
          <w:rFonts w:ascii="Times New Roman" w:hAnsi="Times New Roman" w:cs="Times New Roman"/>
          <w:sz w:val="22"/>
          <w:szCs w:val="22"/>
        </w:rPr>
      </w:pPr>
      <w:proofErr w:type="gramStart"/>
      <w:r w:rsidRPr="00A72479">
        <w:rPr>
          <w:rFonts w:ascii="Times New Roman" w:hAnsi="Times New Roman" w:cs="Times New Roman"/>
          <w:b/>
          <w:bCs/>
          <w:sz w:val="22"/>
          <w:szCs w:val="22"/>
        </w:rPr>
        <w:t>SEGUNDO.-</w:t>
      </w:r>
      <w:proofErr w:type="gramEnd"/>
      <w:r w:rsidRPr="00A72479">
        <w:rPr>
          <w:rFonts w:ascii="Times New Roman" w:hAnsi="Times New Roman" w:cs="Times New Roman"/>
          <w:sz w:val="22"/>
          <w:szCs w:val="22"/>
        </w:rPr>
        <w:t xml:space="preserve"> </w:t>
      </w:r>
      <w:r w:rsidR="00A72479">
        <w:rPr>
          <w:rFonts w:ascii="Times New Roman" w:hAnsi="Times New Roman" w:cs="Times New Roman"/>
          <w:sz w:val="22"/>
          <w:szCs w:val="22"/>
        </w:rPr>
        <w:t>No</w:t>
      </w:r>
      <w:r w:rsidR="00871AA1">
        <w:rPr>
          <w:rFonts w:ascii="Times New Roman" w:hAnsi="Times New Roman" w:cs="Times New Roman"/>
          <w:sz w:val="22"/>
          <w:szCs w:val="22"/>
        </w:rPr>
        <w:t xml:space="preserve"> se aprecia la concurrencia de mala fe o temeridad en la interposición del recurso, por lo que no procede la imposición de sanción prevista en el artículo 58.2 de la LCSP.</w:t>
      </w:r>
    </w:p>
    <w:p w14:paraId="5FE22015" w14:textId="77777777" w:rsidR="00871AA1" w:rsidRPr="007F6FCB" w:rsidRDefault="00871AA1" w:rsidP="007F6FCB">
      <w:pPr>
        <w:jc w:val="both"/>
        <w:rPr>
          <w:bCs/>
          <w:sz w:val="22"/>
          <w:szCs w:val="22"/>
        </w:rPr>
      </w:pPr>
      <w:r w:rsidRPr="007F6FCB">
        <w:rPr>
          <w:bCs/>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1C104395" w14:textId="7400A50B" w:rsidR="006604C7" w:rsidRDefault="006604C7"/>
    <w:p w14:paraId="57C8915A" w14:textId="447D1B5D" w:rsidR="00D44891" w:rsidRDefault="00D44891"/>
    <w:p w14:paraId="2439745F" w14:textId="77777777" w:rsidR="00F45A0E" w:rsidRDefault="00F45A0E" w:rsidP="00F45A0E">
      <w:pPr>
        <w:rPr>
          <w:sz w:val="24"/>
          <w:szCs w:val="24"/>
        </w:rPr>
      </w:pPr>
    </w:p>
    <w:p w14:paraId="61E53D55" w14:textId="77777777" w:rsidR="00A323D7" w:rsidRDefault="00A323D7" w:rsidP="00F45A0E">
      <w:pPr>
        <w:rPr>
          <w:sz w:val="24"/>
          <w:szCs w:val="24"/>
        </w:rPr>
      </w:pPr>
    </w:p>
    <w:p w14:paraId="5DC0BE63" w14:textId="77777777" w:rsidR="00A323D7" w:rsidRDefault="00A323D7" w:rsidP="00F45A0E">
      <w:pPr>
        <w:rPr>
          <w:sz w:val="24"/>
          <w:szCs w:val="24"/>
        </w:rPr>
      </w:pPr>
    </w:p>
    <w:p w14:paraId="332DA193" w14:textId="52C4BA5A" w:rsidR="00F45A0E" w:rsidRDefault="00F45A0E" w:rsidP="00005F98">
      <w:pPr>
        <w:spacing w:after="400"/>
        <w:jc w:val="both"/>
        <w:rPr>
          <w:sz w:val="22"/>
          <w:szCs w:val="22"/>
        </w:rPr>
      </w:pPr>
    </w:p>
    <w:sectPr w:rsidR="00F45A0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4056" w14:textId="77777777" w:rsidR="00B67B3F" w:rsidRDefault="00F45A0E">
      <w:r>
        <w:separator/>
      </w:r>
    </w:p>
  </w:endnote>
  <w:endnote w:type="continuationSeparator" w:id="0">
    <w:p w14:paraId="3F157227" w14:textId="77777777" w:rsidR="00B67B3F" w:rsidRDefault="00F4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530770"/>
      <w:docPartObj>
        <w:docPartGallery w:val="Page Numbers (Bottom of Page)"/>
        <w:docPartUnique/>
      </w:docPartObj>
    </w:sdtPr>
    <w:sdtEndPr/>
    <w:sdtContent>
      <w:p w14:paraId="61DF0376" w14:textId="77777777" w:rsidR="00837404" w:rsidRDefault="00E359EC">
        <w:pPr>
          <w:pStyle w:val="Piedepgina"/>
          <w:jc w:val="right"/>
        </w:pPr>
        <w:r>
          <w:fldChar w:fldCharType="begin"/>
        </w:r>
        <w:r>
          <w:instrText>PAGE   \* MERGEFORMAT</w:instrText>
        </w:r>
        <w:r>
          <w:fldChar w:fldCharType="separate"/>
        </w:r>
        <w:r>
          <w:rPr>
            <w:noProof/>
          </w:rPr>
          <w:t>3</w:t>
        </w:r>
        <w:r>
          <w:fldChar w:fldCharType="end"/>
        </w:r>
      </w:p>
    </w:sdtContent>
  </w:sdt>
  <w:p w14:paraId="4394BAD5" w14:textId="77777777" w:rsidR="00837404" w:rsidRDefault="008374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7DE4" w14:textId="77777777" w:rsidR="00B67B3F" w:rsidRDefault="00F45A0E">
      <w:r>
        <w:separator/>
      </w:r>
    </w:p>
  </w:footnote>
  <w:footnote w:type="continuationSeparator" w:id="0">
    <w:p w14:paraId="1C7A6BCA" w14:textId="77777777" w:rsidR="00B67B3F" w:rsidRDefault="00F4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A5693A" w:rsidRPr="00814F6B" w14:paraId="00118F86" w14:textId="77777777" w:rsidTr="00A5693A">
      <w:tc>
        <w:tcPr>
          <w:tcW w:w="4890" w:type="dxa"/>
        </w:tcPr>
        <w:p w14:paraId="00F5AF48" w14:textId="77777777" w:rsidR="00837404" w:rsidRPr="00814F6B" w:rsidRDefault="00E359EC" w:rsidP="00A5693A">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400B4F68" wp14:editId="0CF22B8A">
                <wp:extent cx="20764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6C5214FA" w14:textId="77777777" w:rsidR="00837404" w:rsidRPr="00814F6B" w:rsidRDefault="00837404" w:rsidP="00A5693A">
          <w:pPr>
            <w:tabs>
              <w:tab w:val="center" w:pos="4819"/>
              <w:tab w:val="right" w:pos="9071"/>
            </w:tabs>
            <w:ind w:left="1064"/>
            <w:rPr>
              <w:rFonts w:ascii="Arial" w:hAnsi="Arial"/>
              <w:noProof/>
              <w:sz w:val="16"/>
              <w:lang w:val="es-ES_tradnl"/>
            </w:rPr>
          </w:pPr>
        </w:p>
      </w:tc>
      <w:tc>
        <w:tcPr>
          <w:tcW w:w="4961" w:type="dxa"/>
        </w:tcPr>
        <w:p w14:paraId="23FBA107" w14:textId="77777777" w:rsidR="00837404" w:rsidRPr="00814F6B" w:rsidRDefault="00837404" w:rsidP="00A5693A">
          <w:pPr>
            <w:tabs>
              <w:tab w:val="center" w:pos="4819"/>
              <w:tab w:val="right" w:pos="9071"/>
            </w:tabs>
            <w:spacing w:after="40" w:line="240" w:lineRule="exact"/>
            <w:ind w:left="-68"/>
            <w:rPr>
              <w:rFonts w:ascii="Arial" w:hAnsi="Arial"/>
              <w:b/>
              <w:noProof/>
              <w:sz w:val="18"/>
              <w:lang w:val="es-ES_tradnl"/>
            </w:rPr>
          </w:pPr>
        </w:p>
        <w:p w14:paraId="075D3F45" w14:textId="77777777" w:rsidR="00837404" w:rsidRPr="00814F6B" w:rsidRDefault="00E359EC" w:rsidP="00A5693A">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1F50F69C" w14:textId="77777777" w:rsidR="00837404" w:rsidRPr="00814F6B" w:rsidRDefault="00E359EC" w:rsidP="00A5693A">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3CBBBAC8" w14:textId="77777777" w:rsidR="00837404" w:rsidRPr="00D70071" w:rsidRDefault="00837404" w:rsidP="009C475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B7D41"/>
    <w:multiLevelType w:val="hybridMultilevel"/>
    <w:tmpl w:val="E6ECA832"/>
    <w:lvl w:ilvl="0" w:tplc="0E72A344">
      <w:start w:val="1"/>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402214EE"/>
    <w:multiLevelType w:val="hybridMultilevel"/>
    <w:tmpl w:val="E590433C"/>
    <w:lvl w:ilvl="0" w:tplc="1CF8C45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8743E3"/>
    <w:multiLevelType w:val="hybridMultilevel"/>
    <w:tmpl w:val="DFBCAAAE"/>
    <w:lvl w:ilvl="0" w:tplc="0E72A344">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37114AC"/>
    <w:multiLevelType w:val="hybridMultilevel"/>
    <w:tmpl w:val="BDA638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28336011">
    <w:abstractNumId w:val="3"/>
  </w:num>
  <w:num w:numId="2" w16cid:durableId="1108038313">
    <w:abstractNumId w:val="2"/>
  </w:num>
  <w:num w:numId="3" w16cid:durableId="890650746">
    <w:abstractNumId w:val="0"/>
  </w:num>
  <w:num w:numId="4" w16cid:durableId="126356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A1"/>
    <w:rsid w:val="00005F98"/>
    <w:rsid w:val="00022797"/>
    <w:rsid w:val="0004618C"/>
    <w:rsid w:val="0004709E"/>
    <w:rsid w:val="00063F15"/>
    <w:rsid w:val="00064A8E"/>
    <w:rsid w:val="00086A67"/>
    <w:rsid w:val="000C2687"/>
    <w:rsid w:val="000D6904"/>
    <w:rsid w:val="000E70E5"/>
    <w:rsid w:val="000F2E15"/>
    <w:rsid w:val="00107CAE"/>
    <w:rsid w:val="00111DF5"/>
    <w:rsid w:val="00116E31"/>
    <w:rsid w:val="00120E8E"/>
    <w:rsid w:val="001219E1"/>
    <w:rsid w:val="001255C9"/>
    <w:rsid w:val="00130EBE"/>
    <w:rsid w:val="00137832"/>
    <w:rsid w:val="00146227"/>
    <w:rsid w:val="00150761"/>
    <w:rsid w:val="00152063"/>
    <w:rsid w:val="001754AC"/>
    <w:rsid w:val="00184BD2"/>
    <w:rsid w:val="001870C8"/>
    <w:rsid w:val="001B01A5"/>
    <w:rsid w:val="001B2223"/>
    <w:rsid w:val="001C0E38"/>
    <w:rsid w:val="001C2C70"/>
    <w:rsid w:val="001C58E3"/>
    <w:rsid w:val="001C6DDB"/>
    <w:rsid w:val="001D2AFE"/>
    <w:rsid w:val="001D4CAB"/>
    <w:rsid w:val="001D68D5"/>
    <w:rsid w:val="001E5C5C"/>
    <w:rsid w:val="001F40C0"/>
    <w:rsid w:val="0020386C"/>
    <w:rsid w:val="0020517C"/>
    <w:rsid w:val="00214D9F"/>
    <w:rsid w:val="00234D74"/>
    <w:rsid w:val="00237B40"/>
    <w:rsid w:val="00246126"/>
    <w:rsid w:val="0025180F"/>
    <w:rsid w:val="002601C1"/>
    <w:rsid w:val="00260EF1"/>
    <w:rsid w:val="002617DF"/>
    <w:rsid w:val="0026398F"/>
    <w:rsid w:val="002746CA"/>
    <w:rsid w:val="002757DF"/>
    <w:rsid w:val="002879FD"/>
    <w:rsid w:val="002B638E"/>
    <w:rsid w:val="002C3784"/>
    <w:rsid w:val="002D07A0"/>
    <w:rsid w:val="002D19D8"/>
    <w:rsid w:val="002F306F"/>
    <w:rsid w:val="002F7F99"/>
    <w:rsid w:val="00313C9C"/>
    <w:rsid w:val="00317EC4"/>
    <w:rsid w:val="00327156"/>
    <w:rsid w:val="0033314E"/>
    <w:rsid w:val="00354C9B"/>
    <w:rsid w:val="003565DE"/>
    <w:rsid w:val="00360492"/>
    <w:rsid w:val="00363B91"/>
    <w:rsid w:val="00374540"/>
    <w:rsid w:val="0039664B"/>
    <w:rsid w:val="003A1E2A"/>
    <w:rsid w:val="003B69A7"/>
    <w:rsid w:val="003D3F7B"/>
    <w:rsid w:val="003E0B42"/>
    <w:rsid w:val="004068A5"/>
    <w:rsid w:val="00416709"/>
    <w:rsid w:val="00425252"/>
    <w:rsid w:val="00433C04"/>
    <w:rsid w:val="004357A6"/>
    <w:rsid w:val="00436444"/>
    <w:rsid w:val="00455380"/>
    <w:rsid w:val="00481E6A"/>
    <w:rsid w:val="00482E5D"/>
    <w:rsid w:val="00484562"/>
    <w:rsid w:val="00496E48"/>
    <w:rsid w:val="004A0075"/>
    <w:rsid w:val="004B0F2F"/>
    <w:rsid w:val="004F28D2"/>
    <w:rsid w:val="004F296D"/>
    <w:rsid w:val="00500E57"/>
    <w:rsid w:val="005164FA"/>
    <w:rsid w:val="00540022"/>
    <w:rsid w:val="00555792"/>
    <w:rsid w:val="00555A7F"/>
    <w:rsid w:val="00565CC4"/>
    <w:rsid w:val="00567783"/>
    <w:rsid w:val="00572010"/>
    <w:rsid w:val="00572953"/>
    <w:rsid w:val="00574260"/>
    <w:rsid w:val="00585BF8"/>
    <w:rsid w:val="005A5033"/>
    <w:rsid w:val="005B30F2"/>
    <w:rsid w:val="005B3E34"/>
    <w:rsid w:val="005B6A30"/>
    <w:rsid w:val="005C6FE4"/>
    <w:rsid w:val="005D2218"/>
    <w:rsid w:val="005D7E53"/>
    <w:rsid w:val="005E63D5"/>
    <w:rsid w:val="005F07DC"/>
    <w:rsid w:val="005F5D47"/>
    <w:rsid w:val="006170CA"/>
    <w:rsid w:val="00620015"/>
    <w:rsid w:val="0062770D"/>
    <w:rsid w:val="00632FD0"/>
    <w:rsid w:val="00637780"/>
    <w:rsid w:val="0064418B"/>
    <w:rsid w:val="006604C7"/>
    <w:rsid w:val="006621E9"/>
    <w:rsid w:val="00681766"/>
    <w:rsid w:val="006819EA"/>
    <w:rsid w:val="00692CD8"/>
    <w:rsid w:val="006B2145"/>
    <w:rsid w:val="006C7B01"/>
    <w:rsid w:val="006D27BE"/>
    <w:rsid w:val="006D2A28"/>
    <w:rsid w:val="006D4F3E"/>
    <w:rsid w:val="00716203"/>
    <w:rsid w:val="0072223F"/>
    <w:rsid w:val="00722B3A"/>
    <w:rsid w:val="00731FC9"/>
    <w:rsid w:val="007360FC"/>
    <w:rsid w:val="00737318"/>
    <w:rsid w:val="00744D9B"/>
    <w:rsid w:val="00746007"/>
    <w:rsid w:val="007477E4"/>
    <w:rsid w:val="00756896"/>
    <w:rsid w:val="007603D4"/>
    <w:rsid w:val="00775906"/>
    <w:rsid w:val="00775AD3"/>
    <w:rsid w:val="00781F2C"/>
    <w:rsid w:val="007836B7"/>
    <w:rsid w:val="00785D97"/>
    <w:rsid w:val="00793F97"/>
    <w:rsid w:val="007A1CD4"/>
    <w:rsid w:val="007A1CD8"/>
    <w:rsid w:val="007B2B42"/>
    <w:rsid w:val="007D0714"/>
    <w:rsid w:val="007D1BF6"/>
    <w:rsid w:val="007E0A26"/>
    <w:rsid w:val="007F6FCB"/>
    <w:rsid w:val="00811E19"/>
    <w:rsid w:val="008139DB"/>
    <w:rsid w:val="00816BD3"/>
    <w:rsid w:val="00821A86"/>
    <w:rsid w:val="008340D8"/>
    <w:rsid w:val="0083595A"/>
    <w:rsid w:val="00837404"/>
    <w:rsid w:val="00837953"/>
    <w:rsid w:val="00850CA3"/>
    <w:rsid w:val="00856CF2"/>
    <w:rsid w:val="00871AA1"/>
    <w:rsid w:val="00872ED8"/>
    <w:rsid w:val="008A253A"/>
    <w:rsid w:val="008A323C"/>
    <w:rsid w:val="008E634F"/>
    <w:rsid w:val="008F314E"/>
    <w:rsid w:val="0091039F"/>
    <w:rsid w:val="0092049D"/>
    <w:rsid w:val="009211E4"/>
    <w:rsid w:val="00921328"/>
    <w:rsid w:val="009322DB"/>
    <w:rsid w:val="0094009B"/>
    <w:rsid w:val="00940BFA"/>
    <w:rsid w:val="00941296"/>
    <w:rsid w:val="00962A18"/>
    <w:rsid w:val="00970D91"/>
    <w:rsid w:val="00976EE8"/>
    <w:rsid w:val="00977447"/>
    <w:rsid w:val="009777B4"/>
    <w:rsid w:val="00982D9D"/>
    <w:rsid w:val="009B6B70"/>
    <w:rsid w:val="009B7EEB"/>
    <w:rsid w:val="009C249E"/>
    <w:rsid w:val="009D4AC8"/>
    <w:rsid w:val="009E22C8"/>
    <w:rsid w:val="00A15ECA"/>
    <w:rsid w:val="00A26138"/>
    <w:rsid w:val="00A300B5"/>
    <w:rsid w:val="00A30DAE"/>
    <w:rsid w:val="00A323D7"/>
    <w:rsid w:val="00A37E97"/>
    <w:rsid w:val="00A4296E"/>
    <w:rsid w:val="00A72479"/>
    <w:rsid w:val="00A82374"/>
    <w:rsid w:val="00A85142"/>
    <w:rsid w:val="00A905BC"/>
    <w:rsid w:val="00A96547"/>
    <w:rsid w:val="00AA328E"/>
    <w:rsid w:val="00AA4E53"/>
    <w:rsid w:val="00AD0EB7"/>
    <w:rsid w:val="00AF3793"/>
    <w:rsid w:val="00AF785A"/>
    <w:rsid w:val="00B00E87"/>
    <w:rsid w:val="00B0725C"/>
    <w:rsid w:val="00B12CDA"/>
    <w:rsid w:val="00B31F05"/>
    <w:rsid w:val="00B46DE1"/>
    <w:rsid w:val="00B47BEB"/>
    <w:rsid w:val="00B533DA"/>
    <w:rsid w:val="00B6260E"/>
    <w:rsid w:val="00B67B3F"/>
    <w:rsid w:val="00B9661D"/>
    <w:rsid w:val="00BA32A5"/>
    <w:rsid w:val="00BB4B49"/>
    <w:rsid w:val="00BC5203"/>
    <w:rsid w:val="00BE0EE5"/>
    <w:rsid w:val="00BE2D5E"/>
    <w:rsid w:val="00BE56E5"/>
    <w:rsid w:val="00BF1CF8"/>
    <w:rsid w:val="00BF5872"/>
    <w:rsid w:val="00C14935"/>
    <w:rsid w:val="00C20748"/>
    <w:rsid w:val="00C60125"/>
    <w:rsid w:val="00C60511"/>
    <w:rsid w:val="00C6399D"/>
    <w:rsid w:val="00C65021"/>
    <w:rsid w:val="00C65886"/>
    <w:rsid w:val="00C8216B"/>
    <w:rsid w:val="00C91B95"/>
    <w:rsid w:val="00CA6D24"/>
    <w:rsid w:val="00CC41E3"/>
    <w:rsid w:val="00CC5BF0"/>
    <w:rsid w:val="00CE5CCD"/>
    <w:rsid w:val="00CF6671"/>
    <w:rsid w:val="00CF7C5B"/>
    <w:rsid w:val="00D04F49"/>
    <w:rsid w:val="00D12E5C"/>
    <w:rsid w:val="00D164D1"/>
    <w:rsid w:val="00D166F4"/>
    <w:rsid w:val="00D22BE4"/>
    <w:rsid w:val="00D44891"/>
    <w:rsid w:val="00D7613E"/>
    <w:rsid w:val="00D7678C"/>
    <w:rsid w:val="00DA47D7"/>
    <w:rsid w:val="00DA51A0"/>
    <w:rsid w:val="00DA5364"/>
    <w:rsid w:val="00DC6C11"/>
    <w:rsid w:val="00DC7523"/>
    <w:rsid w:val="00DD474C"/>
    <w:rsid w:val="00DE0ED4"/>
    <w:rsid w:val="00DE1A30"/>
    <w:rsid w:val="00DE2062"/>
    <w:rsid w:val="00DE5E90"/>
    <w:rsid w:val="00DF2235"/>
    <w:rsid w:val="00DF6A52"/>
    <w:rsid w:val="00E00B6D"/>
    <w:rsid w:val="00E03718"/>
    <w:rsid w:val="00E131CB"/>
    <w:rsid w:val="00E32D3D"/>
    <w:rsid w:val="00E359EC"/>
    <w:rsid w:val="00E36CF4"/>
    <w:rsid w:val="00E6665E"/>
    <w:rsid w:val="00E86187"/>
    <w:rsid w:val="00E972CD"/>
    <w:rsid w:val="00E979F1"/>
    <w:rsid w:val="00EA4758"/>
    <w:rsid w:val="00EB18E0"/>
    <w:rsid w:val="00EE18FD"/>
    <w:rsid w:val="00EE21BB"/>
    <w:rsid w:val="00EE769D"/>
    <w:rsid w:val="00EF6A1E"/>
    <w:rsid w:val="00F03D5D"/>
    <w:rsid w:val="00F0554A"/>
    <w:rsid w:val="00F14838"/>
    <w:rsid w:val="00F16190"/>
    <w:rsid w:val="00F269FB"/>
    <w:rsid w:val="00F31CA0"/>
    <w:rsid w:val="00F349A2"/>
    <w:rsid w:val="00F357AE"/>
    <w:rsid w:val="00F36294"/>
    <w:rsid w:val="00F445D9"/>
    <w:rsid w:val="00F45A0E"/>
    <w:rsid w:val="00F46D45"/>
    <w:rsid w:val="00F53DF0"/>
    <w:rsid w:val="00F67D38"/>
    <w:rsid w:val="00F723D0"/>
    <w:rsid w:val="00F8209A"/>
    <w:rsid w:val="00F83BF6"/>
    <w:rsid w:val="00F865DE"/>
    <w:rsid w:val="00F9580E"/>
    <w:rsid w:val="00FA482C"/>
    <w:rsid w:val="00FB1841"/>
    <w:rsid w:val="00FE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9579"/>
  <w15:chartTrackingRefBased/>
  <w15:docId w15:val="{06B3B88E-8D8C-4254-8F2C-1502004D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AA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871AA1"/>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1AA1"/>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871AA1"/>
    <w:pPr>
      <w:tabs>
        <w:tab w:val="center" w:pos="4252"/>
        <w:tab w:val="right" w:pos="8504"/>
      </w:tabs>
    </w:pPr>
  </w:style>
  <w:style w:type="character" w:customStyle="1" w:styleId="PiedepginaCar">
    <w:name w:val="Pie de página Car"/>
    <w:basedOn w:val="Fuentedeprrafopredeter"/>
    <w:link w:val="Piedepgina"/>
    <w:uiPriority w:val="99"/>
    <w:rsid w:val="00871AA1"/>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nhideWhenUsed/>
    <w:rsid w:val="00871AA1"/>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rsid w:val="00871AA1"/>
    <w:rPr>
      <w:rFonts w:ascii="Arial" w:eastAsia="Times New Roman" w:hAnsi="Arial" w:cs="Times New Roman"/>
      <w:sz w:val="26"/>
      <w:szCs w:val="20"/>
      <w:lang w:val="es-ES_tradnl" w:eastAsia="es-ES"/>
    </w:rPr>
  </w:style>
  <w:style w:type="paragraph" w:customStyle="1" w:styleId="Estilo1">
    <w:name w:val="Estilo1"/>
    <w:basedOn w:val="Normal"/>
    <w:rsid w:val="00871AA1"/>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871AA1"/>
    <w:pPr>
      <w:tabs>
        <w:tab w:val="center" w:pos="4252"/>
        <w:tab w:val="right" w:pos="8504"/>
      </w:tabs>
    </w:pPr>
  </w:style>
  <w:style w:type="character" w:customStyle="1" w:styleId="EncabezadoCar">
    <w:name w:val="Encabezado Car"/>
    <w:basedOn w:val="Fuentedeprrafopredeter"/>
    <w:link w:val="Encabezado"/>
    <w:uiPriority w:val="99"/>
    <w:rsid w:val="00871AA1"/>
    <w:rPr>
      <w:rFonts w:ascii="Times New Roman" w:eastAsia="Times New Roman" w:hAnsi="Times New Roman" w:cs="Times New Roman"/>
      <w:sz w:val="20"/>
      <w:szCs w:val="20"/>
      <w:lang w:eastAsia="es-ES"/>
    </w:rPr>
  </w:style>
  <w:style w:type="paragraph" w:customStyle="1" w:styleId="CM1">
    <w:name w:val="CM1"/>
    <w:basedOn w:val="Normal"/>
    <w:next w:val="Normal"/>
    <w:uiPriority w:val="99"/>
    <w:rsid w:val="00871AA1"/>
    <w:pPr>
      <w:autoSpaceDE w:val="0"/>
      <w:autoSpaceDN w:val="0"/>
      <w:adjustRightInd w:val="0"/>
      <w:spacing w:line="380" w:lineRule="atLeast"/>
    </w:pPr>
    <w:rPr>
      <w:rFonts w:ascii="Arial" w:eastAsiaTheme="minorHAnsi" w:hAnsi="Arial" w:cs="Arial"/>
      <w:sz w:val="24"/>
      <w:szCs w:val="24"/>
      <w:lang w:eastAsia="en-US"/>
    </w:rPr>
  </w:style>
  <w:style w:type="paragraph" w:customStyle="1" w:styleId="CM4">
    <w:name w:val="CM4"/>
    <w:basedOn w:val="Normal"/>
    <w:next w:val="Normal"/>
    <w:uiPriority w:val="99"/>
    <w:rsid w:val="00871AA1"/>
    <w:pPr>
      <w:autoSpaceDE w:val="0"/>
      <w:autoSpaceDN w:val="0"/>
      <w:adjustRightInd w:val="0"/>
    </w:pPr>
    <w:rPr>
      <w:rFonts w:ascii="Arial" w:eastAsiaTheme="minorHAnsi" w:hAnsi="Arial" w:cs="Arial"/>
      <w:sz w:val="24"/>
      <w:szCs w:val="24"/>
      <w:lang w:eastAsia="en-US"/>
    </w:rPr>
  </w:style>
  <w:style w:type="paragraph" w:styleId="Prrafodelista">
    <w:name w:val="List Paragraph"/>
    <w:basedOn w:val="Normal"/>
    <w:uiPriority w:val="34"/>
    <w:qFormat/>
    <w:rsid w:val="00BE0EE5"/>
    <w:pPr>
      <w:ind w:left="720"/>
      <w:contextualSpacing/>
    </w:pPr>
  </w:style>
  <w:style w:type="paragraph" w:customStyle="1" w:styleId="Default">
    <w:name w:val="Default"/>
    <w:rsid w:val="005B3E34"/>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5C6FE4"/>
  </w:style>
  <w:style w:type="character" w:customStyle="1" w:styleId="TextonotapieCar">
    <w:name w:val="Texto nota pie Car"/>
    <w:basedOn w:val="Fuentedeprrafopredeter"/>
    <w:link w:val="Textonotapie"/>
    <w:uiPriority w:val="99"/>
    <w:semiHidden/>
    <w:rsid w:val="005C6FE4"/>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C6FE4"/>
    <w:rPr>
      <w:vertAlign w:val="superscript"/>
    </w:rPr>
  </w:style>
  <w:style w:type="character" w:styleId="Hipervnculo">
    <w:name w:val="Hyperlink"/>
    <w:basedOn w:val="Fuentedeprrafopredeter"/>
    <w:uiPriority w:val="99"/>
    <w:unhideWhenUsed/>
    <w:rsid w:val="00F357AE"/>
    <w:rPr>
      <w:color w:val="0563C1" w:themeColor="hyperlink"/>
      <w:u w:val="single"/>
    </w:rPr>
  </w:style>
  <w:style w:type="character" w:styleId="Mencinsinresolver">
    <w:name w:val="Unresolved Mention"/>
    <w:basedOn w:val="Fuentedeprrafopredeter"/>
    <w:uiPriority w:val="99"/>
    <w:semiHidden/>
    <w:unhideWhenUsed/>
    <w:rsid w:val="00F357AE"/>
    <w:rPr>
      <w:color w:val="605E5C"/>
      <w:shd w:val="clear" w:color="auto" w:fill="E1DFDD"/>
    </w:rPr>
  </w:style>
  <w:style w:type="character" w:styleId="nfasis">
    <w:name w:val="Emphasis"/>
    <w:basedOn w:val="Fuentedeprrafopredeter"/>
    <w:qFormat/>
    <w:rsid w:val="00C639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3524">
      <w:bodyDiv w:val="1"/>
      <w:marLeft w:val="0"/>
      <w:marRight w:val="0"/>
      <w:marTop w:val="0"/>
      <w:marBottom w:val="0"/>
      <w:divBdr>
        <w:top w:val="none" w:sz="0" w:space="0" w:color="auto"/>
        <w:left w:val="none" w:sz="0" w:space="0" w:color="auto"/>
        <w:bottom w:val="none" w:sz="0" w:space="0" w:color="auto"/>
        <w:right w:val="none" w:sz="0" w:space="0" w:color="auto"/>
      </w:divBdr>
    </w:div>
    <w:div w:id="213391636">
      <w:bodyDiv w:val="1"/>
      <w:marLeft w:val="0"/>
      <w:marRight w:val="0"/>
      <w:marTop w:val="0"/>
      <w:marBottom w:val="0"/>
      <w:divBdr>
        <w:top w:val="none" w:sz="0" w:space="0" w:color="auto"/>
        <w:left w:val="none" w:sz="0" w:space="0" w:color="auto"/>
        <w:bottom w:val="none" w:sz="0" w:space="0" w:color="auto"/>
        <w:right w:val="none" w:sz="0" w:space="0" w:color="auto"/>
      </w:divBdr>
      <w:divsChild>
        <w:div w:id="1146164479">
          <w:marLeft w:val="0"/>
          <w:marRight w:val="0"/>
          <w:marTop w:val="0"/>
          <w:marBottom w:val="0"/>
          <w:divBdr>
            <w:top w:val="none" w:sz="0" w:space="0" w:color="auto"/>
            <w:left w:val="none" w:sz="0" w:space="0" w:color="auto"/>
            <w:bottom w:val="none" w:sz="0" w:space="0" w:color="auto"/>
            <w:right w:val="none" w:sz="0" w:space="0" w:color="auto"/>
          </w:divBdr>
        </w:div>
      </w:divsChild>
    </w:div>
    <w:div w:id="571506097">
      <w:bodyDiv w:val="1"/>
      <w:marLeft w:val="0"/>
      <w:marRight w:val="0"/>
      <w:marTop w:val="0"/>
      <w:marBottom w:val="0"/>
      <w:divBdr>
        <w:top w:val="none" w:sz="0" w:space="0" w:color="auto"/>
        <w:left w:val="none" w:sz="0" w:space="0" w:color="auto"/>
        <w:bottom w:val="none" w:sz="0" w:space="0" w:color="auto"/>
        <w:right w:val="none" w:sz="0" w:space="0" w:color="auto"/>
      </w:divBdr>
    </w:div>
    <w:div w:id="1632978699">
      <w:bodyDiv w:val="1"/>
      <w:marLeft w:val="0"/>
      <w:marRight w:val="0"/>
      <w:marTop w:val="0"/>
      <w:marBottom w:val="0"/>
      <w:divBdr>
        <w:top w:val="none" w:sz="0" w:space="0" w:color="auto"/>
        <w:left w:val="none" w:sz="0" w:space="0" w:color="auto"/>
        <w:bottom w:val="none" w:sz="0" w:space="0" w:color="auto"/>
        <w:right w:val="none" w:sz="0" w:space="0" w:color="auto"/>
      </w:divBdr>
      <w:divsChild>
        <w:div w:id="487791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24EF0-917E-4997-8388-F47E6467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3321</Words>
  <Characters>18318</Characters>
  <Application>Microsoft Office Word</Application>
  <DocSecurity>0</DocSecurity>
  <Lines>278</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2026-03-03T08:10:00Z</cp:lastPrinted>
  <dcterms:created xsi:type="dcterms:W3CDTF">2026-03-03T08:01:00Z</dcterms:created>
  <dcterms:modified xsi:type="dcterms:W3CDTF">2026-03-03T08:11:00Z</dcterms:modified>
</cp:coreProperties>
</file>