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375"/>
        <w:gridCol w:w="20"/>
        <w:gridCol w:w="4677"/>
      </w:tblGrid>
      <w:tr w:rsidR="00020C36" w:rsidRPr="000B50DF" w14:paraId="6EE5C813" w14:textId="77777777">
        <w:trPr>
          <w:trHeight w:val="2093"/>
        </w:trPr>
        <w:tc>
          <w:tcPr>
            <w:tcW w:w="4375" w:type="dxa"/>
          </w:tcPr>
          <w:p w14:paraId="73804CC3" w14:textId="430ADE42" w:rsidR="00763CF5" w:rsidRPr="000B50DF" w:rsidRDefault="00763CF5" w:rsidP="00763CF5">
            <w:pPr>
              <w:pStyle w:val="Ttulo1"/>
              <w:spacing w:after="240"/>
              <w:jc w:val="both"/>
              <w:rPr>
                <w:rFonts w:ascii="Times New Roman" w:hAnsi="Times New Roman"/>
                <w:b w:val="0"/>
                <w:bCs/>
                <w:color w:val="000000" w:themeColor="text1"/>
                <w:sz w:val="22"/>
                <w:szCs w:val="22"/>
                <w:u w:val="none"/>
              </w:rPr>
            </w:pPr>
            <w:proofErr w:type="spellStart"/>
            <w:r w:rsidRPr="000B50DF">
              <w:rPr>
                <w:rFonts w:ascii="Times New Roman" w:hAnsi="Times New Roman"/>
                <w:color w:val="000000" w:themeColor="text1"/>
                <w:sz w:val="22"/>
                <w:szCs w:val="22"/>
              </w:rPr>
              <w:t>Erref</w:t>
            </w:r>
            <w:proofErr w:type="spellEnd"/>
            <w:r w:rsidRPr="000B50DF">
              <w:rPr>
                <w:rFonts w:ascii="Times New Roman" w:hAnsi="Times New Roman"/>
                <w:color w:val="000000" w:themeColor="text1"/>
                <w:sz w:val="22"/>
                <w:szCs w:val="22"/>
              </w:rPr>
              <w:t>/</w:t>
            </w:r>
            <w:proofErr w:type="spellStart"/>
            <w:r w:rsidRPr="000B50DF">
              <w:rPr>
                <w:rFonts w:ascii="Times New Roman" w:hAnsi="Times New Roman"/>
                <w:color w:val="000000" w:themeColor="text1"/>
                <w:sz w:val="22"/>
                <w:szCs w:val="22"/>
              </w:rPr>
              <w:t>Ref</w:t>
            </w:r>
            <w:proofErr w:type="spellEnd"/>
            <w:r w:rsidRPr="000B50DF">
              <w:rPr>
                <w:rFonts w:ascii="Times New Roman" w:hAnsi="Times New Roman"/>
                <w:color w:val="000000" w:themeColor="text1"/>
                <w:sz w:val="22"/>
                <w:szCs w:val="22"/>
              </w:rPr>
              <w:t>:</w:t>
            </w:r>
            <w:r w:rsidRPr="000B50DF">
              <w:rPr>
                <w:rFonts w:ascii="Times New Roman" w:hAnsi="Times New Roman"/>
                <w:color w:val="000000" w:themeColor="text1"/>
                <w:sz w:val="22"/>
                <w:szCs w:val="22"/>
                <w:u w:val="none"/>
              </w:rPr>
              <w:t xml:space="preserve"> </w:t>
            </w:r>
            <w:bookmarkStart w:id="0" w:name="_Hlk207360911"/>
            <w:r w:rsidR="005711DD" w:rsidRPr="000B50DF">
              <w:rPr>
                <w:rFonts w:ascii="Times New Roman" w:hAnsi="Times New Roman"/>
                <w:b w:val="0"/>
                <w:bCs/>
                <w:color w:val="000000" w:themeColor="text1"/>
                <w:sz w:val="22"/>
                <w:szCs w:val="22"/>
                <w:u w:val="none"/>
              </w:rPr>
              <w:t>Recurso Especial de la UTE IFBS INNOVAE OROI contra su exclusión del proceso de licitación del contrato del “suministro e instalación de un sistema de realidad inmersiva a centros dependientes del Instituto Foral de Bienestar Social” (</w:t>
            </w:r>
            <w:proofErr w:type="spellStart"/>
            <w:r w:rsidR="005711DD" w:rsidRPr="000B50DF">
              <w:rPr>
                <w:rFonts w:ascii="Times New Roman" w:hAnsi="Times New Roman"/>
                <w:b w:val="0"/>
                <w:bCs/>
                <w:color w:val="000000" w:themeColor="text1"/>
                <w:sz w:val="22"/>
                <w:szCs w:val="22"/>
                <w:u w:val="none"/>
              </w:rPr>
              <w:t>expte</w:t>
            </w:r>
            <w:proofErr w:type="spellEnd"/>
            <w:r w:rsidR="005711DD" w:rsidRPr="000B50DF">
              <w:rPr>
                <w:rFonts w:ascii="Times New Roman" w:hAnsi="Times New Roman"/>
                <w:b w:val="0"/>
                <w:bCs/>
                <w:color w:val="000000" w:themeColor="text1"/>
                <w:sz w:val="22"/>
                <w:szCs w:val="22"/>
                <w:u w:val="none"/>
              </w:rPr>
              <w:t xml:space="preserve"> 30/2025)</w:t>
            </w:r>
            <w:r w:rsidRPr="000B50DF">
              <w:rPr>
                <w:rFonts w:ascii="Times New Roman" w:hAnsi="Times New Roman"/>
                <w:b w:val="0"/>
                <w:bCs/>
                <w:color w:val="000000" w:themeColor="text1"/>
                <w:sz w:val="22"/>
                <w:szCs w:val="22"/>
                <w:u w:val="none"/>
              </w:rPr>
              <w:t>.</w:t>
            </w:r>
            <w:bookmarkEnd w:id="0"/>
          </w:p>
          <w:p w14:paraId="1C0DBBA5" w14:textId="1FDC643A" w:rsidR="00200F29" w:rsidRPr="000B50DF" w:rsidRDefault="00763CF5" w:rsidP="00763CF5">
            <w:pPr>
              <w:rPr>
                <w:color w:val="000000" w:themeColor="text1"/>
                <w:sz w:val="22"/>
                <w:szCs w:val="22"/>
                <w:lang w:val="es-ES_tradnl"/>
              </w:rPr>
            </w:pPr>
            <w:r w:rsidRPr="000B50DF">
              <w:rPr>
                <w:color w:val="000000" w:themeColor="text1"/>
                <w:sz w:val="22"/>
                <w:szCs w:val="22"/>
              </w:rPr>
              <w:t xml:space="preserve">Esp </w:t>
            </w:r>
            <w:proofErr w:type="spellStart"/>
            <w:r w:rsidRPr="000B50DF">
              <w:rPr>
                <w:color w:val="000000" w:themeColor="text1"/>
                <w:sz w:val="22"/>
                <w:szCs w:val="22"/>
              </w:rPr>
              <w:t>Zenb</w:t>
            </w:r>
            <w:proofErr w:type="spellEnd"/>
            <w:r w:rsidRPr="000B50DF">
              <w:rPr>
                <w:color w:val="000000" w:themeColor="text1"/>
                <w:sz w:val="22"/>
                <w:szCs w:val="22"/>
              </w:rPr>
              <w:t>/</w:t>
            </w:r>
            <w:proofErr w:type="spellStart"/>
            <w:r w:rsidRPr="000B50DF">
              <w:rPr>
                <w:color w:val="000000" w:themeColor="text1"/>
                <w:sz w:val="22"/>
                <w:szCs w:val="22"/>
              </w:rPr>
              <w:t>Nº</w:t>
            </w:r>
            <w:proofErr w:type="spellEnd"/>
            <w:r w:rsidRPr="000B50DF">
              <w:rPr>
                <w:color w:val="000000" w:themeColor="text1"/>
                <w:sz w:val="22"/>
                <w:szCs w:val="22"/>
              </w:rPr>
              <w:t xml:space="preserve"> </w:t>
            </w:r>
            <w:proofErr w:type="spellStart"/>
            <w:r w:rsidRPr="000B50DF">
              <w:rPr>
                <w:color w:val="000000" w:themeColor="text1"/>
                <w:sz w:val="22"/>
                <w:szCs w:val="22"/>
              </w:rPr>
              <w:t>exp</w:t>
            </w:r>
            <w:proofErr w:type="spellEnd"/>
            <w:r w:rsidRPr="000B50DF">
              <w:rPr>
                <w:color w:val="000000" w:themeColor="text1"/>
                <w:sz w:val="22"/>
                <w:szCs w:val="22"/>
              </w:rPr>
              <w:t xml:space="preserve">: </w:t>
            </w:r>
            <w:r w:rsidR="005711DD" w:rsidRPr="000B50DF">
              <w:rPr>
                <w:color w:val="000000" w:themeColor="text1"/>
                <w:sz w:val="22"/>
                <w:szCs w:val="22"/>
              </w:rPr>
              <w:t>2</w:t>
            </w:r>
            <w:r w:rsidR="00366AC7" w:rsidRPr="000B50DF">
              <w:rPr>
                <w:color w:val="000000" w:themeColor="text1"/>
                <w:sz w:val="22"/>
                <w:szCs w:val="22"/>
              </w:rPr>
              <w:t>/2</w:t>
            </w:r>
            <w:r w:rsidR="00913561" w:rsidRPr="000B50DF">
              <w:rPr>
                <w:color w:val="000000" w:themeColor="text1"/>
                <w:sz w:val="22"/>
                <w:szCs w:val="22"/>
              </w:rPr>
              <w:t>6</w:t>
            </w:r>
            <w:r w:rsidR="00366AC7" w:rsidRPr="000B50DF">
              <w:rPr>
                <w:color w:val="000000" w:themeColor="text1"/>
                <w:sz w:val="22"/>
                <w:szCs w:val="22"/>
              </w:rPr>
              <w:t>- RE</w:t>
            </w:r>
          </w:p>
        </w:tc>
        <w:tc>
          <w:tcPr>
            <w:tcW w:w="20" w:type="dxa"/>
          </w:tcPr>
          <w:p w14:paraId="55E46482" w14:textId="77777777" w:rsidR="00020C36" w:rsidRPr="000B50DF" w:rsidRDefault="00020C36">
            <w:pPr>
              <w:rPr>
                <w:color w:val="000000" w:themeColor="text1"/>
                <w:sz w:val="22"/>
                <w:szCs w:val="22"/>
              </w:rPr>
            </w:pPr>
            <w:r w:rsidRPr="000B50DF">
              <w:rPr>
                <w:color w:val="000000" w:themeColor="text1"/>
                <w:sz w:val="22"/>
                <w:szCs w:val="22"/>
              </w:rPr>
              <w:t xml:space="preserve"> </w:t>
            </w:r>
          </w:p>
        </w:tc>
        <w:tc>
          <w:tcPr>
            <w:tcW w:w="4677" w:type="dxa"/>
          </w:tcPr>
          <w:p w14:paraId="35F0B894" w14:textId="77777777" w:rsidR="00020C36" w:rsidRPr="000B50DF" w:rsidRDefault="00020C36">
            <w:pPr>
              <w:pStyle w:val="Piedepgina"/>
              <w:tabs>
                <w:tab w:val="clear" w:pos="4252"/>
                <w:tab w:val="clear" w:pos="8504"/>
                <w:tab w:val="right" w:pos="4677"/>
              </w:tabs>
              <w:spacing w:after="240"/>
              <w:rPr>
                <w:color w:val="000000" w:themeColor="text1"/>
                <w:sz w:val="22"/>
                <w:szCs w:val="22"/>
              </w:rPr>
            </w:pPr>
          </w:p>
        </w:tc>
      </w:tr>
    </w:tbl>
    <w:p w14:paraId="00397798" w14:textId="77777777" w:rsidR="00763CF5" w:rsidRPr="000B50DF" w:rsidRDefault="00763CF5">
      <w:pPr>
        <w:pStyle w:val="Textoindependiente"/>
        <w:spacing w:after="480"/>
        <w:jc w:val="center"/>
        <w:rPr>
          <w:rFonts w:ascii="Times New Roman" w:hAnsi="Times New Roman"/>
          <w:b/>
          <w:color w:val="000000" w:themeColor="text1"/>
          <w:sz w:val="22"/>
          <w:szCs w:val="22"/>
          <w:u w:val="single"/>
        </w:rPr>
      </w:pPr>
    </w:p>
    <w:p w14:paraId="37ADAAE8" w14:textId="21AEB6D4" w:rsidR="00020C36" w:rsidRPr="000B50DF" w:rsidRDefault="00020C36">
      <w:pPr>
        <w:pStyle w:val="Textoindependiente"/>
        <w:spacing w:after="480"/>
        <w:jc w:val="center"/>
        <w:rPr>
          <w:rFonts w:ascii="Times New Roman" w:hAnsi="Times New Roman"/>
          <w:b/>
          <w:color w:val="000000" w:themeColor="text1"/>
          <w:sz w:val="22"/>
          <w:szCs w:val="22"/>
          <w:u w:val="single"/>
        </w:rPr>
      </w:pPr>
      <w:r w:rsidRPr="000B50DF">
        <w:rPr>
          <w:rFonts w:ascii="Times New Roman" w:hAnsi="Times New Roman"/>
          <w:b/>
          <w:color w:val="000000" w:themeColor="text1"/>
          <w:sz w:val="22"/>
          <w:szCs w:val="22"/>
          <w:u w:val="single"/>
        </w:rPr>
        <w:t>RESOLUCIÓN Nº</w:t>
      </w:r>
      <w:r w:rsidR="005A242A" w:rsidRPr="000B50DF">
        <w:rPr>
          <w:rFonts w:ascii="Times New Roman" w:hAnsi="Times New Roman"/>
          <w:b/>
          <w:color w:val="000000" w:themeColor="text1"/>
          <w:sz w:val="22"/>
          <w:szCs w:val="22"/>
          <w:u w:val="single"/>
        </w:rPr>
        <w:t>18</w:t>
      </w:r>
      <w:r w:rsidR="00763CF5" w:rsidRPr="000B50DF">
        <w:rPr>
          <w:rFonts w:ascii="Times New Roman" w:hAnsi="Times New Roman"/>
          <w:b/>
          <w:color w:val="000000" w:themeColor="text1"/>
          <w:sz w:val="22"/>
          <w:szCs w:val="22"/>
          <w:u w:val="single"/>
        </w:rPr>
        <w:t>/</w:t>
      </w:r>
      <w:r w:rsidR="0075652B" w:rsidRPr="000B50DF">
        <w:rPr>
          <w:rFonts w:ascii="Times New Roman" w:hAnsi="Times New Roman"/>
          <w:b/>
          <w:color w:val="000000" w:themeColor="text1"/>
          <w:sz w:val="22"/>
          <w:szCs w:val="22"/>
          <w:u w:val="single"/>
        </w:rPr>
        <w:t>20</w:t>
      </w:r>
      <w:r w:rsidR="00E95CFC" w:rsidRPr="000B50DF">
        <w:rPr>
          <w:rFonts w:ascii="Times New Roman" w:hAnsi="Times New Roman"/>
          <w:b/>
          <w:color w:val="000000" w:themeColor="text1"/>
          <w:sz w:val="22"/>
          <w:szCs w:val="22"/>
          <w:u w:val="single"/>
        </w:rPr>
        <w:t>2</w:t>
      </w:r>
      <w:r w:rsidR="0029694E" w:rsidRPr="000B50DF">
        <w:rPr>
          <w:rFonts w:ascii="Times New Roman" w:hAnsi="Times New Roman"/>
          <w:b/>
          <w:color w:val="000000" w:themeColor="text1"/>
          <w:sz w:val="22"/>
          <w:szCs w:val="22"/>
          <w:u w:val="single"/>
        </w:rPr>
        <w:t>6</w:t>
      </w:r>
    </w:p>
    <w:p w14:paraId="1C8251F6" w14:textId="5F57FB35" w:rsidR="00020C36" w:rsidRPr="000B50DF" w:rsidRDefault="00020C36" w:rsidP="0016554C">
      <w:pPr>
        <w:tabs>
          <w:tab w:val="left" w:pos="3261"/>
        </w:tabs>
        <w:spacing w:after="240"/>
        <w:jc w:val="both"/>
        <w:rPr>
          <w:color w:val="000000" w:themeColor="text1"/>
          <w:sz w:val="22"/>
          <w:szCs w:val="22"/>
        </w:rPr>
      </w:pPr>
      <w:r w:rsidRPr="000B50DF">
        <w:rPr>
          <w:color w:val="000000" w:themeColor="text1"/>
          <w:sz w:val="22"/>
          <w:szCs w:val="22"/>
        </w:rPr>
        <w:t>En Vitoria-Gasteiz, a</w:t>
      </w:r>
      <w:r w:rsidR="006E6663" w:rsidRPr="000B50DF">
        <w:rPr>
          <w:color w:val="000000" w:themeColor="text1"/>
          <w:sz w:val="22"/>
          <w:szCs w:val="22"/>
        </w:rPr>
        <w:t xml:space="preserve"> </w:t>
      </w:r>
      <w:r w:rsidR="005A242A" w:rsidRPr="000B50DF">
        <w:rPr>
          <w:color w:val="000000" w:themeColor="text1"/>
          <w:sz w:val="22"/>
          <w:szCs w:val="22"/>
        </w:rPr>
        <w:t>8</w:t>
      </w:r>
      <w:r w:rsidR="00513D34" w:rsidRPr="000B50DF">
        <w:rPr>
          <w:color w:val="000000" w:themeColor="text1"/>
          <w:sz w:val="22"/>
          <w:szCs w:val="22"/>
        </w:rPr>
        <w:t xml:space="preserve"> de </w:t>
      </w:r>
      <w:r w:rsidR="00F5305F" w:rsidRPr="000B50DF">
        <w:rPr>
          <w:color w:val="000000" w:themeColor="text1"/>
          <w:sz w:val="22"/>
          <w:szCs w:val="22"/>
        </w:rPr>
        <w:t>septiembre</w:t>
      </w:r>
      <w:r w:rsidR="00513D34" w:rsidRPr="000B50DF">
        <w:rPr>
          <w:color w:val="000000" w:themeColor="text1"/>
          <w:sz w:val="22"/>
          <w:szCs w:val="22"/>
        </w:rPr>
        <w:t xml:space="preserve"> de 202</w:t>
      </w:r>
      <w:r w:rsidR="0029694E" w:rsidRPr="000B50DF">
        <w:rPr>
          <w:color w:val="000000" w:themeColor="text1"/>
          <w:sz w:val="22"/>
          <w:szCs w:val="22"/>
        </w:rPr>
        <w:t>6</w:t>
      </w:r>
      <w:r w:rsidR="00200F29" w:rsidRPr="000B50DF">
        <w:rPr>
          <w:color w:val="000000" w:themeColor="text1"/>
          <w:sz w:val="22"/>
          <w:szCs w:val="22"/>
        </w:rPr>
        <w:t>.</w:t>
      </w:r>
    </w:p>
    <w:p w14:paraId="71C58C04" w14:textId="4A005BAC" w:rsidR="00913561" w:rsidRPr="000B50DF" w:rsidRDefault="00763CF5" w:rsidP="00913561">
      <w:pPr>
        <w:tabs>
          <w:tab w:val="left" w:pos="3261"/>
        </w:tabs>
        <w:spacing w:after="240"/>
        <w:jc w:val="both"/>
        <w:rPr>
          <w:color w:val="000000" w:themeColor="text1"/>
          <w:sz w:val="22"/>
        </w:rPr>
      </w:pPr>
      <w:r w:rsidRPr="000B50DF">
        <w:rPr>
          <w:color w:val="000000" w:themeColor="text1"/>
          <w:sz w:val="22"/>
        </w:rPr>
        <w:t xml:space="preserve">El Órgano Administrativo Foral de Recursos Contractuales de la Diputación Foral de Álava ha dictado la siguiente RESOLUCIÓN en </w:t>
      </w:r>
      <w:r w:rsidR="005D756C" w:rsidRPr="000B50DF">
        <w:rPr>
          <w:color w:val="000000" w:themeColor="text1"/>
          <w:sz w:val="22"/>
        </w:rPr>
        <w:t>el</w:t>
      </w:r>
      <w:r w:rsidR="009E250E" w:rsidRPr="000B50DF">
        <w:rPr>
          <w:color w:val="000000" w:themeColor="text1"/>
          <w:sz w:val="22"/>
        </w:rPr>
        <w:t xml:space="preserve"> Recurso Especial 2/26 - RE en materia de contratación interpuesto por </w:t>
      </w:r>
      <w:r w:rsidR="00A27FCE">
        <w:rPr>
          <w:color w:val="000000" w:themeColor="text1"/>
          <w:sz w:val="22"/>
        </w:rPr>
        <w:t>XXXXXXXXXXXXXX</w:t>
      </w:r>
      <w:r w:rsidR="009E250E" w:rsidRPr="000B50DF">
        <w:rPr>
          <w:color w:val="000000" w:themeColor="text1"/>
          <w:sz w:val="22"/>
        </w:rPr>
        <w:t xml:space="preserve"> en nombre de la UTE IFBS INNOVAE OROI contra su exclusión del procedimiento de contratación del “suministro e instalación de un sistema de realidad inmersiva a centros dependientes del Instituto Foral de Bienestar Social” (</w:t>
      </w:r>
      <w:proofErr w:type="spellStart"/>
      <w:r w:rsidR="009E250E" w:rsidRPr="000B50DF">
        <w:rPr>
          <w:color w:val="000000" w:themeColor="text1"/>
          <w:sz w:val="22"/>
        </w:rPr>
        <w:t>expte</w:t>
      </w:r>
      <w:proofErr w:type="spellEnd"/>
      <w:r w:rsidR="009E250E" w:rsidRPr="000B50DF">
        <w:rPr>
          <w:color w:val="000000" w:themeColor="text1"/>
          <w:sz w:val="22"/>
        </w:rPr>
        <w:t xml:space="preserve"> 30/2025)</w:t>
      </w:r>
      <w:r w:rsidR="00913561" w:rsidRPr="000B50DF">
        <w:rPr>
          <w:color w:val="000000" w:themeColor="text1"/>
          <w:sz w:val="22"/>
        </w:rPr>
        <w:t>.</w:t>
      </w:r>
    </w:p>
    <w:p w14:paraId="6375A20C" w14:textId="5E56DD09" w:rsidR="00763CF5" w:rsidRPr="000B50DF" w:rsidRDefault="009E250E" w:rsidP="00913561">
      <w:pPr>
        <w:tabs>
          <w:tab w:val="left" w:pos="3261"/>
        </w:tabs>
        <w:spacing w:after="240"/>
        <w:jc w:val="both"/>
        <w:rPr>
          <w:color w:val="000000" w:themeColor="text1"/>
          <w:sz w:val="24"/>
          <w:szCs w:val="24"/>
        </w:rPr>
      </w:pPr>
      <w:r w:rsidRPr="000B50DF">
        <w:rPr>
          <w:color w:val="000000" w:themeColor="text1"/>
          <w:sz w:val="22"/>
        </w:rPr>
        <w:t>Son partes en dicho recurso: como recurrente la UTE IFBS INNOVAE OROI, siendo el órgano de contratación el Consejo de Gobierno Foral (en adelante OC) y el tramitador del expediente el Área de Contratación y Régimen Jurídico</w:t>
      </w:r>
      <w:r w:rsidR="00913561" w:rsidRPr="000B50DF">
        <w:rPr>
          <w:color w:val="000000" w:themeColor="text1"/>
          <w:sz w:val="22"/>
        </w:rPr>
        <w:t>.</w:t>
      </w:r>
    </w:p>
    <w:p w14:paraId="32D688E4" w14:textId="77777777" w:rsidR="00822F42" w:rsidRPr="000B50DF" w:rsidRDefault="00822F42" w:rsidP="0016554C">
      <w:pPr>
        <w:spacing w:after="240"/>
        <w:jc w:val="both"/>
        <w:rPr>
          <w:color w:val="000000" w:themeColor="text1"/>
          <w:sz w:val="22"/>
          <w:szCs w:val="22"/>
        </w:rPr>
      </w:pPr>
    </w:p>
    <w:p w14:paraId="6B4E6732" w14:textId="77777777" w:rsidR="00822F42" w:rsidRPr="000B50DF" w:rsidRDefault="00822F42" w:rsidP="0016554C">
      <w:pPr>
        <w:spacing w:after="240"/>
        <w:jc w:val="center"/>
        <w:rPr>
          <w:b/>
          <w:color w:val="000000" w:themeColor="text1"/>
          <w:sz w:val="22"/>
          <w:szCs w:val="22"/>
        </w:rPr>
      </w:pPr>
      <w:r w:rsidRPr="000B50DF">
        <w:rPr>
          <w:b/>
          <w:color w:val="000000" w:themeColor="text1"/>
          <w:sz w:val="22"/>
          <w:szCs w:val="22"/>
        </w:rPr>
        <w:t>ANTECEDENTES DE HECHO</w:t>
      </w:r>
    </w:p>
    <w:p w14:paraId="52AE1761" w14:textId="77777777" w:rsidR="009E250E" w:rsidRPr="000B50DF" w:rsidRDefault="009E250E" w:rsidP="009E250E">
      <w:pPr>
        <w:spacing w:after="240"/>
        <w:jc w:val="both"/>
        <w:rPr>
          <w:color w:val="000000" w:themeColor="text1"/>
          <w:sz w:val="22"/>
        </w:rPr>
      </w:pPr>
      <w:r w:rsidRPr="000B50DF">
        <w:rPr>
          <w:b/>
          <w:color w:val="000000" w:themeColor="text1"/>
          <w:sz w:val="22"/>
        </w:rPr>
        <w:t xml:space="preserve">1º. </w:t>
      </w:r>
      <w:r w:rsidRPr="000B50DF">
        <w:rPr>
          <w:bCs/>
          <w:color w:val="000000" w:themeColor="text1"/>
          <w:sz w:val="22"/>
        </w:rPr>
        <w:t>-</w:t>
      </w:r>
      <w:r w:rsidRPr="000B50DF">
        <w:rPr>
          <w:color w:val="000000" w:themeColor="text1"/>
          <w:sz w:val="22"/>
        </w:rPr>
        <w:t xml:space="preserve"> Mediante Acuerdo de </w:t>
      </w:r>
      <w:bookmarkStart w:id="1" w:name="_Hlk192098240"/>
      <w:r w:rsidRPr="000B50DF">
        <w:rPr>
          <w:color w:val="000000" w:themeColor="text1"/>
          <w:sz w:val="22"/>
        </w:rPr>
        <w:t xml:space="preserve">OC número </w:t>
      </w:r>
      <w:bookmarkEnd w:id="1"/>
      <w:r w:rsidRPr="000B50DF">
        <w:rPr>
          <w:color w:val="000000" w:themeColor="text1"/>
          <w:sz w:val="22"/>
        </w:rPr>
        <w:t>68/2026, de 10 de febrero, fue aprobado el expediente de contratación del suministro e instalación de un sistema de realidad inmersiva a centros dependientes del Instituto Foral de Bienestar Social.</w:t>
      </w:r>
    </w:p>
    <w:p w14:paraId="7BC3C5B7" w14:textId="77777777" w:rsidR="009E250E" w:rsidRPr="000B50DF" w:rsidRDefault="009E250E" w:rsidP="009E250E">
      <w:pPr>
        <w:spacing w:after="240"/>
        <w:jc w:val="both"/>
        <w:rPr>
          <w:color w:val="000000" w:themeColor="text1"/>
          <w:sz w:val="22"/>
        </w:rPr>
      </w:pPr>
      <w:r w:rsidRPr="000B50DF">
        <w:rPr>
          <w:b/>
          <w:bCs/>
          <w:color w:val="000000" w:themeColor="text1"/>
          <w:sz w:val="22"/>
        </w:rPr>
        <w:t>2º.</w:t>
      </w:r>
      <w:r w:rsidRPr="000B50DF">
        <w:rPr>
          <w:color w:val="000000" w:themeColor="text1"/>
          <w:sz w:val="22"/>
        </w:rPr>
        <w:t>- El expediente fue instruido por tramitación ordinaria y procedimiento abierto, según lo dispuesto en la LCSP. La licitación fue publicada en el perfil de contratante el 12 de febrero de 2026, de forma que el plazo de presentación de ofertas finalizó el 13 de marzo. Se recibieron las plicas de cuatro empresas: MANIFIESTO STUDIO S.L., UTE IFBS INNOVAE OROI, ELEKTRART, INNOVACIÓN CULTURAL Y TECNOLÓGICA, S.L. e INNOAREA PROJECTS S.A.</w:t>
      </w:r>
    </w:p>
    <w:p w14:paraId="208509C0" w14:textId="77777777" w:rsidR="009E250E" w:rsidRPr="000B50DF" w:rsidRDefault="009E250E" w:rsidP="009E250E">
      <w:pPr>
        <w:spacing w:after="240"/>
        <w:jc w:val="both"/>
        <w:rPr>
          <w:color w:val="000000" w:themeColor="text1"/>
          <w:sz w:val="22"/>
        </w:rPr>
      </w:pPr>
      <w:r w:rsidRPr="000B50DF">
        <w:rPr>
          <w:b/>
          <w:color w:val="000000" w:themeColor="text1"/>
          <w:sz w:val="22"/>
        </w:rPr>
        <w:t>3</w:t>
      </w:r>
      <w:r w:rsidRPr="000B50DF">
        <w:rPr>
          <w:bCs/>
          <w:color w:val="000000" w:themeColor="text1"/>
          <w:sz w:val="22"/>
        </w:rPr>
        <w:t>º.-</w:t>
      </w:r>
      <w:r w:rsidRPr="000B50DF">
        <w:rPr>
          <w:color w:val="000000" w:themeColor="text1"/>
          <w:sz w:val="22"/>
        </w:rPr>
        <w:t xml:space="preserve"> Las aperturas de los archivos que contenían la documentación necesaria para evaluar los criterios que dependen de un juicio de valor y los cuantificables mediante el uso de fórmulas se produjeron los días 16 de marzo y 20 de abril, respectivamente.</w:t>
      </w:r>
    </w:p>
    <w:p w14:paraId="2AD3BF6D" w14:textId="77777777" w:rsidR="009E250E" w:rsidRPr="000B50DF" w:rsidRDefault="009E250E" w:rsidP="009E250E">
      <w:pPr>
        <w:spacing w:after="240"/>
        <w:jc w:val="both"/>
        <w:rPr>
          <w:color w:val="000000" w:themeColor="text1"/>
          <w:sz w:val="22"/>
        </w:rPr>
      </w:pPr>
      <w:r w:rsidRPr="000B50DF">
        <w:rPr>
          <w:color w:val="000000" w:themeColor="text1"/>
          <w:sz w:val="22"/>
        </w:rPr>
        <w:t>La oferta de las empresas INNOAREA PROJECTS S.A. y UTE IFBS INNOVAE OROI fueron excluidas tras la apertura del primer archivo encriptado por no alcanzar el mínimo de puntuación necesaria en la oferta técnica.</w:t>
      </w:r>
    </w:p>
    <w:p w14:paraId="186386AD" w14:textId="77777777" w:rsidR="009E250E" w:rsidRPr="000B50DF" w:rsidRDefault="009E250E" w:rsidP="009E250E">
      <w:pPr>
        <w:spacing w:after="240"/>
        <w:jc w:val="both"/>
        <w:rPr>
          <w:color w:val="000000" w:themeColor="text1"/>
          <w:sz w:val="22"/>
        </w:rPr>
      </w:pPr>
      <w:r w:rsidRPr="000B50DF">
        <w:rPr>
          <w:b/>
          <w:color w:val="000000" w:themeColor="text1"/>
          <w:sz w:val="22"/>
        </w:rPr>
        <w:lastRenderedPageBreak/>
        <w:t>4º. –</w:t>
      </w:r>
      <w:r w:rsidRPr="000B50DF">
        <w:rPr>
          <w:color w:val="000000" w:themeColor="text1"/>
          <w:sz w:val="22"/>
        </w:rPr>
        <w:t xml:space="preserve"> El 20 de abril de 2026 la mesa de contratación realizó propuesta de adjudicación a favor de MANIFIESTO STUDIO S.L.</w:t>
      </w:r>
    </w:p>
    <w:p w14:paraId="3D3258AA" w14:textId="77777777" w:rsidR="009E250E" w:rsidRPr="000B50DF" w:rsidRDefault="009E250E" w:rsidP="009E250E">
      <w:pPr>
        <w:spacing w:after="240"/>
        <w:jc w:val="both"/>
        <w:rPr>
          <w:color w:val="000000" w:themeColor="text1"/>
          <w:sz w:val="22"/>
          <w:szCs w:val="22"/>
        </w:rPr>
      </w:pPr>
      <w:r w:rsidRPr="000B50DF">
        <w:rPr>
          <w:b/>
          <w:color w:val="000000" w:themeColor="text1"/>
          <w:sz w:val="22"/>
        </w:rPr>
        <w:t>5º</w:t>
      </w:r>
      <w:r w:rsidRPr="000B50DF">
        <w:rPr>
          <w:color w:val="000000" w:themeColor="text1"/>
          <w:sz w:val="22"/>
        </w:rPr>
        <w:t xml:space="preserve">.- El 7 de mayo de 2026 tuvo entrada en el Registro Electrónico Común de la Diputación Foral de Álava el recurso especial en materia de contratación (2/26-RE) señalado </w:t>
      </w:r>
      <w:r w:rsidRPr="000B50DF">
        <w:rPr>
          <w:i/>
          <w:iCs/>
          <w:color w:val="000000" w:themeColor="text1"/>
          <w:sz w:val="22"/>
        </w:rPr>
        <w:t>ut supra</w:t>
      </w:r>
      <w:r w:rsidRPr="000B50DF">
        <w:rPr>
          <w:color w:val="000000" w:themeColor="text1"/>
          <w:sz w:val="22"/>
        </w:rPr>
        <w:t xml:space="preserve">, en el que no se solicita la adopción de la medida cautelar consistente en la suspensión del </w:t>
      </w:r>
      <w:r w:rsidRPr="000B50DF">
        <w:rPr>
          <w:color w:val="000000" w:themeColor="text1"/>
          <w:sz w:val="22"/>
          <w:szCs w:val="22"/>
        </w:rPr>
        <w:t>procedimiento de adjudicación del contrato.</w:t>
      </w:r>
    </w:p>
    <w:p w14:paraId="4F8045FA" w14:textId="77777777" w:rsidR="009E250E" w:rsidRPr="000B50DF" w:rsidRDefault="009E250E" w:rsidP="009E250E">
      <w:pPr>
        <w:spacing w:after="240"/>
        <w:jc w:val="both"/>
        <w:rPr>
          <w:color w:val="000000" w:themeColor="text1"/>
          <w:sz w:val="22"/>
          <w:szCs w:val="22"/>
        </w:rPr>
      </w:pPr>
      <w:r w:rsidRPr="000B50DF">
        <w:rPr>
          <w:color w:val="000000" w:themeColor="text1"/>
          <w:sz w:val="22"/>
          <w:szCs w:val="22"/>
        </w:rPr>
        <w:t>En el recurso se recoge que la UTE IFBS INNOVAE OROI solicitó al OC dos veces acceso a las ofertas del resto de empresas (23 de abril de 2026 y 5 de mayo de 2026), no siendo completado este aspecto.</w:t>
      </w:r>
    </w:p>
    <w:p w14:paraId="070967F5" w14:textId="77777777" w:rsidR="009E250E" w:rsidRPr="000B50DF" w:rsidRDefault="009E250E" w:rsidP="009E250E">
      <w:pPr>
        <w:spacing w:after="240"/>
        <w:jc w:val="both"/>
        <w:rPr>
          <w:color w:val="000000" w:themeColor="text1"/>
          <w:sz w:val="22"/>
          <w:szCs w:val="22"/>
        </w:rPr>
      </w:pPr>
      <w:r w:rsidRPr="000B50DF">
        <w:rPr>
          <w:b/>
          <w:bCs/>
          <w:color w:val="000000" w:themeColor="text1"/>
          <w:sz w:val="22"/>
        </w:rPr>
        <w:t>6º.-</w:t>
      </w:r>
      <w:r w:rsidRPr="000B50DF">
        <w:rPr>
          <w:color w:val="000000" w:themeColor="text1"/>
          <w:sz w:val="22"/>
        </w:rPr>
        <w:t xml:space="preserve"> </w:t>
      </w:r>
      <w:r w:rsidRPr="000B50DF">
        <w:rPr>
          <w:color w:val="000000" w:themeColor="text1"/>
          <w:sz w:val="22"/>
          <w:szCs w:val="22"/>
        </w:rPr>
        <w:t>El 14 de mayo de 2026, se requirió por este OAFRC a la recurrente para que:</w:t>
      </w:r>
    </w:p>
    <w:p w14:paraId="0EE5D735" w14:textId="77777777" w:rsidR="009E250E" w:rsidRPr="000B50DF" w:rsidRDefault="009E250E" w:rsidP="009E250E">
      <w:pPr>
        <w:numPr>
          <w:ilvl w:val="0"/>
          <w:numId w:val="31"/>
        </w:numPr>
        <w:autoSpaceDE w:val="0"/>
        <w:autoSpaceDN w:val="0"/>
        <w:adjustRightInd w:val="0"/>
        <w:jc w:val="both"/>
        <w:rPr>
          <w:color w:val="000000" w:themeColor="text1"/>
          <w:sz w:val="22"/>
          <w:szCs w:val="22"/>
        </w:rPr>
      </w:pPr>
      <w:r w:rsidRPr="000B50DF">
        <w:rPr>
          <w:color w:val="000000" w:themeColor="text1"/>
          <w:sz w:val="22"/>
          <w:szCs w:val="22"/>
        </w:rPr>
        <w:t>Aporte ciertos anexos señalados en el texto de su recurso especial en materia de contratación.</w:t>
      </w:r>
    </w:p>
    <w:p w14:paraId="227DBE62" w14:textId="77777777" w:rsidR="009E250E" w:rsidRPr="000B50DF" w:rsidRDefault="009E250E" w:rsidP="009E250E">
      <w:pPr>
        <w:numPr>
          <w:ilvl w:val="0"/>
          <w:numId w:val="31"/>
        </w:numPr>
        <w:autoSpaceDE w:val="0"/>
        <w:autoSpaceDN w:val="0"/>
        <w:adjustRightInd w:val="0"/>
        <w:spacing w:after="240"/>
        <w:jc w:val="both"/>
        <w:rPr>
          <w:color w:val="000000" w:themeColor="text1"/>
          <w:sz w:val="22"/>
          <w:szCs w:val="22"/>
        </w:rPr>
      </w:pPr>
      <w:r w:rsidRPr="000B50DF">
        <w:rPr>
          <w:color w:val="000000" w:themeColor="text1"/>
          <w:sz w:val="22"/>
          <w:szCs w:val="22"/>
        </w:rPr>
        <w:t>Señale las partes de las ofertas del resto de empresas a las que se solicita tener acceso y la razón por la que precisa dicho acceso en relación con la preparación de su recurso.</w:t>
      </w:r>
    </w:p>
    <w:p w14:paraId="4CFD7CEF" w14:textId="77777777" w:rsidR="009E250E" w:rsidRPr="000B50DF" w:rsidRDefault="009E250E" w:rsidP="009E250E">
      <w:pPr>
        <w:autoSpaceDE w:val="0"/>
        <w:autoSpaceDN w:val="0"/>
        <w:adjustRightInd w:val="0"/>
        <w:spacing w:after="240"/>
        <w:jc w:val="both"/>
        <w:rPr>
          <w:color w:val="000000" w:themeColor="text1"/>
          <w:sz w:val="22"/>
          <w:szCs w:val="22"/>
        </w:rPr>
      </w:pPr>
      <w:r w:rsidRPr="000B50DF">
        <w:rPr>
          <w:color w:val="000000" w:themeColor="text1"/>
          <w:sz w:val="22"/>
          <w:szCs w:val="22"/>
        </w:rPr>
        <w:t>La empresa respondió al requerimiento en fecha 19 de mayo de 2026.</w:t>
      </w:r>
    </w:p>
    <w:p w14:paraId="33AEB3AB" w14:textId="77777777" w:rsidR="009E250E" w:rsidRPr="000B50DF" w:rsidRDefault="009E250E" w:rsidP="009E250E">
      <w:pPr>
        <w:autoSpaceDE w:val="0"/>
        <w:autoSpaceDN w:val="0"/>
        <w:adjustRightInd w:val="0"/>
        <w:spacing w:after="240"/>
        <w:jc w:val="both"/>
        <w:rPr>
          <w:color w:val="000000" w:themeColor="text1"/>
          <w:sz w:val="22"/>
          <w:szCs w:val="22"/>
        </w:rPr>
      </w:pPr>
      <w:r w:rsidRPr="000B50DF">
        <w:rPr>
          <w:b/>
          <w:bCs/>
          <w:color w:val="000000" w:themeColor="text1"/>
          <w:sz w:val="22"/>
          <w:szCs w:val="22"/>
        </w:rPr>
        <w:t xml:space="preserve">7º.- </w:t>
      </w:r>
      <w:r w:rsidRPr="000B50DF">
        <w:rPr>
          <w:color w:val="000000" w:themeColor="text1"/>
          <w:sz w:val="22"/>
          <w:szCs w:val="22"/>
        </w:rPr>
        <w:t>Mediante resolución 9/2026 del OAFRC, de 11 de junio, se procedió a conceder a la recurrente</w:t>
      </w:r>
      <w:r w:rsidRPr="000B50DF">
        <w:rPr>
          <w:b/>
          <w:bCs/>
          <w:color w:val="000000" w:themeColor="text1"/>
          <w:sz w:val="22"/>
          <w:szCs w:val="22"/>
        </w:rPr>
        <w:t xml:space="preserve"> </w:t>
      </w:r>
      <w:r w:rsidRPr="000B50DF">
        <w:rPr>
          <w:color w:val="000000" w:themeColor="text1"/>
          <w:sz w:val="22"/>
          <w:szCs w:val="22"/>
        </w:rPr>
        <w:t>el citado acceso al expediente, que fue materializado el 12 de junio de 2026.</w:t>
      </w:r>
    </w:p>
    <w:p w14:paraId="7CA520A1" w14:textId="7D65AC9F" w:rsidR="009E250E" w:rsidRPr="000B50DF" w:rsidRDefault="009E250E" w:rsidP="009E250E">
      <w:pPr>
        <w:spacing w:after="240"/>
        <w:jc w:val="both"/>
        <w:rPr>
          <w:bCs/>
          <w:color w:val="000000" w:themeColor="text1"/>
          <w:sz w:val="22"/>
        </w:rPr>
      </w:pPr>
      <w:r w:rsidRPr="000B50DF">
        <w:rPr>
          <w:b/>
          <w:bCs/>
          <w:color w:val="000000" w:themeColor="text1"/>
          <w:sz w:val="22"/>
          <w:szCs w:val="22"/>
        </w:rPr>
        <w:t>8º.-</w:t>
      </w:r>
      <w:r w:rsidRPr="000B50DF">
        <w:rPr>
          <w:color w:val="000000" w:themeColor="text1"/>
          <w:sz w:val="22"/>
          <w:szCs w:val="22"/>
        </w:rPr>
        <w:t xml:space="preserve"> </w:t>
      </w:r>
      <w:r w:rsidRPr="000B50DF">
        <w:rPr>
          <w:color w:val="000000" w:themeColor="text1"/>
          <w:sz w:val="22"/>
        </w:rPr>
        <w:t>Mediante resolución 10/2026 del OAFRC, de 15 de junio, fue acordada la medida provisional de suspensión de la adjudicación del procedimiento de contratación</w:t>
      </w:r>
      <w:r w:rsidR="002C5D0E" w:rsidRPr="000B50DF">
        <w:rPr>
          <w:bCs/>
          <w:color w:val="000000" w:themeColor="text1"/>
          <w:sz w:val="22"/>
        </w:rPr>
        <w:t>.</w:t>
      </w:r>
    </w:p>
    <w:p w14:paraId="44C43A34" w14:textId="376D2946" w:rsidR="002C5D0E" w:rsidRPr="000B50DF" w:rsidRDefault="009E250E" w:rsidP="009E250E">
      <w:pPr>
        <w:spacing w:after="240"/>
        <w:jc w:val="both"/>
        <w:rPr>
          <w:bCs/>
          <w:color w:val="000000" w:themeColor="text1"/>
          <w:sz w:val="22"/>
        </w:rPr>
      </w:pPr>
      <w:r w:rsidRPr="000B50DF">
        <w:rPr>
          <w:b/>
          <w:color w:val="000000" w:themeColor="text1"/>
          <w:sz w:val="22"/>
        </w:rPr>
        <w:t>9</w:t>
      </w:r>
      <w:r w:rsidR="00A1024B" w:rsidRPr="000B50DF">
        <w:rPr>
          <w:b/>
          <w:color w:val="000000" w:themeColor="text1"/>
          <w:sz w:val="22"/>
        </w:rPr>
        <w:t>º</w:t>
      </w:r>
      <w:r w:rsidRPr="000B50DF">
        <w:rPr>
          <w:b/>
          <w:color w:val="000000" w:themeColor="text1"/>
          <w:sz w:val="22"/>
          <w:szCs w:val="22"/>
        </w:rPr>
        <w:t>.</w:t>
      </w:r>
      <w:r w:rsidRPr="000B50DF">
        <w:rPr>
          <w:b/>
          <w:bCs/>
          <w:color w:val="000000" w:themeColor="text1"/>
          <w:sz w:val="22"/>
          <w:szCs w:val="22"/>
        </w:rPr>
        <w:t xml:space="preserve"> -</w:t>
      </w:r>
      <w:r w:rsidRPr="000B50DF">
        <w:rPr>
          <w:bCs/>
          <w:color w:val="000000" w:themeColor="text1"/>
          <w:sz w:val="22"/>
        </w:rPr>
        <w:t xml:space="preserve"> Finalmente, la recurrente formalizó el recurso el día 19 de junio de 2026. Del mismo se dio traslado tanto al OC como al resto de empresas participantes en el procedimiento para que presentaran alegaciones, si lo considerasen procedente.</w:t>
      </w:r>
    </w:p>
    <w:p w14:paraId="7B0C161A" w14:textId="6DB76E35" w:rsidR="009E250E" w:rsidRPr="000B50DF" w:rsidRDefault="009E250E" w:rsidP="009E250E">
      <w:pPr>
        <w:spacing w:after="240"/>
        <w:jc w:val="both"/>
        <w:rPr>
          <w:bCs/>
          <w:color w:val="000000" w:themeColor="text1"/>
          <w:sz w:val="22"/>
        </w:rPr>
      </w:pPr>
      <w:r w:rsidRPr="000B50DF">
        <w:rPr>
          <w:b/>
          <w:bCs/>
          <w:color w:val="000000" w:themeColor="text1"/>
          <w:sz w:val="22"/>
          <w:szCs w:val="22"/>
        </w:rPr>
        <w:t>10</w:t>
      </w:r>
      <w:r w:rsidR="00A1024B" w:rsidRPr="000B50DF">
        <w:rPr>
          <w:b/>
          <w:bCs/>
          <w:color w:val="000000" w:themeColor="text1"/>
          <w:sz w:val="22"/>
          <w:szCs w:val="22"/>
        </w:rPr>
        <w:t>º</w:t>
      </w:r>
      <w:r w:rsidRPr="000B50DF">
        <w:rPr>
          <w:b/>
          <w:bCs/>
          <w:color w:val="000000" w:themeColor="text1"/>
          <w:sz w:val="22"/>
          <w:szCs w:val="22"/>
        </w:rPr>
        <w:t xml:space="preserve">. </w:t>
      </w:r>
      <w:r w:rsidR="00A1024B" w:rsidRPr="000B50DF">
        <w:rPr>
          <w:b/>
          <w:bCs/>
          <w:color w:val="000000" w:themeColor="text1"/>
          <w:sz w:val="22"/>
          <w:szCs w:val="22"/>
        </w:rPr>
        <w:t>-</w:t>
      </w:r>
      <w:r w:rsidRPr="000B50DF">
        <w:rPr>
          <w:bCs/>
          <w:color w:val="000000" w:themeColor="text1"/>
          <w:sz w:val="22"/>
        </w:rPr>
        <w:t xml:space="preserve"> </w:t>
      </w:r>
      <w:r w:rsidR="00A1024B" w:rsidRPr="000B50DF">
        <w:rPr>
          <w:bCs/>
          <w:color w:val="000000" w:themeColor="text1"/>
          <w:sz w:val="22"/>
        </w:rPr>
        <w:t>Con fecha 25 de junio, son presentadas alegaciones por parte de la empresa MANIFIESTO STUDIO S.L. y con fecha 17 de julio de 2026 por parte del OC.</w:t>
      </w:r>
    </w:p>
    <w:p w14:paraId="22D37AA3" w14:textId="77777777" w:rsidR="008C4E09" w:rsidRPr="000B50DF" w:rsidRDefault="008C4E09" w:rsidP="0016554C">
      <w:pPr>
        <w:spacing w:after="240"/>
        <w:jc w:val="center"/>
        <w:rPr>
          <w:b/>
          <w:color w:val="000000" w:themeColor="text1"/>
          <w:sz w:val="22"/>
          <w:szCs w:val="22"/>
        </w:rPr>
      </w:pPr>
    </w:p>
    <w:p w14:paraId="74EDD52D" w14:textId="0109C0C3" w:rsidR="00DA56FC" w:rsidRPr="000B50DF" w:rsidRDefault="00DA56FC" w:rsidP="0016554C">
      <w:pPr>
        <w:spacing w:after="240"/>
        <w:jc w:val="center"/>
        <w:rPr>
          <w:b/>
          <w:color w:val="000000" w:themeColor="text1"/>
          <w:sz w:val="22"/>
          <w:szCs w:val="22"/>
        </w:rPr>
      </w:pPr>
      <w:r w:rsidRPr="000B50DF">
        <w:rPr>
          <w:b/>
          <w:color w:val="000000" w:themeColor="text1"/>
          <w:sz w:val="22"/>
          <w:szCs w:val="22"/>
        </w:rPr>
        <w:t>FUNDAMENTOS DE DERECHO</w:t>
      </w:r>
    </w:p>
    <w:p w14:paraId="631823E5" w14:textId="77777777" w:rsidR="0016554C" w:rsidRPr="000B50DF" w:rsidRDefault="0016554C" w:rsidP="0016554C">
      <w:pPr>
        <w:spacing w:after="240"/>
        <w:jc w:val="center"/>
        <w:rPr>
          <w:b/>
          <w:color w:val="000000" w:themeColor="text1"/>
          <w:sz w:val="22"/>
          <w:szCs w:val="22"/>
        </w:rPr>
      </w:pPr>
    </w:p>
    <w:p w14:paraId="3025EE78" w14:textId="541CF071" w:rsidR="00783AEC" w:rsidRPr="000B50DF" w:rsidRDefault="001803B3" w:rsidP="00783AEC">
      <w:pPr>
        <w:spacing w:after="240"/>
        <w:jc w:val="both"/>
        <w:rPr>
          <w:color w:val="000000" w:themeColor="text1"/>
          <w:sz w:val="22"/>
        </w:rPr>
      </w:pPr>
      <w:r w:rsidRPr="000B50DF">
        <w:rPr>
          <w:b/>
          <w:color w:val="000000" w:themeColor="text1"/>
          <w:sz w:val="22"/>
          <w:szCs w:val="22"/>
        </w:rPr>
        <w:t>PRIMERO. -</w:t>
      </w:r>
      <w:r w:rsidR="00020C36" w:rsidRPr="000B50DF">
        <w:rPr>
          <w:b/>
          <w:color w:val="000000" w:themeColor="text1"/>
          <w:sz w:val="22"/>
          <w:szCs w:val="22"/>
        </w:rPr>
        <w:t xml:space="preserve"> </w:t>
      </w:r>
      <w:r w:rsidR="00A1024B" w:rsidRPr="000B50DF">
        <w:rPr>
          <w:color w:val="000000" w:themeColor="text1"/>
          <w:sz w:val="22"/>
        </w:rPr>
        <w:t xml:space="preserve">Tratándose de un contrato de suministros cuyo valor estimado asciende a </w:t>
      </w:r>
      <w:r w:rsidR="00A1024B" w:rsidRPr="000B50DF">
        <w:rPr>
          <w:b/>
          <w:bCs/>
          <w:color w:val="000000" w:themeColor="text1"/>
          <w:sz w:val="22"/>
        </w:rPr>
        <w:t>349.580,00 euros</w:t>
      </w:r>
      <w:r w:rsidR="00A1024B" w:rsidRPr="000B50DF">
        <w:rPr>
          <w:color w:val="000000" w:themeColor="text1"/>
          <w:sz w:val="22"/>
        </w:rPr>
        <w:t xml:space="preserve"> (IVA excluido), se cumplen los requisitos exigidos en el artículo 44 de la LCSP para poder considerar el acto impugnado susceptible de recurso especial en materia de contratación. En concreto, el artículo 44.2.b) menciona los actos de trámite adoptados en el procedimiento de adjudicación, siempre que estos decidan directa o indirectamente sobre la adjudicación, determinen la imposibilidad de continuar el procedimiento o produzcan indefensión o perjuicio irreparable a derechos o intereses legítimos</w:t>
      </w:r>
      <w:r w:rsidR="00783AEC" w:rsidRPr="000B50DF">
        <w:rPr>
          <w:color w:val="000000" w:themeColor="text1"/>
          <w:sz w:val="22"/>
        </w:rPr>
        <w:t>.</w:t>
      </w:r>
    </w:p>
    <w:p w14:paraId="69139701" w14:textId="77777777" w:rsidR="00583268" w:rsidRPr="000B50DF" w:rsidRDefault="00345B6D" w:rsidP="00783AEC">
      <w:pPr>
        <w:spacing w:after="240"/>
        <w:jc w:val="both"/>
        <w:rPr>
          <w:color w:val="000000" w:themeColor="text1"/>
          <w:sz w:val="22"/>
          <w:szCs w:val="22"/>
          <w:lang w:val="es-ES_tradnl"/>
        </w:rPr>
      </w:pPr>
      <w:r w:rsidRPr="000B50DF">
        <w:rPr>
          <w:b/>
          <w:color w:val="000000" w:themeColor="text1"/>
          <w:sz w:val="22"/>
          <w:szCs w:val="22"/>
        </w:rPr>
        <w:t xml:space="preserve">SEGUNDO. </w:t>
      </w:r>
      <w:r w:rsidR="00FE432D" w:rsidRPr="000B50DF">
        <w:rPr>
          <w:b/>
          <w:color w:val="000000" w:themeColor="text1"/>
          <w:sz w:val="22"/>
          <w:szCs w:val="22"/>
        </w:rPr>
        <w:t>–</w:t>
      </w:r>
      <w:r w:rsidR="00E16D4D" w:rsidRPr="000B50DF">
        <w:rPr>
          <w:color w:val="000000" w:themeColor="text1"/>
          <w:sz w:val="22"/>
          <w:szCs w:val="22"/>
        </w:rPr>
        <w:t xml:space="preserve"> </w:t>
      </w:r>
      <w:r w:rsidR="00583268" w:rsidRPr="000B50DF">
        <w:rPr>
          <w:color w:val="000000" w:themeColor="text1"/>
          <w:sz w:val="22"/>
          <w:szCs w:val="22"/>
          <w:lang w:val="es-ES_tradnl"/>
        </w:rPr>
        <w:t xml:space="preserve">La competencia para resolver </w:t>
      </w:r>
      <w:r w:rsidR="00783AEC" w:rsidRPr="000B50DF">
        <w:rPr>
          <w:color w:val="000000" w:themeColor="text1"/>
          <w:sz w:val="22"/>
          <w:szCs w:val="22"/>
          <w:lang w:val="es-ES_tradnl"/>
        </w:rPr>
        <w:t>el</w:t>
      </w:r>
      <w:r w:rsidR="00583268" w:rsidRPr="000B50DF">
        <w:rPr>
          <w:color w:val="000000" w:themeColor="text1"/>
          <w:sz w:val="22"/>
          <w:szCs w:val="22"/>
          <w:lang w:val="es-ES_tradnl"/>
        </w:rPr>
        <w:t xml:space="preserve"> presente recurso especial corresponde a este Órgano conforme a lo establecido en el art. 46.5 LCSP, y en el Decreto Foral del Consejo de Diputados 44/2010, de 28 de septiembre, cuyo apartado 2.1, relativo a las competencias, establece que “</w:t>
      </w:r>
      <w:r w:rsidR="00583268" w:rsidRPr="000B50DF">
        <w:rPr>
          <w:i/>
          <w:iCs/>
          <w:color w:val="000000" w:themeColor="text1"/>
          <w:sz w:val="22"/>
          <w:szCs w:val="22"/>
          <w:lang w:val="es-ES_tradnl"/>
        </w:rPr>
        <w:t xml:space="preserve">Corresponde al Órgano Administrativo Foral de Recursos Contractuales el conocimiento y resolución de los recursos relativos a los contratos del sector público en los que sea parte la Diputación Foral de Álava o alguno de los órganos dependientes o vinculados a la misma y, en </w:t>
      </w:r>
      <w:r w:rsidR="00583268" w:rsidRPr="000B50DF">
        <w:rPr>
          <w:i/>
          <w:iCs/>
          <w:color w:val="000000" w:themeColor="text1"/>
          <w:sz w:val="22"/>
          <w:szCs w:val="22"/>
          <w:lang w:val="es-ES_tradnl"/>
        </w:rPr>
        <w:lastRenderedPageBreak/>
        <w:t>particular, los Organismos Autónomos Forales</w:t>
      </w:r>
      <w:r w:rsidR="00583268" w:rsidRPr="000B50DF">
        <w:rPr>
          <w:b/>
          <w:bCs/>
          <w:i/>
          <w:iCs/>
          <w:color w:val="000000" w:themeColor="text1"/>
          <w:sz w:val="22"/>
          <w:szCs w:val="22"/>
          <w:lang w:val="es-ES_tradnl"/>
        </w:rPr>
        <w:t xml:space="preserve">, </w:t>
      </w:r>
      <w:r w:rsidR="00583268" w:rsidRPr="000B50DF">
        <w:rPr>
          <w:i/>
          <w:iCs/>
          <w:color w:val="000000" w:themeColor="text1"/>
          <w:sz w:val="22"/>
          <w:szCs w:val="22"/>
          <w:lang w:val="es-ES_tradnl"/>
        </w:rPr>
        <w:t>las Sociedades Públicas Forales y todos aquellos poderes adjudicadores que estén bajo su control</w:t>
      </w:r>
      <w:r w:rsidR="00583268" w:rsidRPr="000B50DF">
        <w:rPr>
          <w:color w:val="000000" w:themeColor="text1"/>
          <w:sz w:val="22"/>
          <w:szCs w:val="22"/>
          <w:lang w:val="es-ES_tradnl"/>
        </w:rPr>
        <w:t xml:space="preserve">.” </w:t>
      </w:r>
    </w:p>
    <w:p w14:paraId="2F94E76B" w14:textId="0C936479" w:rsidR="004D5137" w:rsidRPr="000B50DF" w:rsidRDefault="00345B6D" w:rsidP="00D04575">
      <w:pPr>
        <w:spacing w:after="240"/>
        <w:jc w:val="both"/>
        <w:rPr>
          <w:i/>
          <w:iCs/>
          <w:color w:val="000000" w:themeColor="text1"/>
          <w:sz w:val="22"/>
          <w:szCs w:val="22"/>
        </w:rPr>
      </w:pPr>
      <w:r w:rsidRPr="000B50DF">
        <w:rPr>
          <w:b/>
          <w:color w:val="000000" w:themeColor="text1"/>
          <w:sz w:val="22"/>
          <w:szCs w:val="22"/>
        </w:rPr>
        <w:t>TERCERO. -</w:t>
      </w:r>
      <w:r w:rsidR="004C30C3" w:rsidRPr="000B50DF">
        <w:rPr>
          <w:b/>
          <w:color w:val="000000" w:themeColor="text1"/>
          <w:sz w:val="22"/>
          <w:szCs w:val="22"/>
        </w:rPr>
        <w:t xml:space="preserve"> </w:t>
      </w:r>
      <w:r w:rsidR="004C279C" w:rsidRPr="000B50DF">
        <w:rPr>
          <w:bCs/>
          <w:color w:val="000000" w:themeColor="text1"/>
          <w:sz w:val="22"/>
          <w:szCs w:val="22"/>
        </w:rPr>
        <w:t>E</w:t>
      </w:r>
      <w:r w:rsidR="00583268" w:rsidRPr="000B50DF">
        <w:rPr>
          <w:color w:val="000000" w:themeColor="text1"/>
          <w:sz w:val="22"/>
          <w:szCs w:val="22"/>
          <w:lang w:val="es-ES_tradnl"/>
        </w:rPr>
        <w:t xml:space="preserve">l artículo 50 de la LCSP, establece que </w:t>
      </w:r>
      <w:r w:rsidR="004C279C" w:rsidRPr="000B50DF">
        <w:rPr>
          <w:color w:val="000000" w:themeColor="text1"/>
          <w:sz w:val="22"/>
          <w:szCs w:val="22"/>
          <w:lang w:val="es-ES_tradnl"/>
        </w:rPr>
        <w:t xml:space="preserve">el procedimiento de recurso se iniciará mediante escrito que deberá presentarse en el plazo de quince días hábiles. En cuanto al inicio del citado plazo, se está al apartado 1 de este mismo </w:t>
      </w:r>
      <w:r w:rsidR="00A1024B" w:rsidRPr="000B50DF">
        <w:rPr>
          <w:color w:val="000000" w:themeColor="text1"/>
          <w:sz w:val="22"/>
          <w:szCs w:val="22"/>
          <w:lang w:val="es-ES_tradnl"/>
        </w:rPr>
        <w:t>artículo: “</w:t>
      </w:r>
      <w:r w:rsidR="00A1024B" w:rsidRPr="000B50DF">
        <w:rPr>
          <w:i/>
          <w:iCs/>
          <w:color w:val="000000" w:themeColor="text1"/>
          <w:sz w:val="22"/>
          <w:szCs w:val="22"/>
          <w:lang w:val="es-ES_tradnl"/>
        </w:rPr>
        <w:t>c</w:t>
      </w:r>
      <w:r w:rsidR="007D7A8A" w:rsidRPr="000B50DF">
        <w:rPr>
          <w:i/>
          <w:iCs/>
          <w:color w:val="000000" w:themeColor="text1"/>
          <w:sz w:val="22"/>
          <w:szCs w:val="22"/>
          <w:lang w:val="es-ES_tradnl"/>
        </w:rPr>
        <w:t xml:space="preserve">) </w:t>
      </w:r>
      <w:r w:rsidR="00A1024B" w:rsidRPr="000B50DF">
        <w:rPr>
          <w:i/>
          <w:iCs/>
          <w:color w:val="000000" w:themeColor="text1"/>
          <w:sz w:val="22"/>
          <w:szCs w:val="22"/>
          <w:lang w:val="es-ES_tradnl"/>
        </w:rPr>
        <w:t>Cuando se interponga contra actos de trámite adoptados en el procedimiento de adjudicación o contra un acto resultante de la aplicación del procedimiento negociado sin publicidad, el cómputo se iniciará a partir del día siguiente a aquel en que se haya tenido conocimiento de la posible infracción</w:t>
      </w:r>
      <w:r w:rsidR="00D04575" w:rsidRPr="000B50DF">
        <w:rPr>
          <w:i/>
          <w:iCs/>
          <w:color w:val="000000" w:themeColor="text1"/>
          <w:sz w:val="22"/>
          <w:szCs w:val="22"/>
          <w:lang w:val="es-ES_tradnl"/>
        </w:rPr>
        <w:t>”</w:t>
      </w:r>
      <w:r w:rsidR="00583268" w:rsidRPr="000B50DF">
        <w:rPr>
          <w:i/>
          <w:iCs/>
          <w:color w:val="000000" w:themeColor="text1"/>
          <w:sz w:val="22"/>
          <w:szCs w:val="22"/>
        </w:rPr>
        <w:t>.</w:t>
      </w:r>
    </w:p>
    <w:p w14:paraId="20D45001" w14:textId="4C01CE0D" w:rsidR="00F87D35" w:rsidRPr="000B50DF" w:rsidRDefault="00F87D35" w:rsidP="00F87D35">
      <w:pPr>
        <w:pStyle w:val="Cuerpo"/>
        <w:spacing w:after="240"/>
        <w:jc w:val="both"/>
        <w:rPr>
          <w:color w:val="000000" w:themeColor="text1"/>
          <w:sz w:val="22"/>
          <w:szCs w:val="22"/>
        </w:rPr>
      </w:pPr>
      <w:r w:rsidRPr="000B50DF">
        <w:rPr>
          <w:color w:val="000000" w:themeColor="text1"/>
          <w:sz w:val="22"/>
          <w:szCs w:val="22"/>
        </w:rPr>
        <w:t xml:space="preserve">Con fecha </w:t>
      </w:r>
      <w:r w:rsidR="009D7FB5" w:rsidRPr="000B50DF">
        <w:rPr>
          <w:color w:val="000000" w:themeColor="text1"/>
          <w:sz w:val="22"/>
          <w:szCs w:val="22"/>
        </w:rPr>
        <w:t>30</w:t>
      </w:r>
      <w:r w:rsidRPr="000B50DF">
        <w:rPr>
          <w:color w:val="000000" w:themeColor="text1"/>
          <w:sz w:val="22"/>
          <w:szCs w:val="22"/>
        </w:rPr>
        <w:t xml:space="preserve"> de </w:t>
      </w:r>
      <w:r w:rsidR="009D7FB5" w:rsidRPr="000B50DF">
        <w:rPr>
          <w:color w:val="000000" w:themeColor="text1"/>
          <w:sz w:val="22"/>
          <w:szCs w:val="22"/>
        </w:rPr>
        <w:t>abril</w:t>
      </w:r>
      <w:r w:rsidRPr="000B50DF">
        <w:rPr>
          <w:color w:val="000000" w:themeColor="text1"/>
          <w:sz w:val="22"/>
          <w:szCs w:val="22"/>
        </w:rPr>
        <w:t xml:space="preserve"> de 202</w:t>
      </w:r>
      <w:r w:rsidR="00366297" w:rsidRPr="000B50DF">
        <w:rPr>
          <w:color w:val="000000" w:themeColor="text1"/>
          <w:sz w:val="22"/>
          <w:szCs w:val="22"/>
        </w:rPr>
        <w:t>6</w:t>
      </w:r>
      <w:r w:rsidRPr="000B50DF">
        <w:rPr>
          <w:color w:val="000000" w:themeColor="text1"/>
          <w:sz w:val="22"/>
          <w:szCs w:val="22"/>
        </w:rPr>
        <w:t xml:space="preserve"> </w:t>
      </w:r>
      <w:r w:rsidR="00D04575" w:rsidRPr="000B50DF">
        <w:rPr>
          <w:color w:val="000000" w:themeColor="text1"/>
          <w:sz w:val="22"/>
          <w:szCs w:val="22"/>
        </w:rPr>
        <w:t xml:space="preserve">el OC procedió a </w:t>
      </w:r>
      <w:r w:rsidR="00366297" w:rsidRPr="000B50DF">
        <w:rPr>
          <w:color w:val="000000" w:themeColor="text1"/>
          <w:sz w:val="22"/>
          <w:szCs w:val="22"/>
        </w:rPr>
        <w:t xml:space="preserve">publicar en el perfil del contratante el </w:t>
      </w:r>
      <w:r w:rsidR="009D7FB5" w:rsidRPr="000B50DF">
        <w:rPr>
          <w:color w:val="000000" w:themeColor="text1"/>
          <w:sz w:val="22"/>
          <w:szCs w:val="22"/>
        </w:rPr>
        <w:t>acta de apertura del sobre A, donde se acordaba la exclusión de la licitadora del procedimiento de adjudicación</w:t>
      </w:r>
      <w:r w:rsidRPr="000B50DF">
        <w:rPr>
          <w:color w:val="000000" w:themeColor="text1"/>
          <w:sz w:val="22"/>
          <w:szCs w:val="22"/>
        </w:rPr>
        <w:t xml:space="preserve">. Por lo tanto, </w:t>
      </w:r>
      <w:r w:rsidR="00D04575" w:rsidRPr="000B50DF">
        <w:rPr>
          <w:color w:val="000000" w:themeColor="text1"/>
          <w:sz w:val="22"/>
          <w:szCs w:val="22"/>
        </w:rPr>
        <w:t>el</w:t>
      </w:r>
      <w:r w:rsidRPr="000B50DF">
        <w:rPr>
          <w:color w:val="000000" w:themeColor="text1"/>
          <w:sz w:val="22"/>
          <w:szCs w:val="22"/>
        </w:rPr>
        <w:t xml:space="preserve"> recurso se encuentra </w:t>
      </w:r>
      <w:r w:rsidR="000900DE" w:rsidRPr="000B50DF">
        <w:rPr>
          <w:color w:val="000000" w:themeColor="text1"/>
          <w:sz w:val="22"/>
          <w:szCs w:val="22"/>
        </w:rPr>
        <w:t xml:space="preserve">presentado </w:t>
      </w:r>
      <w:r w:rsidRPr="000B50DF">
        <w:rPr>
          <w:color w:val="000000" w:themeColor="text1"/>
          <w:sz w:val="22"/>
          <w:szCs w:val="22"/>
        </w:rPr>
        <w:t>dentro del plazo de 15 días legalmente establecido.</w:t>
      </w:r>
    </w:p>
    <w:p w14:paraId="7E7EB67B" w14:textId="77777777" w:rsidR="00B412DB" w:rsidRPr="000B50DF" w:rsidRDefault="0010018F" w:rsidP="0016554C">
      <w:pPr>
        <w:pStyle w:val="Cuerpo"/>
        <w:spacing w:after="240"/>
        <w:jc w:val="both"/>
        <w:rPr>
          <w:color w:val="000000" w:themeColor="text1"/>
          <w:sz w:val="22"/>
          <w:szCs w:val="22"/>
        </w:rPr>
      </w:pPr>
      <w:r w:rsidRPr="000B50DF">
        <w:rPr>
          <w:b/>
          <w:color w:val="000000" w:themeColor="text1"/>
          <w:sz w:val="22"/>
          <w:szCs w:val="22"/>
        </w:rPr>
        <w:t>CUARTO. -</w:t>
      </w:r>
      <w:r w:rsidR="00B83425" w:rsidRPr="000B50DF">
        <w:rPr>
          <w:b/>
          <w:color w:val="000000" w:themeColor="text1"/>
          <w:sz w:val="22"/>
          <w:szCs w:val="22"/>
        </w:rPr>
        <w:t xml:space="preserve"> </w:t>
      </w:r>
      <w:r w:rsidR="00B412DB" w:rsidRPr="000B50DF">
        <w:rPr>
          <w:color w:val="000000" w:themeColor="text1"/>
          <w:sz w:val="22"/>
          <w:szCs w:val="22"/>
        </w:rPr>
        <w:t xml:space="preserve">En lo que respecta a la legitimación concurre en </w:t>
      </w:r>
      <w:r w:rsidR="00C00952" w:rsidRPr="000B50DF">
        <w:rPr>
          <w:color w:val="000000" w:themeColor="text1"/>
          <w:sz w:val="22"/>
          <w:szCs w:val="22"/>
        </w:rPr>
        <w:t>el</w:t>
      </w:r>
      <w:r w:rsidR="00B412DB" w:rsidRPr="000B50DF">
        <w:rPr>
          <w:color w:val="000000" w:themeColor="text1"/>
          <w:sz w:val="22"/>
          <w:szCs w:val="22"/>
        </w:rPr>
        <w:t xml:space="preserve"> recurrente el interés recogido en el artículo 48 de la LCSP, según el cual “podrá interponer el recurso especial en materia de contratación cualquier persona física o jurídica cuyos derechos o intereses legítimos, individuales o colectivos, se hayan visto perjudicados o puedan resultar afectados, de manera directa o indirecta, por las decisiones objeto del recurso”.</w:t>
      </w:r>
    </w:p>
    <w:p w14:paraId="5E2B78E1" w14:textId="18DC0280" w:rsidR="002D7C63" w:rsidRPr="000B50DF" w:rsidRDefault="00D51DC9" w:rsidP="0016554C">
      <w:pPr>
        <w:autoSpaceDE w:val="0"/>
        <w:autoSpaceDN w:val="0"/>
        <w:adjustRightInd w:val="0"/>
        <w:spacing w:after="240"/>
        <w:jc w:val="both"/>
        <w:rPr>
          <w:color w:val="000000" w:themeColor="text1"/>
          <w:sz w:val="22"/>
          <w:szCs w:val="22"/>
        </w:rPr>
      </w:pPr>
      <w:r w:rsidRPr="000B50DF">
        <w:rPr>
          <w:b/>
          <w:bCs/>
          <w:color w:val="000000" w:themeColor="text1"/>
          <w:sz w:val="22"/>
          <w:szCs w:val="22"/>
        </w:rPr>
        <w:t>QUINTO</w:t>
      </w:r>
      <w:r w:rsidRPr="000B50DF">
        <w:rPr>
          <w:color w:val="000000" w:themeColor="text1"/>
          <w:sz w:val="22"/>
          <w:szCs w:val="22"/>
        </w:rPr>
        <w:t>.</w:t>
      </w:r>
      <w:r w:rsidR="00B513D6" w:rsidRPr="000B50DF">
        <w:rPr>
          <w:color w:val="000000" w:themeColor="text1"/>
          <w:sz w:val="22"/>
          <w:szCs w:val="22"/>
        </w:rPr>
        <w:t xml:space="preserve"> – </w:t>
      </w:r>
      <w:r w:rsidR="00C00952" w:rsidRPr="000B50DF">
        <w:rPr>
          <w:color w:val="000000" w:themeColor="text1"/>
          <w:sz w:val="22"/>
          <w:szCs w:val="22"/>
        </w:rPr>
        <w:t>La</w:t>
      </w:r>
      <w:r w:rsidR="00B513D6" w:rsidRPr="000B50DF">
        <w:rPr>
          <w:color w:val="000000" w:themeColor="text1"/>
          <w:sz w:val="22"/>
          <w:szCs w:val="22"/>
        </w:rPr>
        <w:t xml:space="preserve"> recurrente</w:t>
      </w:r>
      <w:r w:rsidR="00A32396" w:rsidRPr="000B50DF">
        <w:rPr>
          <w:color w:val="000000" w:themeColor="text1"/>
        </w:rPr>
        <w:t xml:space="preserve"> </w:t>
      </w:r>
      <w:r w:rsidR="009D7FB5" w:rsidRPr="000B50DF">
        <w:rPr>
          <w:color w:val="000000" w:themeColor="text1"/>
          <w:sz w:val="22"/>
          <w:szCs w:val="22"/>
        </w:rPr>
        <w:t>UTE IFBS INNOVAE OROI</w:t>
      </w:r>
      <w:r w:rsidR="00B513D6" w:rsidRPr="000B50DF">
        <w:rPr>
          <w:color w:val="000000" w:themeColor="text1"/>
          <w:sz w:val="22"/>
          <w:szCs w:val="22"/>
        </w:rPr>
        <w:t xml:space="preserve">, </w:t>
      </w:r>
      <w:r w:rsidR="009D7FB5" w:rsidRPr="000B50DF">
        <w:rPr>
          <w:color w:val="000000" w:themeColor="text1"/>
          <w:sz w:val="22"/>
          <w:szCs w:val="22"/>
        </w:rPr>
        <w:t>ha participado en el procedimiento de licitación del contrato, del que ha sido excluida por no alcanzar el umbral necesario en la valoración de los criterios evaluables mediante juicios de valor</w:t>
      </w:r>
      <w:r w:rsidR="00A12F5A" w:rsidRPr="000B50DF">
        <w:rPr>
          <w:color w:val="000000" w:themeColor="text1"/>
          <w:sz w:val="22"/>
          <w:szCs w:val="22"/>
        </w:rPr>
        <w:t>.</w:t>
      </w:r>
      <w:r w:rsidR="007D7A8A" w:rsidRPr="000B50DF">
        <w:rPr>
          <w:color w:val="000000" w:themeColor="text1"/>
          <w:sz w:val="22"/>
          <w:szCs w:val="22"/>
        </w:rPr>
        <w:t xml:space="preserve"> Sin embargo, </w:t>
      </w:r>
      <w:r w:rsidR="009D7FB5" w:rsidRPr="000B50DF">
        <w:rPr>
          <w:color w:val="000000" w:themeColor="text1"/>
          <w:sz w:val="22"/>
          <w:szCs w:val="22"/>
        </w:rPr>
        <w:t xml:space="preserve">opina que tal exclusión no es ajustada a derecho </w:t>
      </w:r>
      <w:r w:rsidR="007D7A8A" w:rsidRPr="000B50DF">
        <w:rPr>
          <w:color w:val="000000" w:themeColor="text1"/>
          <w:sz w:val="22"/>
          <w:szCs w:val="22"/>
        </w:rPr>
        <w:t>por los siguientes motivos</w:t>
      </w:r>
      <w:r w:rsidR="002D7C63" w:rsidRPr="000B50DF">
        <w:rPr>
          <w:color w:val="000000" w:themeColor="text1"/>
          <w:sz w:val="22"/>
          <w:szCs w:val="22"/>
        </w:rPr>
        <w:t>:</w:t>
      </w:r>
    </w:p>
    <w:p w14:paraId="6944E235" w14:textId="6D2F3BF9" w:rsidR="00637A2A" w:rsidRPr="000B50DF" w:rsidRDefault="00606A2A" w:rsidP="00776712">
      <w:pPr>
        <w:numPr>
          <w:ilvl w:val="0"/>
          <w:numId w:val="22"/>
        </w:numPr>
        <w:autoSpaceDE w:val="0"/>
        <w:autoSpaceDN w:val="0"/>
        <w:adjustRightInd w:val="0"/>
        <w:spacing w:after="240"/>
        <w:jc w:val="both"/>
        <w:rPr>
          <w:color w:val="000000" w:themeColor="text1"/>
          <w:sz w:val="22"/>
          <w:szCs w:val="22"/>
        </w:rPr>
      </w:pPr>
      <w:r w:rsidRPr="000B50DF">
        <w:rPr>
          <w:color w:val="000000" w:themeColor="text1"/>
          <w:sz w:val="22"/>
          <w:szCs w:val="22"/>
        </w:rPr>
        <w:t>La mesa de contratación en la valoración de los criterios no evaluables mediante fórmula ha excedido lo límites de la discrecionalidad técnica, incurriendo en arbitrariedad y falta de motivación</w:t>
      </w:r>
      <w:r w:rsidR="007D7A8A" w:rsidRPr="000B50DF">
        <w:rPr>
          <w:color w:val="000000" w:themeColor="text1"/>
          <w:sz w:val="22"/>
          <w:szCs w:val="22"/>
        </w:rPr>
        <w:t>.</w:t>
      </w:r>
      <w:r w:rsidRPr="000B50DF">
        <w:rPr>
          <w:color w:val="000000" w:themeColor="text1"/>
          <w:sz w:val="22"/>
          <w:szCs w:val="22"/>
        </w:rPr>
        <w:t xml:space="preserve"> Pone como ejemplos de este hecho que el informe técnico de valoración exclusivamente tiene en cuenta para emitir su juicio los aspectos de la oferta vinculados con el bienestar emocional y no otros recogidos en la memoria presentada</w:t>
      </w:r>
      <w:r w:rsidR="00AB3AFB" w:rsidRPr="000B50DF">
        <w:rPr>
          <w:color w:val="000000" w:themeColor="text1"/>
          <w:sz w:val="22"/>
          <w:szCs w:val="22"/>
        </w:rPr>
        <w:t>;</w:t>
      </w:r>
    </w:p>
    <w:p w14:paraId="44C934AB" w14:textId="481C9FF7" w:rsidR="002D7C63" w:rsidRPr="000B50DF" w:rsidRDefault="00606A2A" w:rsidP="00E03005">
      <w:pPr>
        <w:numPr>
          <w:ilvl w:val="0"/>
          <w:numId w:val="22"/>
        </w:numPr>
        <w:autoSpaceDE w:val="0"/>
        <w:autoSpaceDN w:val="0"/>
        <w:adjustRightInd w:val="0"/>
        <w:spacing w:after="240"/>
        <w:jc w:val="both"/>
        <w:rPr>
          <w:color w:val="000000" w:themeColor="text1"/>
          <w:sz w:val="22"/>
          <w:szCs w:val="22"/>
        </w:rPr>
      </w:pPr>
      <w:r w:rsidRPr="000B50DF">
        <w:rPr>
          <w:color w:val="000000" w:themeColor="text1"/>
          <w:sz w:val="22"/>
          <w:szCs w:val="22"/>
        </w:rPr>
        <w:t xml:space="preserve">Se han valorado contenido inexistente en la oferta de la </w:t>
      </w:r>
      <w:r w:rsidR="00F72C01" w:rsidRPr="000B50DF">
        <w:rPr>
          <w:color w:val="000000" w:themeColor="text1"/>
          <w:sz w:val="22"/>
          <w:szCs w:val="22"/>
        </w:rPr>
        <w:t>licitadora propuesta como adjudicataria, MANIFIESTO STUDIO, S.L. Según la recurrente, la oferta de MANIFIESTO ESTUDIO, S.L. se valora por la inclusión de 6 contenidos interactivos cuando en realidad solo se pueden identificar 4 contenidos</w:t>
      </w:r>
      <w:r w:rsidR="00AB3AFB" w:rsidRPr="000B50DF">
        <w:rPr>
          <w:color w:val="000000" w:themeColor="text1"/>
          <w:sz w:val="22"/>
          <w:szCs w:val="22"/>
        </w:rPr>
        <w:t>;</w:t>
      </w:r>
    </w:p>
    <w:p w14:paraId="214BE3A2" w14:textId="43A4D5D1" w:rsidR="00A32396" w:rsidRPr="000B50DF" w:rsidRDefault="00644AE3" w:rsidP="00E74197">
      <w:pPr>
        <w:numPr>
          <w:ilvl w:val="0"/>
          <w:numId w:val="22"/>
        </w:numPr>
        <w:autoSpaceDE w:val="0"/>
        <w:autoSpaceDN w:val="0"/>
        <w:adjustRightInd w:val="0"/>
        <w:spacing w:after="240"/>
        <w:jc w:val="both"/>
        <w:rPr>
          <w:color w:val="000000" w:themeColor="text1"/>
          <w:sz w:val="22"/>
          <w:szCs w:val="22"/>
        </w:rPr>
      </w:pPr>
      <w:r w:rsidRPr="000B50DF">
        <w:rPr>
          <w:color w:val="000000" w:themeColor="text1"/>
          <w:sz w:val="22"/>
          <w:szCs w:val="22"/>
        </w:rPr>
        <w:t>Error de hecho por no valorar los grados de GDS. Contradicciones en la valoración recogidas en el Informe Técnico</w:t>
      </w:r>
      <w:r w:rsidR="00240905" w:rsidRPr="000B50DF">
        <w:rPr>
          <w:color w:val="000000" w:themeColor="text1"/>
          <w:sz w:val="22"/>
          <w:szCs w:val="22"/>
        </w:rPr>
        <w:t>.</w:t>
      </w:r>
      <w:r w:rsidRPr="000B50DF">
        <w:rPr>
          <w:color w:val="000000" w:themeColor="text1"/>
        </w:rPr>
        <w:t xml:space="preserve"> </w:t>
      </w:r>
      <w:r w:rsidRPr="000B50DF">
        <w:rPr>
          <w:color w:val="000000" w:themeColor="text1"/>
          <w:sz w:val="22"/>
          <w:szCs w:val="22"/>
        </w:rPr>
        <w:t>En el Informe técnico de valoración que los contenidos están orientados a “personas mayores y con diversidad funcional (intelectual o cognitiva)”, lo cual incluye a personas con TEA (Diversidad funcional cognitiva), aspecto que no tiene traslado en puntuación a la recurrente</w:t>
      </w:r>
      <w:r w:rsidR="00AB3AFB" w:rsidRPr="000B50DF">
        <w:rPr>
          <w:color w:val="000000" w:themeColor="text1"/>
          <w:sz w:val="22"/>
          <w:szCs w:val="22"/>
        </w:rPr>
        <w:t>;</w:t>
      </w:r>
    </w:p>
    <w:p w14:paraId="5EBA4836" w14:textId="3EC5E996" w:rsidR="00644AE3" w:rsidRPr="000B50DF" w:rsidRDefault="00644AE3" w:rsidP="00E74197">
      <w:pPr>
        <w:numPr>
          <w:ilvl w:val="0"/>
          <w:numId w:val="22"/>
        </w:numPr>
        <w:autoSpaceDE w:val="0"/>
        <w:autoSpaceDN w:val="0"/>
        <w:adjustRightInd w:val="0"/>
        <w:spacing w:after="240"/>
        <w:jc w:val="both"/>
        <w:rPr>
          <w:color w:val="000000" w:themeColor="text1"/>
          <w:sz w:val="22"/>
          <w:szCs w:val="22"/>
        </w:rPr>
      </w:pPr>
      <w:r w:rsidRPr="000B50DF">
        <w:rPr>
          <w:color w:val="000000" w:themeColor="text1"/>
          <w:sz w:val="22"/>
          <w:szCs w:val="22"/>
        </w:rPr>
        <w:t>Otras ausencias de valoración en la oferta de MANIFIESTO STUDIO, S.L en el subcriterio “Inclusión de experiencias o referencias metodológicas que respalden su eficacia”</w:t>
      </w:r>
      <w:r w:rsidR="00AB3AFB" w:rsidRPr="000B50DF">
        <w:rPr>
          <w:color w:val="000000" w:themeColor="text1"/>
          <w:sz w:val="22"/>
          <w:szCs w:val="22"/>
        </w:rPr>
        <w:t>;</w:t>
      </w:r>
    </w:p>
    <w:p w14:paraId="3E075F04" w14:textId="21F5DC53" w:rsidR="00644AE3" w:rsidRPr="000B50DF" w:rsidRDefault="00644AE3" w:rsidP="00E74197">
      <w:pPr>
        <w:numPr>
          <w:ilvl w:val="0"/>
          <w:numId w:val="22"/>
        </w:numPr>
        <w:autoSpaceDE w:val="0"/>
        <w:autoSpaceDN w:val="0"/>
        <w:adjustRightInd w:val="0"/>
        <w:spacing w:after="240"/>
        <w:jc w:val="both"/>
        <w:rPr>
          <w:color w:val="000000" w:themeColor="text1"/>
          <w:sz w:val="22"/>
          <w:szCs w:val="22"/>
        </w:rPr>
      </w:pPr>
      <w:r w:rsidRPr="000B50DF">
        <w:rPr>
          <w:color w:val="000000" w:themeColor="text1"/>
          <w:sz w:val="22"/>
          <w:szCs w:val="22"/>
        </w:rPr>
        <w:t xml:space="preserve">La oferta de </w:t>
      </w:r>
      <w:r w:rsidR="00AB3AFB" w:rsidRPr="000B50DF">
        <w:rPr>
          <w:color w:val="000000" w:themeColor="text1"/>
          <w:sz w:val="22"/>
          <w:szCs w:val="22"/>
        </w:rPr>
        <w:t>ELEKTRART, INNOVACIÓN CULTURAL Y TECNOLÓGICA, S.L.</w:t>
      </w:r>
      <w:r w:rsidRPr="000B50DF">
        <w:rPr>
          <w:color w:val="000000" w:themeColor="text1"/>
          <w:sz w:val="22"/>
          <w:szCs w:val="22"/>
        </w:rPr>
        <w:t xml:space="preserve"> no se vincula con el objeto del contrato, ya que únicamente aporta experiencias en el entorno sanitario, pero se valora positivamente</w:t>
      </w:r>
      <w:r w:rsidR="00AB3AFB" w:rsidRPr="000B50DF">
        <w:rPr>
          <w:color w:val="000000" w:themeColor="text1"/>
          <w:sz w:val="22"/>
          <w:szCs w:val="22"/>
        </w:rPr>
        <w:t>;</w:t>
      </w:r>
    </w:p>
    <w:p w14:paraId="733E7B70" w14:textId="5E58F2B7" w:rsidR="00B27C00" w:rsidRPr="000B50DF" w:rsidRDefault="00B27C00" w:rsidP="00E74197">
      <w:pPr>
        <w:numPr>
          <w:ilvl w:val="0"/>
          <w:numId w:val="22"/>
        </w:numPr>
        <w:autoSpaceDE w:val="0"/>
        <w:autoSpaceDN w:val="0"/>
        <w:adjustRightInd w:val="0"/>
        <w:spacing w:after="240"/>
        <w:jc w:val="both"/>
        <w:rPr>
          <w:color w:val="000000" w:themeColor="text1"/>
          <w:sz w:val="22"/>
          <w:szCs w:val="22"/>
        </w:rPr>
      </w:pPr>
      <w:r w:rsidRPr="000B50DF">
        <w:rPr>
          <w:color w:val="000000" w:themeColor="text1"/>
          <w:sz w:val="22"/>
          <w:szCs w:val="22"/>
        </w:rPr>
        <w:t>El expediente de contratación está incompleto al no tener constancia de las pruebas presenciales sujetas a criterio subjetivo</w:t>
      </w:r>
      <w:r w:rsidR="00AB3AFB" w:rsidRPr="000B50DF">
        <w:rPr>
          <w:color w:val="000000" w:themeColor="text1"/>
          <w:sz w:val="22"/>
          <w:szCs w:val="22"/>
        </w:rPr>
        <w:t>;</w:t>
      </w:r>
    </w:p>
    <w:p w14:paraId="6030AEAB" w14:textId="1B0C0511" w:rsidR="00644AE3" w:rsidRPr="000B50DF" w:rsidRDefault="00644AE3" w:rsidP="00644AE3">
      <w:pPr>
        <w:autoSpaceDE w:val="0"/>
        <w:autoSpaceDN w:val="0"/>
        <w:adjustRightInd w:val="0"/>
        <w:spacing w:after="240"/>
        <w:jc w:val="both"/>
        <w:rPr>
          <w:color w:val="000000" w:themeColor="text1"/>
          <w:sz w:val="22"/>
          <w:szCs w:val="22"/>
        </w:rPr>
      </w:pPr>
      <w:r w:rsidRPr="000B50DF">
        <w:rPr>
          <w:color w:val="000000" w:themeColor="text1"/>
          <w:sz w:val="22"/>
          <w:szCs w:val="22"/>
        </w:rPr>
        <w:lastRenderedPageBreak/>
        <w:t>Por lo anterior, estima que no cabe retrotraer actuaciones a la fase del procedimiento de contratación relativa a la valoración de las ofertas técnicas, puesto que la oferta vinculada con el Sobre A (sujetas a mera fórmula) ya ha resultado objeto de apertura, valoración y puntuación por la Mesa de contratación.</w:t>
      </w:r>
      <w:r w:rsidR="00F60939" w:rsidRPr="000B50DF">
        <w:rPr>
          <w:color w:val="000000" w:themeColor="text1"/>
          <w:sz w:val="22"/>
          <w:szCs w:val="22"/>
        </w:rPr>
        <w:t xml:space="preserve"> Así, solicita la nulidad del procedimiento de licitación.</w:t>
      </w:r>
    </w:p>
    <w:p w14:paraId="02123DE0" w14:textId="0A67608C" w:rsidR="00B27C00" w:rsidRPr="000B50DF" w:rsidRDefault="0086101D" w:rsidP="00E32C38">
      <w:pPr>
        <w:autoSpaceDE w:val="0"/>
        <w:autoSpaceDN w:val="0"/>
        <w:adjustRightInd w:val="0"/>
        <w:spacing w:after="240"/>
        <w:jc w:val="both"/>
        <w:rPr>
          <w:color w:val="000000" w:themeColor="text1"/>
          <w:sz w:val="22"/>
          <w:szCs w:val="22"/>
        </w:rPr>
      </w:pPr>
      <w:r w:rsidRPr="000B50DF">
        <w:rPr>
          <w:b/>
          <w:bCs/>
          <w:color w:val="000000" w:themeColor="text1"/>
          <w:sz w:val="22"/>
          <w:szCs w:val="22"/>
        </w:rPr>
        <w:t>SEXTO</w:t>
      </w:r>
      <w:r w:rsidRPr="000B50DF">
        <w:rPr>
          <w:color w:val="000000" w:themeColor="text1"/>
          <w:sz w:val="22"/>
          <w:szCs w:val="22"/>
        </w:rPr>
        <w:t xml:space="preserve">. </w:t>
      </w:r>
      <w:r w:rsidR="00823721" w:rsidRPr="000B50DF">
        <w:rPr>
          <w:color w:val="000000" w:themeColor="text1"/>
          <w:sz w:val="22"/>
          <w:szCs w:val="22"/>
        </w:rPr>
        <w:t>–</w:t>
      </w:r>
      <w:r w:rsidR="00307307" w:rsidRPr="000B50DF">
        <w:rPr>
          <w:color w:val="000000" w:themeColor="text1"/>
          <w:sz w:val="22"/>
          <w:szCs w:val="22"/>
        </w:rPr>
        <w:t xml:space="preserve"> </w:t>
      </w:r>
      <w:r w:rsidR="00B27C00" w:rsidRPr="000B50DF">
        <w:rPr>
          <w:color w:val="000000" w:themeColor="text1"/>
          <w:sz w:val="22"/>
          <w:szCs w:val="22"/>
        </w:rPr>
        <w:t>La empresa MANIFIESTO ESTUDIO, S.L. considera que:</w:t>
      </w:r>
    </w:p>
    <w:p w14:paraId="11E7DB91" w14:textId="4050C371" w:rsidR="00B27C00" w:rsidRPr="000B50DF" w:rsidRDefault="00B27C00" w:rsidP="00B27C00">
      <w:pPr>
        <w:pStyle w:val="Prrafodelista"/>
        <w:numPr>
          <w:ilvl w:val="0"/>
          <w:numId w:val="32"/>
        </w:numPr>
        <w:autoSpaceDE w:val="0"/>
        <w:autoSpaceDN w:val="0"/>
        <w:adjustRightInd w:val="0"/>
        <w:spacing w:after="240"/>
        <w:jc w:val="both"/>
        <w:rPr>
          <w:color w:val="000000" w:themeColor="text1"/>
          <w:sz w:val="22"/>
          <w:szCs w:val="22"/>
        </w:rPr>
      </w:pPr>
      <w:r w:rsidRPr="000B50DF">
        <w:rPr>
          <w:color w:val="000000" w:themeColor="text1"/>
          <w:sz w:val="22"/>
          <w:szCs w:val="22"/>
        </w:rPr>
        <w:t>La recurrente construye sobre discrepancias valorativas respecto del juicio técnico emitido por la Mesa de Contratación, sin acreditar la existencia de un error material patente, una arbitrariedad objetiva, una discriminación real o un vicio procedimental con entidad suficiente para producir la invalidez del procedimiento</w:t>
      </w:r>
      <w:r w:rsidR="00AB3AFB" w:rsidRPr="000B50DF">
        <w:rPr>
          <w:color w:val="000000" w:themeColor="text1"/>
          <w:sz w:val="22"/>
          <w:szCs w:val="22"/>
        </w:rPr>
        <w:t>;</w:t>
      </w:r>
    </w:p>
    <w:p w14:paraId="02FA566E" w14:textId="77777777" w:rsidR="00B27C00" w:rsidRPr="000B50DF" w:rsidRDefault="00B27C00" w:rsidP="00B27C00">
      <w:pPr>
        <w:pStyle w:val="Prrafodelista"/>
        <w:autoSpaceDE w:val="0"/>
        <w:autoSpaceDN w:val="0"/>
        <w:adjustRightInd w:val="0"/>
        <w:spacing w:after="240"/>
        <w:ind w:left="780"/>
        <w:jc w:val="both"/>
        <w:rPr>
          <w:color w:val="000000" w:themeColor="text1"/>
          <w:sz w:val="22"/>
          <w:szCs w:val="22"/>
        </w:rPr>
      </w:pPr>
    </w:p>
    <w:p w14:paraId="67DE3166" w14:textId="64C4E8AB" w:rsidR="00B27C00" w:rsidRPr="000B50DF" w:rsidRDefault="00B27C00" w:rsidP="00B27C00">
      <w:pPr>
        <w:pStyle w:val="Prrafodelista"/>
        <w:numPr>
          <w:ilvl w:val="0"/>
          <w:numId w:val="32"/>
        </w:numPr>
        <w:autoSpaceDE w:val="0"/>
        <w:autoSpaceDN w:val="0"/>
        <w:adjustRightInd w:val="0"/>
        <w:spacing w:after="240"/>
        <w:jc w:val="both"/>
        <w:rPr>
          <w:color w:val="000000" w:themeColor="text1"/>
          <w:sz w:val="22"/>
          <w:szCs w:val="22"/>
        </w:rPr>
      </w:pPr>
      <w:r w:rsidRPr="000B50DF">
        <w:rPr>
          <w:color w:val="000000" w:themeColor="text1"/>
          <w:sz w:val="22"/>
          <w:szCs w:val="22"/>
        </w:rPr>
        <w:t>La exclusión de la UTE IFBS INNOVAE OROI no trae causa de la valoración otorgada a Manifiesto Studio, S.L.</w:t>
      </w:r>
      <w:r w:rsidR="00AB3AFB" w:rsidRPr="000B50DF">
        <w:rPr>
          <w:color w:val="000000" w:themeColor="text1"/>
          <w:sz w:val="22"/>
          <w:szCs w:val="22"/>
        </w:rPr>
        <w:t>;</w:t>
      </w:r>
    </w:p>
    <w:p w14:paraId="793BB843" w14:textId="77777777" w:rsidR="00B27C00" w:rsidRPr="000B50DF" w:rsidRDefault="00B27C00" w:rsidP="00B27C00">
      <w:pPr>
        <w:pStyle w:val="Prrafodelista"/>
        <w:rPr>
          <w:color w:val="000000" w:themeColor="text1"/>
          <w:sz w:val="22"/>
          <w:szCs w:val="22"/>
        </w:rPr>
      </w:pPr>
    </w:p>
    <w:p w14:paraId="4A99616F" w14:textId="480E9D7B" w:rsidR="00B27C00" w:rsidRPr="000B50DF" w:rsidRDefault="00B27C00" w:rsidP="00B27C00">
      <w:pPr>
        <w:pStyle w:val="Prrafodelista"/>
        <w:numPr>
          <w:ilvl w:val="0"/>
          <w:numId w:val="32"/>
        </w:numPr>
        <w:autoSpaceDE w:val="0"/>
        <w:autoSpaceDN w:val="0"/>
        <w:adjustRightInd w:val="0"/>
        <w:spacing w:after="240"/>
        <w:jc w:val="both"/>
        <w:rPr>
          <w:color w:val="000000" w:themeColor="text1"/>
          <w:sz w:val="22"/>
          <w:szCs w:val="22"/>
        </w:rPr>
      </w:pPr>
      <w:r w:rsidRPr="000B50DF">
        <w:rPr>
          <w:color w:val="000000" w:themeColor="text1"/>
          <w:sz w:val="22"/>
          <w:szCs w:val="22"/>
        </w:rPr>
        <w:t>Su oferta sí incluye seis contenidos interactivos</w:t>
      </w:r>
      <w:r w:rsidR="00AB3AFB" w:rsidRPr="000B50DF">
        <w:rPr>
          <w:color w:val="000000" w:themeColor="text1"/>
          <w:sz w:val="22"/>
          <w:szCs w:val="22"/>
        </w:rPr>
        <w:t>;</w:t>
      </w:r>
    </w:p>
    <w:p w14:paraId="7D53A32F" w14:textId="77777777" w:rsidR="00B27C00" w:rsidRPr="000B50DF" w:rsidRDefault="00B27C00" w:rsidP="00B27C00">
      <w:pPr>
        <w:pStyle w:val="Prrafodelista"/>
        <w:rPr>
          <w:color w:val="000000" w:themeColor="text1"/>
          <w:sz w:val="22"/>
          <w:szCs w:val="22"/>
        </w:rPr>
      </w:pPr>
    </w:p>
    <w:p w14:paraId="0B3EA52F" w14:textId="1C67BE25" w:rsidR="00B27C00" w:rsidRPr="000B50DF" w:rsidRDefault="00B27C00" w:rsidP="00B27C00">
      <w:pPr>
        <w:pStyle w:val="Prrafodelista"/>
        <w:numPr>
          <w:ilvl w:val="0"/>
          <w:numId w:val="32"/>
        </w:numPr>
        <w:autoSpaceDE w:val="0"/>
        <w:autoSpaceDN w:val="0"/>
        <w:adjustRightInd w:val="0"/>
        <w:spacing w:after="240"/>
        <w:jc w:val="both"/>
        <w:rPr>
          <w:color w:val="000000" w:themeColor="text1"/>
          <w:sz w:val="22"/>
          <w:szCs w:val="22"/>
        </w:rPr>
      </w:pPr>
      <w:r w:rsidRPr="000B50DF">
        <w:rPr>
          <w:color w:val="000000" w:themeColor="text1"/>
          <w:sz w:val="22"/>
          <w:szCs w:val="22"/>
        </w:rPr>
        <w:t>La normativa de contratación pública no exige, con carácter general e imperativo, que las demostraciones técnicas presenciales sean grabadas en vídeo o audio para que puedan ser válidamente valoradas. La constancia y motivación de la valoración queda satisfecha mediante el correspondiente informe técnico emitido por los servicios competentes</w:t>
      </w:r>
      <w:r w:rsidR="00AB3AFB" w:rsidRPr="000B50DF">
        <w:rPr>
          <w:color w:val="000000" w:themeColor="text1"/>
          <w:sz w:val="22"/>
          <w:szCs w:val="22"/>
        </w:rPr>
        <w:t>;</w:t>
      </w:r>
    </w:p>
    <w:p w14:paraId="626A5BF1" w14:textId="77777777" w:rsidR="006379C9" w:rsidRPr="000B50DF" w:rsidRDefault="006379C9" w:rsidP="006379C9">
      <w:pPr>
        <w:pStyle w:val="Prrafodelista"/>
        <w:rPr>
          <w:color w:val="000000" w:themeColor="text1"/>
          <w:sz w:val="22"/>
          <w:szCs w:val="22"/>
        </w:rPr>
      </w:pPr>
    </w:p>
    <w:p w14:paraId="6E33F3A8" w14:textId="25C15320" w:rsidR="006379C9" w:rsidRPr="000B50DF" w:rsidRDefault="006379C9" w:rsidP="006379C9">
      <w:pPr>
        <w:pStyle w:val="Prrafodelista"/>
        <w:numPr>
          <w:ilvl w:val="0"/>
          <w:numId w:val="32"/>
        </w:numPr>
        <w:autoSpaceDE w:val="0"/>
        <w:autoSpaceDN w:val="0"/>
        <w:adjustRightInd w:val="0"/>
        <w:spacing w:after="240"/>
        <w:jc w:val="both"/>
        <w:rPr>
          <w:color w:val="000000" w:themeColor="text1"/>
          <w:sz w:val="22"/>
          <w:szCs w:val="22"/>
        </w:rPr>
      </w:pPr>
      <w:r w:rsidRPr="000B50DF">
        <w:rPr>
          <w:color w:val="000000" w:themeColor="text1"/>
          <w:sz w:val="22"/>
          <w:szCs w:val="22"/>
        </w:rPr>
        <w:t>La anulación íntegra de un procedimiento de licitación es una medida excepcional que exige la existencia de un vicio sustancial, determinante y no subsanable</w:t>
      </w:r>
      <w:r w:rsidR="00AB3AFB" w:rsidRPr="000B50DF">
        <w:rPr>
          <w:color w:val="000000" w:themeColor="text1"/>
          <w:sz w:val="22"/>
          <w:szCs w:val="22"/>
        </w:rPr>
        <w:t>.</w:t>
      </w:r>
    </w:p>
    <w:p w14:paraId="0599ADE6" w14:textId="056116B3" w:rsidR="00473134" w:rsidRPr="000B50DF" w:rsidRDefault="006379C9" w:rsidP="00E32C38">
      <w:pPr>
        <w:autoSpaceDE w:val="0"/>
        <w:autoSpaceDN w:val="0"/>
        <w:adjustRightInd w:val="0"/>
        <w:spacing w:after="240"/>
        <w:jc w:val="both"/>
        <w:rPr>
          <w:color w:val="000000" w:themeColor="text1"/>
          <w:sz w:val="22"/>
          <w:szCs w:val="22"/>
        </w:rPr>
      </w:pPr>
      <w:r w:rsidRPr="000B50DF">
        <w:rPr>
          <w:b/>
          <w:bCs/>
          <w:color w:val="000000" w:themeColor="text1"/>
          <w:sz w:val="22"/>
          <w:szCs w:val="22"/>
        </w:rPr>
        <w:t>OCTAVO</w:t>
      </w:r>
      <w:r w:rsidR="00B27C00" w:rsidRPr="000B50DF">
        <w:rPr>
          <w:color w:val="000000" w:themeColor="text1"/>
          <w:sz w:val="22"/>
          <w:szCs w:val="22"/>
        </w:rPr>
        <w:t xml:space="preserve">. – </w:t>
      </w:r>
      <w:r w:rsidR="00307307" w:rsidRPr="000B50DF">
        <w:rPr>
          <w:color w:val="000000" w:themeColor="text1"/>
          <w:sz w:val="22"/>
          <w:szCs w:val="22"/>
        </w:rPr>
        <w:t xml:space="preserve">En </w:t>
      </w:r>
      <w:r w:rsidR="00824657" w:rsidRPr="000B50DF">
        <w:rPr>
          <w:color w:val="000000" w:themeColor="text1"/>
          <w:sz w:val="22"/>
          <w:szCs w:val="22"/>
        </w:rPr>
        <w:t>el</w:t>
      </w:r>
      <w:r w:rsidR="00307307" w:rsidRPr="000B50DF">
        <w:rPr>
          <w:color w:val="000000" w:themeColor="text1"/>
          <w:sz w:val="22"/>
          <w:szCs w:val="22"/>
        </w:rPr>
        <w:t xml:space="preserve"> informe elaborado al efecto, el órgano tramitador manifiesta que:</w:t>
      </w:r>
    </w:p>
    <w:p w14:paraId="15DA27B2" w14:textId="3AEE9004" w:rsidR="00FE0EEA" w:rsidRPr="000B50DF" w:rsidRDefault="008608AF" w:rsidP="00DF7772">
      <w:pPr>
        <w:numPr>
          <w:ilvl w:val="0"/>
          <w:numId w:val="24"/>
        </w:numPr>
        <w:autoSpaceDE w:val="0"/>
        <w:autoSpaceDN w:val="0"/>
        <w:adjustRightInd w:val="0"/>
        <w:spacing w:after="240"/>
        <w:jc w:val="both"/>
        <w:rPr>
          <w:color w:val="000000" w:themeColor="text1"/>
          <w:sz w:val="22"/>
          <w:szCs w:val="22"/>
        </w:rPr>
      </w:pPr>
      <w:r w:rsidRPr="000B50DF">
        <w:rPr>
          <w:color w:val="000000" w:themeColor="text1"/>
          <w:sz w:val="22"/>
          <w:szCs w:val="22"/>
        </w:rPr>
        <w:t>la recurrente no identifica la aplicación de criterios distintos de los previstos en los pliegos, la modificación de las reglas de la licitación ni la existencia de un error material manifiesto. Su argumentación consiste, esencialmente, en mostrar su desacuerdo con la valoración técnica realizada por el equipo evaluador. Para ello, reproduce amplios fragmentos de su memoria, destaca los aspectos que considera más favorables de su oferta y los contrapone a determinadas afirmaciones contenidas en el informe de valoración o a las propuestas de las restantes licitadoras</w:t>
      </w:r>
      <w:r w:rsidR="00307307" w:rsidRPr="000B50DF">
        <w:rPr>
          <w:color w:val="000000" w:themeColor="text1"/>
          <w:sz w:val="22"/>
          <w:szCs w:val="22"/>
        </w:rPr>
        <w:t>;</w:t>
      </w:r>
    </w:p>
    <w:p w14:paraId="07B60AB5" w14:textId="368BA936" w:rsidR="00FE0EEA" w:rsidRPr="000B50DF" w:rsidRDefault="008608AF" w:rsidP="00DD2CD9">
      <w:pPr>
        <w:numPr>
          <w:ilvl w:val="0"/>
          <w:numId w:val="24"/>
        </w:numPr>
        <w:autoSpaceDE w:val="0"/>
        <w:autoSpaceDN w:val="0"/>
        <w:adjustRightInd w:val="0"/>
        <w:spacing w:after="240"/>
        <w:jc w:val="both"/>
        <w:rPr>
          <w:color w:val="000000" w:themeColor="text1"/>
          <w:sz w:val="22"/>
          <w:szCs w:val="22"/>
        </w:rPr>
      </w:pPr>
      <w:r w:rsidRPr="000B50DF">
        <w:rPr>
          <w:color w:val="000000" w:themeColor="text1"/>
          <w:sz w:val="22"/>
          <w:szCs w:val="22"/>
        </w:rPr>
        <w:t>Todas las licitadoras realizaron la demostración en las mismas condiciones, conforme a las previsiones del pliego, y fueron evaluadas por el mismo equipo técnico aplicando los mismos criterios</w:t>
      </w:r>
      <w:r w:rsidR="00FE0EEA" w:rsidRPr="000B50DF">
        <w:rPr>
          <w:color w:val="000000" w:themeColor="text1"/>
          <w:sz w:val="22"/>
          <w:szCs w:val="22"/>
        </w:rPr>
        <w:t>;</w:t>
      </w:r>
    </w:p>
    <w:p w14:paraId="73B10993" w14:textId="3F276E64" w:rsidR="00473134" w:rsidRPr="000B50DF" w:rsidRDefault="008608AF" w:rsidP="00B929B0">
      <w:pPr>
        <w:numPr>
          <w:ilvl w:val="0"/>
          <w:numId w:val="24"/>
        </w:numPr>
        <w:autoSpaceDE w:val="0"/>
        <w:autoSpaceDN w:val="0"/>
        <w:adjustRightInd w:val="0"/>
        <w:spacing w:after="240"/>
        <w:jc w:val="both"/>
        <w:rPr>
          <w:color w:val="000000" w:themeColor="text1"/>
          <w:sz w:val="22"/>
          <w:szCs w:val="22"/>
        </w:rPr>
      </w:pPr>
      <w:r w:rsidRPr="000B50DF">
        <w:rPr>
          <w:color w:val="000000" w:themeColor="text1"/>
          <w:sz w:val="22"/>
          <w:szCs w:val="22"/>
        </w:rPr>
        <w:t>La referencia al bienestar emocional es solo uno de los elementos utilizados para describir el enfoque de la propuesta de la recurrente. No puede sostenerse, por tanto, que ese aspecto constituya el fundamento exclusivo de la puntuación otorgada</w:t>
      </w:r>
      <w:r w:rsidR="00235379" w:rsidRPr="000B50DF">
        <w:rPr>
          <w:color w:val="000000" w:themeColor="text1"/>
          <w:sz w:val="22"/>
          <w:szCs w:val="22"/>
        </w:rPr>
        <w:t>.</w:t>
      </w:r>
    </w:p>
    <w:p w14:paraId="59E8C1C0" w14:textId="2B3DD402" w:rsidR="008608AF" w:rsidRPr="000B50DF" w:rsidRDefault="00C54EC6" w:rsidP="00B64CED">
      <w:pPr>
        <w:numPr>
          <w:ilvl w:val="0"/>
          <w:numId w:val="24"/>
        </w:numPr>
        <w:autoSpaceDE w:val="0"/>
        <w:autoSpaceDN w:val="0"/>
        <w:adjustRightInd w:val="0"/>
        <w:spacing w:after="240"/>
        <w:jc w:val="both"/>
        <w:rPr>
          <w:color w:val="000000" w:themeColor="text1"/>
          <w:sz w:val="22"/>
          <w:szCs w:val="22"/>
        </w:rPr>
      </w:pPr>
      <w:r w:rsidRPr="000B50DF">
        <w:rPr>
          <w:color w:val="000000" w:themeColor="text1"/>
          <w:sz w:val="22"/>
          <w:szCs w:val="22"/>
        </w:rPr>
        <w:t xml:space="preserve">La memoria técnica de MANIFIESTO STUDIO, S.L. incorpora un apartado específico dedicado a los contenidos interactivos, en el que identifica expresamente seis aplicaciones —Street View, Emojis, </w:t>
      </w:r>
      <w:proofErr w:type="spellStart"/>
      <w:r w:rsidRPr="000B50DF">
        <w:rPr>
          <w:color w:val="000000" w:themeColor="text1"/>
          <w:sz w:val="22"/>
          <w:szCs w:val="22"/>
        </w:rPr>
        <w:t>Interact</w:t>
      </w:r>
      <w:proofErr w:type="spellEnd"/>
      <w:r w:rsidRPr="000B50DF">
        <w:rPr>
          <w:color w:val="000000" w:themeColor="text1"/>
          <w:sz w:val="22"/>
          <w:szCs w:val="22"/>
        </w:rPr>
        <w:t xml:space="preserve">, Listen, </w:t>
      </w:r>
      <w:proofErr w:type="spellStart"/>
      <w:r w:rsidRPr="000B50DF">
        <w:rPr>
          <w:color w:val="000000" w:themeColor="text1"/>
          <w:sz w:val="22"/>
          <w:szCs w:val="22"/>
        </w:rPr>
        <w:t>Draw</w:t>
      </w:r>
      <w:proofErr w:type="spellEnd"/>
      <w:r w:rsidRPr="000B50DF">
        <w:rPr>
          <w:color w:val="000000" w:themeColor="text1"/>
          <w:sz w:val="22"/>
          <w:szCs w:val="22"/>
        </w:rPr>
        <w:t xml:space="preserve"> y Text— y las desarrolla.</w:t>
      </w:r>
    </w:p>
    <w:p w14:paraId="280460B2" w14:textId="5F26B7AD" w:rsidR="00C54EC6" w:rsidRPr="000B50DF" w:rsidRDefault="00C54EC6" w:rsidP="006E537C">
      <w:pPr>
        <w:numPr>
          <w:ilvl w:val="0"/>
          <w:numId w:val="24"/>
        </w:numPr>
        <w:autoSpaceDE w:val="0"/>
        <w:autoSpaceDN w:val="0"/>
        <w:adjustRightInd w:val="0"/>
        <w:spacing w:after="240"/>
        <w:jc w:val="both"/>
        <w:rPr>
          <w:color w:val="000000" w:themeColor="text1"/>
          <w:sz w:val="22"/>
          <w:szCs w:val="22"/>
        </w:rPr>
      </w:pPr>
      <w:r w:rsidRPr="000B50DF">
        <w:rPr>
          <w:color w:val="000000" w:themeColor="text1"/>
          <w:sz w:val="22"/>
          <w:szCs w:val="22"/>
        </w:rPr>
        <w:t>El informe técnico de valoración reconoce expresamente que la oferta incorpora guías de intervención adaptadas a diferentes grados de la escala GDS, lo que demuestra que este aspecto fue conocido y tenido en cuenta por el equipo evaluador. La discrepancia no radica, por tanto, en la existencia de esa referencia, sino en la valoración técnica de su alcance.</w:t>
      </w:r>
    </w:p>
    <w:p w14:paraId="3AED0340" w14:textId="25B2616C" w:rsidR="00C54EC6" w:rsidRPr="000B50DF" w:rsidRDefault="00C54EC6" w:rsidP="005B0CBD">
      <w:pPr>
        <w:numPr>
          <w:ilvl w:val="0"/>
          <w:numId w:val="24"/>
        </w:numPr>
        <w:autoSpaceDE w:val="0"/>
        <w:autoSpaceDN w:val="0"/>
        <w:adjustRightInd w:val="0"/>
        <w:spacing w:after="240"/>
        <w:jc w:val="both"/>
        <w:rPr>
          <w:color w:val="000000" w:themeColor="text1"/>
          <w:sz w:val="22"/>
          <w:szCs w:val="22"/>
        </w:rPr>
      </w:pPr>
      <w:r w:rsidRPr="000B50DF">
        <w:rPr>
          <w:color w:val="000000" w:themeColor="text1"/>
          <w:sz w:val="22"/>
          <w:szCs w:val="22"/>
        </w:rPr>
        <w:lastRenderedPageBreak/>
        <w:t xml:space="preserve">El informe técnico de valoración recoge expresamente que la propuesta de </w:t>
      </w:r>
      <w:r w:rsidR="0025454A" w:rsidRPr="000B50DF">
        <w:rPr>
          <w:color w:val="000000" w:themeColor="text1"/>
          <w:sz w:val="22"/>
        </w:rPr>
        <w:t>UTE IFBS INNOVAE OROI</w:t>
      </w:r>
      <w:r w:rsidRPr="000B50DF">
        <w:rPr>
          <w:color w:val="000000" w:themeColor="text1"/>
          <w:sz w:val="22"/>
          <w:szCs w:val="22"/>
        </w:rPr>
        <w:t xml:space="preserve"> se apoya en una fundamentación teórica, referencias bibliográficas, experiencias desarrolladas en centros sociosanitarios y educativos, así como en resultados asociados a la reducción de la ansiedad, el dolor o el estrés y a la mejora del bienestar y la satisfacción. Asimismo, hace referencia expresa a las experiencias propias aportadas por la licitadora.</w:t>
      </w:r>
    </w:p>
    <w:p w14:paraId="421AF9BC" w14:textId="28A0305D" w:rsidR="00C54EC6" w:rsidRPr="000B50DF" w:rsidRDefault="0025454A" w:rsidP="00D056D1">
      <w:pPr>
        <w:numPr>
          <w:ilvl w:val="0"/>
          <w:numId w:val="24"/>
        </w:numPr>
        <w:autoSpaceDE w:val="0"/>
        <w:autoSpaceDN w:val="0"/>
        <w:adjustRightInd w:val="0"/>
        <w:spacing w:after="240"/>
        <w:jc w:val="both"/>
        <w:rPr>
          <w:color w:val="000000" w:themeColor="text1"/>
          <w:sz w:val="22"/>
          <w:szCs w:val="22"/>
        </w:rPr>
      </w:pPr>
      <w:r w:rsidRPr="000B50DF">
        <w:rPr>
          <w:color w:val="000000" w:themeColor="text1"/>
          <w:sz w:val="22"/>
          <w:szCs w:val="22"/>
        </w:rPr>
        <w:t xml:space="preserve">En cuanto a la oferta de </w:t>
      </w:r>
      <w:r w:rsidR="004941FB" w:rsidRPr="000B50DF">
        <w:rPr>
          <w:color w:val="000000" w:themeColor="text1"/>
          <w:sz w:val="22"/>
          <w:szCs w:val="22"/>
        </w:rPr>
        <w:t>ELEKTRART, INNOVACIÓN CULTURAL Y TECNOLÓGICA, S.L.</w:t>
      </w:r>
      <w:r w:rsidRPr="000B50DF">
        <w:rPr>
          <w:color w:val="000000" w:themeColor="text1"/>
          <w:sz w:val="22"/>
          <w:szCs w:val="22"/>
        </w:rPr>
        <w:t>, el informe señala es que las dos experiencias acreditadas se desarrollan principalmente en el entorno sanitario, por lo que no están totalmente relacionadas con el ámbito sociosanitario, circunstancia que fue expresamente identificada y tenida en cuenta durante el proceso de valoración.</w:t>
      </w:r>
    </w:p>
    <w:p w14:paraId="4F0290C4" w14:textId="31A28026" w:rsidR="00235379" w:rsidRPr="000B50DF" w:rsidRDefault="00235379" w:rsidP="00F91612">
      <w:pPr>
        <w:numPr>
          <w:ilvl w:val="0"/>
          <w:numId w:val="24"/>
        </w:numPr>
        <w:autoSpaceDE w:val="0"/>
        <w:autoSpaceDN w:val="0"/>
        <w:adjustRightInd w:val="0"/>
        <w:spacing w:after="240"/>
        <w:jc w:val="both"/>
        <w:rPr>
          <w:color w:val="000000" w:themeColor="text1"/>
          <w:sz w:val="22"/>
          <w:szCs w:val="22"/>
        </w:rPr>
      </w:pPr>
      <w:r w:rsidRPr="000B50DF">
        <w:rPr>
          <w:color w:val="000000" w:themeColor="text1"/>
          <w:sz w:val="22"/>
          <w:szCs w:val="22"/>
        </w:rPr>
        <w:t xml:space="preserve">Por otra parte, no discute la alegación de la recurrente referente a la </w:t>
      </w:r>
      <w:r w:rsidR="00D15159" w:rsidRPr="000B50DF">
        <w:rPr>
          <w:color w:val="000000" w:themeColor="text1"/>
          <w:sz w:val="22"/>
          <w:szCs w:val="22"/>
        </w:rPr>
        <w:t>cláusula</w:t>
      </w:r>
      <w:r w:rsidRPr="000B50DF">
        <w:rPr>
          <w:color w:val="000000" w:themeColor="text1"/>
          <w:sz w:val="22"/>
          <w:szCs w:val="22"/>
        </w:rPr>
        <w:t xml:space="preserve"> de subcontratación máxima.</w:t>
      </w:r>
    </w:p>
    <w:p w14:paraId="4C7EEABF" w14:textId="2C6935F7" w:rsidR="00AB3AFB" w:rsidRPr="000B50DF" w:rsidRDefault="00AB3AFB" w:rsidP="00E8574B">
      <w:pPr>
        <w:numPr>
          <w:ilvl w:val="0"/>
          <w:numId w:val="24"/>
        </w:numPr>
        <w:autoSpaceDE w:val="0"/>
        <w:autoSpaceDN w:val="0"/>
        <w:adjustRightInd w:val="0"/>
        <w:spacing w:after="240"/>
        <w:jc w:val="both"/>
        <w:rPr>
          <w:color w:val="000000" w:themeColor="text1"/>
          <w:sz w:val="22"/>
          <w:szCs w:val="22"/>
        </w:rPr>
      </w:pPr>
      <w:r w:rsidRPr="000B50DF">
        <w:rPr>
          <w:color w:val="000000" w:themeColor="text1"/>
          <w:sz w:val="22"/>
          <w:szCs w:val="22"/>
        </w:rPr>
        <w:t xml:space="preserve">Respecto de la falta de respaldo en el expediente de la valoración de la demostración, el expediente incorpora los pliegos de la licitación, las ofertas presentadas, las memorias técnicas, la constancia de la celebración de las demostraciones, el informe técnico de valoración y el resto de </w:t>
      </w:r>
      <w:proofErr w:type="gramStart"/>
      <w:r w:rsidRPr="000B50DF">
        <w:rPr>
          <w:color w:val="000000" w:themeColor="text1"/>
          <w:sz w:val="22"/>
          <w:szCs w:val="22"/>
        </w:rPr>
        <w:t>actuaciones</w:t>
      </w:r>
      <w:proofErr w:type="gramEnd"/>
      <w:r w:rsidRPr="000B50DF">
        <w:rPr>
          <w:color w:val="000000" w:themeColor="text1"/>
          <w:sz w:val="22"/>
          <w:szCs w:val="22"/>
        </w:rPr>
        <w:t xml:space="preserve"> del procedimiento. Contiene, en definitiva, todos los documentos necesarios para fundamentar la decisión adoptada.</w:t>
      </w:r>
    </w:p>
    <w:p w14:paraId="71B8F1B6" w14:textId="13A41446" w:rsidR="0025454A" w:rsidRPr="000B50DF" w:rsidRDefault="0025454A" w:rsidP="0025454A">
      <w:pPr>
        <w:autoSpaceDE w:val="0"/>
        <w:autoSpaceDN w:val="0"/>
        <w:adjustRightInd w:val="0"/>
        <w:jc w:val="both"/>
        <w:rPr>
          <w:rFonts w:ascii="TimesNewRoman" w:hAnsi="TimesNewRoman" w:cs="TimesNewRoman"/>
          <w:color w:val="000000" w:themeColor="text1"/>
          <w:sz w:val="22"/>
          <w:szCs w:val="22"/>
        </w:rPr>
      </w:pPr>
      <w:r w:rsidRPr="000B50DF">
        <w:rPr>
          <w:rFonts w:ascii="TimesNewRoman" w:hAnsi="TimesNewRoman" w:cs="TimesNewRoman"/>
          <w:color w:val="000000" w:themeColor="text1"/>
          <w:sz w:val="22"/>
          <w:szCs w:val="22"/>
        </w:rPr>
        <w:t>En lo que se refiere a la nulidad de pleno derecho del procedimiento, el artículo 39.1 de la LCSP se limita a remitir a las causas de nulidad previstas en el artículo 47 de la Ley 39/2015. A su vez, el artículo 47.1.a) reserva la nulidad de pleno derecho a los actos que lesionen derechos y libertades susceptibles de amparo constitucional. Se trata, por tanto, de una causa excepcional, que exige acreditar una lesión efectiva y material de un derecho fundamental, y no la mera invocación de una infracción de los principios generales de la contratación pública.</w:t>
      </w:r>
    </w:p>
    <w:p w14:paraId="2DE66ADC" w14:textId="77777777" w:rsidR="00052D03" w:rsidRPr="000B50DF" w:rsidRDefault="00052D03" w:rsidP="0025454A">
      <w:pPr>
        <w:autoSpaceDE w:val="0"/>
        <w:autoSpaceDN w:val="0"/>
        <w:adjustRightInd w:val="0"/>
        <w:jc w:val="both"/>
        <w:rPr>
          <w:rFonts w:ascii="TimesNewRoman" w:hAnsi="TimesNewRoman" w:cs="TimesNewRoman"/>
          <w:color w:val="000000" w:themeColor="text1"/>
          <w:sz w:val="22"/>
          <w:szCs w:val="22"/>
        </w:rPr>
      </w:pPr>
    </w:p>
    <w:p w14:paraId="7288F8A3" w14:textId="278F8B53" w:rsidR="002151D5" w:rsidRPr="000B50DF" w:rsidRDefault="006379C9" w:rsidP="002151D5">
      <w:pPr>
        <w:autoSpaceDE w:val="0"/>
        <w:autoSpaceDN w:val="0"/>
        <w:adjustRightInd w:val="0"/>
        <w:spacing w:after="240"/>
        <w:jc w:val="both"/>
        <w:rPr>
          <w:b/>
          <w:bCs/>
          <w:color w:val="000000" w:themeColor="text1"/>
          <w:sz w:val="22"/>
          <w:szCs w:val="22"/>
        </w:rPr>
      </w:pPr>
      <w:r w:rsidRPr="000B50DF">
        <w:rPr>
          <w:b/>
          <w:bCs/>
          <w:color w:val="000000" w:themeColor="text1"/>
          <w:sz w:val="22"/>
          <w:szCs w:val="22"/>
        </w:rPr>
        <w:t>NOVENO</w:t>
      </w:r>
      <w:r w:rsidR="00935D8E" w:rsidRPr="000B50DF">
        <w:rPr>
          <w:b/>
          <w:bCs/>
          <w:color w:val="000000" w:themeColor="text1"/>
          <w:sz w:val="22"/>
          <w:szCs w:val="22"/>
        </w:rPr>
        <w:t>. –</w:t>
      </w:r>
      <w:r w:rsidR="002151D5" w:rsidRPr="000B50DF">
        <w:rPr>
          <w:color w:val="000000" w:themeColor="text1"/>
          <w:sz w:val="22"/>
          <w:szCs w:val="22"/>
        </w:rPr>
        <w:t>Expuestas las posturas de las partes, el análisis pertinente de las alegaciones contenidas en el recurso especial debe limitarse a comprobar si se han respetado las pautas jurídicas exigibles, como es el cumplimiento de los criterios de valoración recogidos en los pliegos que rigen la licitación, en la ausencia de arbitrariedad y en la inexistencia de errores materiales que hayan viciado la selección de la mejor oferta (Resolución OAFRC 10/2022, de 8 de abril).</w:t>
      </w:r>
      <w:r w:rsidR="00721E9C" w:rsidRPr="000B50DF">
        <w:rPr>
          <w:b/>
          <w:bCs/>
          <w:color w:val="000000" w:themeColor="text1"/>
          <w:sz w:val="22"/>
          <w:szCs w:val="22"/>
        </w:rPr>
        <w:t xml:space="preserve"> </w:t>
      </w:r>
    </w:p>
    <w:p w14:paraId="15C7FCCB" w14:textId="0BB78AD1" w:rsidR="007072A4" w:rsidRPr="000B50DF" w:rsidRDefault="007072A4" w:rsidP="002151D5">
      <w:pPr>
        <w:autoSpaceDE w:val="0"/>
        <w:autoSpaceDN w:val="0"/>
        <w:adjustRightInd w:val="0"/>
        <w:spacing w:after="240"/>
        <w:jc w:val="both"/>
        <w:rPr>
          <w:bCs/>
          <w:color w:val="000000" w:themeColor="text1"/>
          <w:sz w:val="22"/>
          <w:szCs w:val="22"/>
        </w:rPr>
      </w:pPr>
      <w:r w:rsidRPr="000B50DF">
        <w:rPr>
          <w:color w:val="000000" w:themeColor="text1"/>
          <w:sz w:val="22"/>
          <w:szCs w:val="22"/>
        </w:rPr>
        <w:t>Respecto del fundamento de la discrecionalidad técnica de la administración, en la</w:t>
      </w:r>
      <w:r w:rsidRPr="000B50DF">
        <w:rPr>
          <w:bCs/>
          <w:color w:val="000000" w:themeColor="text1"/>
          <w:sz w:val="22"/>
          <w:szCs w:val="22"/>
        </w:rPr>
        <w:t xml:space="preserve"> Resolución 034/2022, de 16 de febrero, del Órgano de Recursos Contractuales de Euskadi,</w:t>
      </w:r>
      <w:r w:rsidRPr="000B50DF">
        <w:rPr>
          <w:color w:val="000000" w:themeColor="text1"/>
        </w:rPr>
        <w:t xml:space="preserve"> </w:t>
      </w:r>
      <w:r w:rsidRPr="000B50DF">
        <w:rPr>
          <w:bCs/>
          <w:color w:val="000000" w:themeColor="text1"/>
          <w:sz w:val="22"/>
          <w:szCs w:val="22"/>
        </w:rPr>
        <w:t>podemos encontrar en síntesis la doctrina actual la misma en materia contractual:</w:t>
      </w:r>
    </w:p>
    <w:p w14:paraId="24984DCD" w14:textId="77777777" w:rsidR="007072A4" w:rsidRPr="000B50DF" w:rsidRDefault="007072A4" w:rsidP="007072A4">
      <w:pPr>
        <w:ind w:left="708"/>
        <w:jc w:val="both"/>
        <w:rPr>
          <w:bCs/>
          <w:i/>
          <w:iCs/>
          <w:color w:val="000000" w:themeColor="text1"/>
          <w:sz w:val="22"/>
          <w:szCs w:val="22"/>
        </w:rPr>
      </w:pPr>
      <w:r w:rsidRPr="000B50DF">
        <w:rPr>
          <w:bCs/>
          <w:i/>
          <w:iCs/>
          <w:color w:val="000000" w:themeColor="text1"/>
          <w:sz w:val="22"/>
          <w:szCs w:val="22"/>
        </w:rPr>
        <w:t xml:space="preserve">“Como reiteradamente ha manifestado este Órgano (ver, por todas, su Resolución 092/2021) en virtud de la discrecionalidad técnica, el poder adjudicador goza de un cierto margen en la aplicación de los criterios de adjudicación de apreciación subjetiva, de manera que no es revisable por este Órgano todo lo referido a los juicios técnicos emitidos al respecto. En cambio, sí debe verificarse el respeto a los límites generales jurídicamente impuestos a la actividad discrecional no técnica de la Administración, que se refieren a la competencia del órgano, procedimiento, hechos determinantes, adecuación al fin perseguido y al juego de los principios generales del derecho. Los citados límites impiden la fiscalización del llamado “núcleo material de la decisión" (el estricto juicio o dictamen técnico), pero no el de sus "aledaños", que comprenden, de un lado, las actividades preparatorias o instrumentales que rodean a ese estricto juicio técnico para hacerlo posible y, de otro, las pautas jurídicas que también son exigibles a dichas actividades, como el respeto al principio de igualdad de trato y no discriminación </w:t>
      </w:r>
      <w:r w:rsidRPr="000B50DF">
        <w:rPr>
          <w:bCs/>
          <w:i/>
          <w:iCs/>
          <w:color w:val="000000" w:themeColor="text1"/>
          <w:sz w:val="22"/>
          <w:szCs w:val="22"/>
        </w:rPr>
        <w:lastRenderedPageBreak/>
        <w:t>y la interdicción de la arbitrariedad (ver, por ejemplo, la sentencia del Tribunal Supremo de 19 de julio de 2010, recurso 950/2008, ECLI:ES:TS:2010:4043 y la Resolución 209/2019 del OARC / KEAO).</w:t>
      </w:r>
    </w:p>
    <w:p w14:paraId="01ED8027" w14:textId="77777777" w:rsidR="007072A4" w:rsidRPr="000B50DF" w:rsidRDefault="007072A4" w:rsidP="007072A4">
      <w:pPr>
        <w:ind w:left="708"/>
        <w:jc w:val="both"/>
        <w:rPr>
          <w:bCs/>
          <w:i/>
          <w:iCs/>
          <w:color w:val="000000" w:themeColor="text1"/>
          <w:sz w:val="22"/>
          <w:szCs w:val="22"/>
        </w:rPr>
      </w:pPr>
    </w:p>
    <w:p w14:paraId="0F5A0102" w14:textId="77777777" w:rsidR="007072A4" w:rsidRPr="000B50DF" w:rsidRDefault="007072A4" w:rsidP="007072A4">
      <w:pPr>
        <w:ind w:left="708"/>
        <w:jc w:val="both"/>
        <w:rPr>
          <w:bCs/>
          <w:i/>
          <w:iCs/>
          <w:color w:val="000000" w:themeColor="text1"/>
          <w:sz w:val="22"/>
          <w:szCs w:val="22"/>
        </w:rPr>
      </w:pPr>
      <w:r w:rsidRPr="000B50DF">
        <w:rPr>
          <w:bCs/>
          <w:i/>
          <w:iCs/>
          <w:color w:val="000000" w:themeColor="text1"/>
          <w:sz w:val="22"/>
          <w:szCs w:val="22"/>
        </w:rPr>
        <w:t xml:space="preserve">Sobre el contenido mínimo que debe satisfacer la motivación de la adjudicación para cumplir las funciones que la LCSP le encomienda, como posibilitar a los interesados la interposición de un recurso debidamente fundado (artículo 151.2 de la LCSP) y facilitar a este Órgano el control del ejercicio de la discrecionalidad técnica que ampara al poder adjudicador, se ha pronunciado el OARC / KEAO en reiteradas ocasiones (ver, por todas, su Resolución 209/2019). En síntesis, </w:t>
      </w:r>
      <w:bookmarkStart w:id="2" w:name="_Hlk100059865"/>
      <w:r w:rsidRPr="000B50DF">
        <w:rPr>
          <w:bCs/>
          <w:i/>
          <w:iCs/>
          <w:color w:val="000000" w:themeColor="text1"/>
          <w:sz w:val="22"/>
          <w:szCs w:val="22"/>
        </w:rPr>
        <w:t>la motivación debe expresar el material o las fuentes de información sobre las que va a operar el juicio técnico, consignar los criterios de valoración que se utilizarán para emitir dicho juicio técnico y expresar por qué la aplicación de esos criterios conduce al resultado individualizado que otorga la preferencia a un licitador frente a los demás</w:t>
      </w:r>
      <w:bookmarkEnd w:id="2"/>
      <w:r w:rsidRPr="000B50DF">
        <w:rPr>
          <w:bCs/>
          <w:i/>
          <w:iCs/>
          <w:color w:val="000000" w:themeColor="text1"/>
          <w:sz w:val="22"/>
          <w:szCs w:val="22"/>
        </w:rPr>
        <w:t>; una vez satisfechos estos requisitos, no hay obligación de que la motivación se ajuste a un esquema formal concreto.”</w:t>
      </w:r>
    </w:p>
    <w:p w14:paraId="4230FE1A" w14:textId="77777777" w:rsidR="00F1554A" w:rsidRPr="000B50DF" w:rsidRDefault="00F1554A" w:rsidP="00F1554A">
      <w:pPr>
        <w:autoSpaceDE w:val="0"/>
        <w:autoSpaceDN w:val="0"/>
        <w:adjustRightInd w:val="0"/>
        <w:jc w:val="both"/>
        <w:rPr>
          <w:rFonts w:ascii="TimesNewRoman" w:hAnsi="TimesNewRoman" w:cs="TimesNewRoman"/>
          <w:color w:val="000000" w:themeColor="text1"/>
          <w:sz w:val="22"/>
          <w:szCs w:val="22"/>
        </w:rPr>
      </w:pPr>
    </w:p>
    <w:p w14:paraId="2C738203" w14:textId="024C4D98" w:rsidR="00350A5F" w:rsidRPr="000B50DF" w:rsidRDefault="00F640B5" w:rsidP="00112F6B">
      <w:pPr>
        <w:autoSpaceDE w:val="0"/>
        <w:autoSpaceDN w:val="0"/>
        <w:adjustRightInd w:val="0"/>
        <w:jc w:val="both"/>
        <w:rPr>
          <w:color w:val="000000" w:themeColor="text1"/>
          <w:sz w:val="22"/>
          <w:szCs w:val="22"/>
        </w:rPr>
      </w:pPr>
      <w:r w:rsidRPr="000B50DF">
        <w:rPr>
          <w:b/>
          <w:bCs/>
          <w:color w:val="000000" w:themeColor="text1"/>
          <w:sz w:val="22"/>
          <w:szCs w:val="22"/>
        </w:rPr>
        <w:t>DÉCIMO</w:t>
      </w:r>
      <w:r w:rsidR="00350A5F" w:rsidRPr="000B50DF">
        <w:rPr>
          <w:b/>
          <w:bCs/>
          <w:color w:val="000000" w:themeColor="text1"/>
          <w:sz w:val="22"/>
          <w:szCs w:val="22"/>
        </w:rPr>
        <w:t>. –</w:t>
      </w:r>
      <w:r w:rsidR="003C7545" w:rsidRPr="000B50DF">
        <w:rPr>
          <w:b/>
          <w:bCs/>
          <w:color w:val="000000" w:themeColor="text1"/>
          <w:sz w:val="22"/>
          <w:szCs w:val="22"/>
        </w:rPr>
        <w:t xml:space="preserve"> </w:t>
      </w:r>
      <w:r w:rsidR="003C7545" w:rsidRPr="000B50DF">
        <w:rPr>
          <w:color w:val="000000" w:themeColor="text1"/>
          <w:sz w:val="22"/>
          <w:szCs w:val="22"/>
        </w:rPr>
        <w:t xml:space="preserve">Las alegaciones de la UTE IFBS INNOVAE OROI marcadas con los ordinales </w:t>
      </w:r>
      <w:r w:rsidR="00CC0256" w:rsidRPr="000B50DF">
        <w:rPr>
          <w:color w:val="000000" w:themeColor="text1"/>
          <w:sz w:val="22"/>
          <w:szCs w:val="22"/>
        </w:rPr>
        <w:t>(i), (</w:t>
      </w:r>
      <w:proofErr w:type="spellStart"/>
      <w:r w:rsidR="00CC0256" w:rsidRPr="000B50DF">
        <w:rPr>
          <w:color w:val="000000" w:themeColor="text1"/>
          <w:sz w:val="22"/>
          <w:szCs w:val="22"/>
        </w:rPr>
        <w:t>iii</w:t>
      </w:r>
      <w:proofErr w:type="spellEnd"/>
      <w:r w:rsidR="00CC0256" w:rsidRPr="000B50DF">
        <w:rPr>
          <w:color w:val="000000" w:themeColor="text1"/>
          <w:sz w:val="22"/>
          <w:szCs w:val="22"/>
        </w:rPr>
        <w:t>) y (</w:t>
      </w:r>
      <w:proofErr w:type="spellStart"/>
      <w:r w:rsidR="00CC0256" w:rsidRPr="000B50DF">
        <w:rPr>
          <w:color w:val="000000" w:themeColor="text1"/>
          <w:sz w:val="22"/>
          <w:szCs w:val="22"/>
        </w:rPr>
        <w:t>iv</w:t>
      </w:r>
      <w:proofErr w:type="spellEnd"/>
      <w:r w:rsidR="00CC0256" w:rsidRPr="000B50DF">
        <w:rPr>
          <w:color w:val="000000" w:themeColor="text1"/>
          <w:sz w:val="22"/>
          <w:szCs w:val="22"/>
        </w:rPr>
        <w:t>) se relacionan con el criterio de adjudicación marcado con el número 1 en el apartado M) de la carátula:</w:t>
      </w:r>
    </w:p>
    <w:p w14:paraId="5736438F" w14:textId="77777777" w:rsidR="00CC0256" w:rsidRPr="000B50DF" w:rsidRDefault="00CC0256" w:rsidP="00112F6B">
      <w:pPr>
        <w:autoSpaceDE w:val="0"/>
        <w:autoSpaceDN w:val="0"/>
        <w:adjustRightInd w:val="0"/>
        <w:jc w:val="both"/>
        <w:rPr>
          <w:color w:val="000000" w:themeColor="text1"/>
          <w:sz w:val="22"/>
          <w:szCs w:val="22"/>
        </w:rPr>
      </w:pPr>
    </w:p>
    <w:p w14:paraId="5E87C013" w14:textId="5E55E48D" w:rsidR="00CC0256" w:rsidRPr="000B50DF" w:rsidRDefault="00CC0256" w:rsidP="00CC0256">
      <w:pPr>
        <w:autoSpaceDE w:val="0"/>
        <w:autoSpaceDN w:val="0"/>
        <w:adjustRightInd w:val="0"/>
        <w:jc w:val="both"/>
        <w:rPr>
          <w:i/>
          <w:iCs/>
          <w:color w:val="000000" w:themeColor="text1"/>
          <w:sz w:val="22"/>
          <w:szCs w:val="22"/>
        </w:rPr>
      </w:pPr>
      <w:r w:rsidRPr="000B50DF">
        <w:rPr>
          <w:color w:val="000000" w:themeColor="text1"/>
          <w:sz w:val="22"/>
          <w:szCs w:val="22"/>
        </w:rPr>
        <w:t xml:space="preserve">“1. </w:t>
      </w:r>
      <w:r w:rsidRPr="000B50DF">
        <w:rPr>
          <w:i/>
          <w:iCs/>
          <w:color w:val="000000" w:themeColor="text1"/>
          <w:sz w:val="22"/>
          <w:szCs w:val="22"/>
        </w:rPr>
        <w:t>Contenidos incluidos en el software – descripción y beneficios (hasta 10 puntos)</w:t>
      </w:r>
    </w:p>
    <w:p w14:paraId="49070823" w14:textId="77777777" w:rsidR="00CC0256" w:rsidRPr="000B50DF" w:rsidRDefault="00CC0256" w:rsidP="00CC0256">
      <w:pPr>
        <w:pStyle w:val="Prrafodelista"/>
        <w:autoSpaceDE w:val="0"/>
        <w:autoSpaceDN w:val="0"/>
        <w:adjustRightInd w:val="0"/>
        <w:jc w:val="both"/>
        <w:rPr>
          <w:i/>
          <w:iCs/>
          <w:color w:val="000000" w:themeColor="text1"/>
          <w:sz w:val="22"/>
          <w:szCs w:val="22"/>
        </w:rPr>
      </w:pPr>
    </w:p>
    <w:p w14:paraId="778D1E73" w14:textId="0C48759C" w:rsidR="00CC0256" w:rsidRPr="000B50DF" w:rsidRDefault="00CC0256" w:rsidP="00994612">
      <w:pPr>
        <w:pStyle w:val="Prrafodelista"/>
        <w:numPr>
          <w:ilvl w:val="0"/>
          <w:numId w:val="33"/>
        </w:numPr>
        <w:autoSpaceDE w:val="0"/>
        <w:autoSpaceDN w:val="0"/>
        <w:adjustRightInd w:val="0"/>
        <w:jc w:val="both"/>
        <w:rPr>
          <w:i/>
          <w:iCs/>
          <w:color w:val="000000" w:themeColor="text1"/>
          <w:sz w:val="22"/>
          <w:szCs w:val="22"/>
        </w:rPr>
      </w:pPr>
      <w:r w:rsidRPr="000B50DF">
        <w:rPr>
          <w:i/>
          <w:iCs/>
          <w:color w:val="000000" w:themeColor="text1"/>
          <w:sz w:val="22"/>
          <w:szCs w:val="22"/>
        </w:rPr>
        <w:t>Objetivos específicos de cada contenido: terapéuticos, cognitivos, emocionales, recreativos, etc. Se valorará la inclusión de un contenido interactivo. Hasta 2,5 puntos.</w:t>
      </w:r>
    </w:p>
    <w:p w14:paraId="176AACD2" w14:textId="4AD7D2C8" w:rsidR="00CC0256" w:rsidRPr="000B50DF" w:rsidRDefault="00CC0256" w:rsidP="008A0544">
      <w:pPr>
        <w:pStyle w:val="Prrafodelista"/>
        <w:numPr>
          <w:ilvl w:val="0"/>
          <w:numId w:val="33"/>
        </w:numPr>
        <w:autoSpaceDE w:val="0"/>
        <w:autoSpaceDN w:val="0"/>
        <w:adjustRightInd w:val="0"/>
        <w:jc w:val="both"/>
        <w:rPr>
          <w:i/>
          <w:iCs/>
          <w:color w:val="000000" w:themeColor="text1"/>
          <w:sz w:val="22"/>
          <w:szCs w:val="22"/>
        </w:rPr>
      </w:pPr>
      <w:r w:rsidRPr="000B50DF">
        <w:rPr>
          <w:i/>
          <w:iCs/>
          <w:color w:val="000000" w:themeColor="text1"/>
          <w:sz w:val="22"/>
          <w:szCs w:val="22"/>
        </w:rPr>
        <w:t>Explicación de la metodología empleada para alcanzar los objetivos anteriores. Hasta 2,5 puntos.</w:t>
      </w:r>
    </w:p>
    <w:p w14:paraId="0047C0A7" w14:textId="5CFBAD39" w:rsidR="00CC0256" w:rsidRPr="000B50DF" w:rsidRDefault="00CC0256" w:rsidP="00846AA9">
      <w:pPr>
        <w:pStyle w:val="Prrafodelista"/>
        <w:numPr>
          <w:ilvl w:val="0"/>
          <w:numId w:val="33"/>
        </w:numPr>
        <w:autoSpaceDE w:val="0"/>
        <w:autoSpaceDN w:val="0"/>
        <w:adjustRightInd w:val="0"/>
        <w:jc w:val="both"/>
        <w:rPr>
          <w:i/>
          <w:iCs/>
          <w:color w:val="000000" w:themeColor="text1"/>
          <w:sz w:val="22"/>
          <w:szCs w:val="22"/>
        </w:rPr>
      </w:pPr>
      <w:r w:rsidRPr="000B50DF">
        <w:rPr>
          <w:i/>
          <w:iCs/>
          <w:color w:val="000000" w:themeColor="text1"/>
          <w:sz w:val="22"/>
          <w:szCs w:val="22"/>
        </w:rPr>
        <w:t>Inclusión de experiencias o referencias metodológicas que respalden su eficacia. Hasta 2,5 puntos.</w:t>
      </w:r>
    </w:p>
    <w:p w14:paraId="6D378F56" w14:textId="053E7450" w:rsidR="00CC0256" w:rsidRPr="000B50DF" w:rsidRDefault="00CC0256" w:rsidP="00C67C86">
      <w:pPr>
        <w:pStyle w:val="Prrafodelista"/>
        <w:numPr>
          <w:ilvl w:val="0"/>
          <w:numId w:val="33"/>
        </w:numPr>
        <w:autoSpaceDE w:val="0"/>
        <w:autoSpaceDN w:val="0"/>
        <w:adjustRightInd w:val="0"/>
        <w:jc w:val="both"/>
        <w:rPr>
          <w:i/>
          <w:iCs/>
          <w:color w:val="000000" w:themeColor="text1"/>
          <w:sz w:val="22"/>
          <w:szCs w:val="22"/>
        </w:rPr>
      </w:pPr>
      <w:r w:rsidRPr="000B50DF">
        <w:rPr>
          <w:i/>
          <w:iCs/>
          <w:color w:val="000000" w:themeColor="text1"/>
          <w:sz w:val="22"/>
          <w:szCs w:val="22"/>
        </w:rPr>
        <w:t>Adaptación de los contenidos al perfil del colectivo usuario (personas mayores, personas con discapacidad, personas con autismo). Hasta 2,5 puntos”.</w:t>
      </w:r>
    </w:p>
    <w:p w14:paraId="74FC5455" w14:textId="77777777" w:rsidR="00350A5F" w:rsidRPr="000B50DF" w:rsidRDefault="00350A5F" w:rsidP="00112F6B">
      <w:pPr>
        <w:autoSpaceDE w:val="0"/>
        <w:autoSpaceDN w:val="0"/>
        <w:adjustRightInd w:val="0"/>
        <w:jc w:val="both"/>
        <w:rPr>
          <w:color w:val="000000" w:themeColor="text1"/>
          <w:sz w:val="22"/>
          <w:szCs w:val="22"/>
        </w:rPr>
      </w:pPr>
    </w:p>
    <w:p w14:paraId="7C8BDAF6" w14:textId="1DA7CDBE" w:rsidR="00CC0256" w:rsidRPr="000B50DF" w:rsidRDefault="00AE0DAB" w:rsidP="00112F6B">
      <w:pPr>
        <w:autoSpaceDE w:val="0"/>
        <w:autoSpaceDN w:val="0"/>
        <w:adjustRightInd w:val="0"/>
        <w:jc w:val="both"/>
        <w:rPr>
          <w:color w:val="000000" w:themeColor="text1"/>
          <w:sz w:val="22"/>
          <w:szCs w:val="22"/>
        </w:rPr>
      </w:pPr>
      <w:r w:rsidRPr="000B50DF">
        <w:rPr>
          <w:color w:val="000000" w:themeColor="text1"/>
          <w:sz w:val="22"/>
          <w:szCs w:val="22"/>
        </w:rPr>
        <w:t>El recurso basa su disconformidad en tres extremos:</w:t>
      </w:r>
    </w:p>
    <w:p w14:paraId="34B2E5CB" w14:textId="77777777" w:rsidR="00AE0DAB" w:rsidRPr="000B50DF" w:rsidRDefault="00AE0DAB" w:rsidP="00112F6B">
      <w:pPr>
        <w:autoSpaceDE w:val="0"/>
        <w:autoSpaceDN w:val="0"/>
        <w:adjustRightInd w:val="0"/>
        <w:jc w:val="both"/>
        <w:rPr>
          <w:color w:val="000000" w:themeColor="text1"/>
          <w:sz w:val="22"/>
          <w:szCs w:val="22"/>
        </w:rPr>
      </w:pPr>
    </w:p>
    <w:p w14:paraId="62949E65" w14:textId="77777777" w:rsidR="004711A8" w:rsidRPr="000B50DF" w:rsidRDefault="00AE0DAB" w:rsidP="00AE0DAB">
      <w:pPr>
        <w:pStyle w:val="Prrafodelista"/>
        <w:numPr>
          <w:ilvl w:val="0"/>
          <w:numId w:val="36"/>
        </w:numPr>
        <w:autoSpaceDE w:val="0"/>
        <w:autoSpaceDN w:val="0"/>
        <w:adjustRightInd w:val="0"/>
        <w:jc w:val="both"/>
        <w:rPr>
          <w:color w:val="000000" w:themeColor="text1"/>
          <w:sz w:val="22"/>
          <w:szCs w:val="22"/>
        </w:rPr>
      </w:pPr>
      <w:r w:rsidRPr="000B50DF">
        <w:rPr>
          <w:color w:val="000000" w:themeColor="text1"/>
          <w:sz w:val="22"/>
          <w:szCs w:val="22"/>
        </w:rPr>
        <w:t xml:space="preserve">En el primer apartado, únicamente se han tenido en cuenta para emitir la valoración los aspectos de su oferta vinculados al bienestar emocional. Incluye </w:t>
      </w:r>
      <w:r w:rsidR="004711A8" w:rsidRPr="000B50DF">
        <w:rPr>
          <w:color w:val="000000" w:themeColor="text1"/>
          <w:sz w:val="22"/>
          <w:szCs w:val="22"/>
        </w:rPr>
        <w:t xml:space="preserve">su relación de contenidos, en los que se verifica la existencia de otro tipo de objetivos específicos. </w:t>
      </w:r>
    </w:p>
    <w:p w14:paraId="1DCF0E4E" w14:textId="77777777" w:rsidR="004711A8" w:rsidRPr="000B50DF" w:rsidRDefault="004711A8" w:rsidP="004711A8">
      <w:pPr>
        <w:autoSpaceDE w:val="0"/>
        <w:autoSpaceDN w:val="0"/>
        <w:adjustRightInd w:val="0"/>
        <w:jc w:val="both"/>
        <w:rPr>
          <w:color w:val="000000" w:themeColor="text1"/>
          <w:sz w:val="22"/>
          <w:szCs w:val="22"/>
        </w:rPr>
      </w:pPr>
    </w:p>
    <w:p w14:paraId="31E61505" w14:textId="5D1160BA" w:rsidR="004711A8" w:rsidRPr="000B50DF" w:rsidRDefault="004711A8" w:rsidP="004711A8">
      <w:pPr>
        <w:autoSpaceDE w:val="0"/>
        <w:autoSpaceDN w:val="0"/>
        <w:adjustRightInd w:val="0"/>
        <w:jc w:val="both"/>
        <w:rPr>
          <w:color w:val="000000" w:themeColor="text1"/>
          <w:sz w:val="22"/>
          <w:szCs w:val="22"/>
        </w:rPr>
      </w:pPr>
      <w:r w:rsidRPr="000B50DF">
        <w:rPr>
          <w:color w:val="000000" w:themeColor="text1"/>
          <w:sz w:val="22"/>
          <w:szCs w:val="22"/>
        </w:rPr>
        <w:t>El órgano de contratación replica en su informe sobre el recurso que la referencia al bienestar emocional es solo uno de los objetivos que se han tenido en cuenta. Además, dice que se trata de una valoración sobre el grado de desarrollo y concreción con el que esos objetivos son expuestos en la memoria.</w:t>
      </w:r>
    </w:p>
    <w:p w14:paraId="268A3805" w14:textId="77777777" w:rsidR="004711A8" w:rsidRPr="000B50DF" w:rsidRDefault="004711A8" w:rsidP="004711A8">
      <w:pPr>
        <w:autoSpaceDE w:val="0"/>
        <w:autoSpaceDN w:val="0"/>
        <w:adjustRightInd w:val="0"/>
        <w:jc w:val="both"/>
        <w:rPr>
          <w:color w:val="000000" w:themeColor="text1"/>
          <w:sz w:val="22"/>
          <w:szCs w:val="22"/>
        </w:rPr>
      </w:pPr>
    </w:p>
    <w:p w14:paraId="31F408F2" w14:textId="1D14642F" w:rsidR="00AE0DAB" w:rsidRPr="000B50DF" w:rsidRDefault="004711A8" w:rsidP="004711A8">
      <w:pPr>
        <w:autoSpaceDE w:val="0"/>
        <w:autoSpaceDN w:val="0"/>
        <w:adjustRightInd w:val="0"/>
        <w:jc w:val="both"/>
        <w:rPr>
          <w:color w:val="000000" w:themeColor="text1"/>
          <w:sz w:val="22"/>
          <w:szCs w:val="22"/>
        </w:rPr>
      </w:pPr>
      <w:r w:rsidRPr="000B50DF">
        <w:rPr>
          <w:color w:val="000000" w:themeColor="text1"/>
          <w:sz w:val="22"/>
          <w:szCs w:val="22"/>
        </w:rPr>
        <w:t>La literalidad del informe de valoración en este punto es la siguiente:</w:t>
      </w:r>
    </w:p>
    <w:p w14:paraId="5D9DA54D" w14:textId="77777777" w:rsidR="004711A8" w:rsidRPr="000B50DF" w:rsidRDefault="004711A8" w:rsidP="004711A8">
      <w:pPr>
        <w:autoSpaceDE w:val="0"/>
        <w:autoSpaceDN w:val="0"/>
        <w:adjustRightInd w:val="0"/>
        <w:jc w:val="both"/>
        <w:rPr>
          <w:color w:val="000000" w:themeColor="text1"/>
          <w:sz w:val="22"/>
          <w:szCs w:val="22"/>
        </w:rPr>
      </w:pPr>
    </w:p>
    <w:p w14:paraId="1026632D" w14:textId="56CC1774" w:rsidR="004711A8" w:rsidRPr="000B50DF" w:rsidRDefault="004711A8" w:rsidP="004711A8">
      <w:pPr>
        <w:autoSpaceDE w:val="0"/>
        <w:autoSpaceDN w:val="0"/>
        <w:adjustRightInd w:val="0"/>
        <w:jc w:val="both"/>
        <w:rPr>
          <w:color w:val="000000" w:themeColor="text1"/>
          <w:sz w:val="22"/>
          <w:szCs w:val="22"/>
        </w:rPr>
      </w:pPr>
      <w:r w:rsidRPr="000B50DF">
        <w:rPr>
          <w:color w:val="000000" w:themeColor="text1"/>
          <w:sz w:val="22"/>
          <w:szCs w:val="22"/>
        </w:rPr>
        <w:t>“</w:t>
      </w:r>
      <w:r w:rsidRPr="000B50DF">
        <w:rPr>
          <w:i/>
          <w:iCs/>
          <w:color w:val="000000" w:themeColor="text1"/>
          <w:sz w:val="22"/>
          <w:szCs w:val="22"/>
        </w:rPr>
        <w:t>Sin embargo, parte de un objetivo general común para la mayoría de los contenidos —el bienestar emocional— y, desde ahí, va asociando objetivos a cada experiencia concreta y en muchos casos esos “objetivos específicos” se parecen más a una clasificación temática del contenido que a una definición precisa de su finalidad terapéutica o funcional. En varios ejemplos predominan expresiones como cultura, turismo, historia o naturaleza, que describen más bien el tema del contenido que el objetivo de intervención perseguido para los colectivos destinatarios</w:t>
      </w:r>
      <w:r w:rsidRPr="000B50DF">
        <w:rPr>
          <w:color w:val="000000" w:themeColor="text1"/>
          <w:sz w:val="22"/>
          <w:szCs w:val="22"/>
        </w:rPr>
        <w:t>”.</w:t>
      </w:r>
    </w:p>
    <w:p w14:paraId="111659A7" w14:textId="77777777" w:rsidR="00CC0256" w:rsidRPr="000B50DF" w:rsidRDefault="00CC0256" w:rsidP="00112F6B">
      <w:pPr>
        <w:autoSpaceDE w:val="0"/>
        <w:autoSpaceDN w:val="0"/>
        <w:adjustRightInd w:val="0"/>
        <w:jc w:val="both"/>
        <w:rPr>
          <w:b/>
          <w:bCs/>
          <w:color w:val="000000" w:themeColor="text1"/>
          <w:sz w:val="22"/>
          <w:szCs w:val="22"/>
        </w:rPr>
      </w:pPr>
    </w:p>
    <w:p w14:paraId="792D0AAB" w14:textId="10FB1647" w:rsidR="00E41466" w:rsidRPr="000B50DF" w:rsidRDefault="007E2FEB" w:rsidP="00F83893">
      <w:pPr>
        <w:autoSpaceDE w:val="0"/>
        <w:autoSpaceDN w:val="0"/>
        <w:adjustRightInd w:val="0"/>
        <w:jc w:val="both"/>
        <w:rPr>
          <w:color w:val="000000" w:themeColor="text1"/>
          <w:sz w:val="22"/>
          <w:szCs w:val="22"/>
        </w:rPr>
      </w:pPr>
      <w:r w:rsidRPr="000B50DF">
        <w:rPr>
          <w:color w:val="000000" w:themeColor="text1"/>
          <w:sz w:val="22"/>
          <w:szCs w:val="22"/>
        </w:rPr>
        <w:t>En el caso que nos ocupa, l</w:t>
      </w:r>
      <w:r w:rsidR="00F83893" w:rsidRPr="000B50DF">
        <w:rPr>
          <w:color w:val="000000" w:themeColor="text1"/>
          <w:sz w:val="22"/>
          <w:szCs w:val="22"/>
        </w:rPr>
        <w:t xml:space="preserve">a exclusión se produce porque la recurrente no ha alcanzado el umbral mínimo de puntuación establecido en los pliegos (apdo. M del CC), en concreto 25 puntos del total de 50 puntos que se pueden obtener en la valoración de los criterios no sujetos a fórmulas </w:t>
      </w:r>
      <w:r w:rsidR="00F83893" w:rsidRPr="000B50DF">
        <w:rPr>
          <w:color w:val="000000" w:themeColor="text1"/>
          <w:sz w:val="22"/>
          <w:szCs w:val="22"/>
        </w:rPr>
        <w:lastRenderedPageBreak/>
        <w:t xml:space="preserve">matemáticas o que dependen de un juicio de valor. </w:t>
      </w:r>
      <w:r w:rsidR="00E41466" w:rsidRPr="000B50DF">
        <w:rPr>
          <w:color w:val="000000" w:themeColor="text1"/>
          <w:sz w:val="22"/>
          <w:szCs w:val="22"/>
        </w:rPr>
        <w:t>La recurrente obtuvo 23,5</w:t>
      </w:r>
      <w:r w:rsidRPr="000B50DF">
        <w:rPr>
          <w:color w:val="000000" w:themeColor="text1"/>
          <w:sz w:val="22"/>
          <w:szCs w:val="22"/>
        </w:rPr>
        <w:t xml:space="preserve"> </w:t>
      </w:r>
      <w:r w:rsidR="00E41466" w:rsidRPr="000B50DF">
        <w:rPr>
          <w:color w:val="000000" w:themeColor="text1"/>
          <w:sz w:val="22"/>
          <w:szCs w:val="22"/>
        </w:rPr>
        <w:t>puntos, según se deduce del informe de valoración del sobre B, suscrito el 16 de abril de 2026, contenido en el expediente administrativo.</w:t>
      </w:r>
    </w:p>
    <w:p w14:paraId="0F60D350" w14:textId="77777777" w:rsidR="00E41466" w:rsidRPr="000B50DF" w:rsidRDefault="00E41466" w:rsidP="00F83893">
      <w:pPr>
        <w:autoSpaceDE w:val="0"/>
        <w:autoSpaceDN w:val="0"/>
        <w:adjustRightInd w:val="0"/>
        <w:jc w:val="both"/>
        <w:rPr>
          <w:color w:val="000000" w:themeColor="text1"/>
          <w:sz w:val="22"/>
          <w:szCs w:val="22"/>
        </w:rPr>
      </w:pPr>
    </w:p>
    <w:p w14:paraId="6E57AB3F" w14:textId="396BF013" w:rsidR="00F83893" w:rsidRPr="000B50DF" w:rsidRDefault="00F83893" w:rsidP="00F83893">
      <w:pPr>
        <w:autoSpaceDE w:val="0"/>
        <w:autoSpaceDN w:val="0"/>
        <w:adjustRightInd w:val="0"/>
        <w:jc w:val="both"/>
        <w:rPr>
          <w:color w:val="000000" w:themeColor="text1"/>
          <w:sz w:val="22"/>
          <w:szCs w:val="22"/>
        </w:rPr>
      </w:pPr>
      <w:r w:rsidRPr="000B50DF">
        <w:rPr>
          <w:color w:val="000000" w:themeColor="text1"/>
          <w:sz w:val="22"/>
          <w:szCs w:val="22"/>
        </w:rPr>
        <w:t xml:space="preserve">La exclusión </w:t>
      </w:r>
      <w:r w:rsidR="00E41466" w:rsidRPr="000B50DF">
        <w:rPr>
          <w:color w:val="000000" w:themeColor="text1"/>
          <w:sz w:val="22"/>
          <w:szCs w:val="22"/>
        </w:rPr>
        <w:t>por este motivo</w:t>
      </w:r>
      <w:r w:rsidRPr="000B50DF">
        <w:rPr>
          <w:color w:val="000000" w:themeColor="text1"/>
          <w:sz w:val="22"/>
          <w:szCs w:val="22"/>
        </w:rPr>
        <w:t xml:space="preserve"> opera como un filtro de calidad: las ofertas que no </w:t>
      </w:r>
      <w:r w:rsidR="00E41466" w:rsidRPr="000B50DF">
        <w:rPr>
          <w:color w:val="000000" w:themeColor="text1"/>
          <w:sz w:val="22"/>
          <w:szCs w:val="22"/>
        </w:rPr>
        <w:t>llegan al</w:t>
      </w:r>
      <w:r w:rsidRPr="000B50DF">
        <w:rPr>
          <w:color w:val="000000" w:themeColor="text1"/>
          <w:sz w:val="22"/>
          <w:szCs w:val="22"/>
        </w:rPr>
        <w:t xml:space="preserve"> mínimo técnico</w:t>
      </w:r>
      <w:r w:rsidR="00E41466" w:rsidRPr="000B50DF">
        <w:rPr>
          <w:color w:val="000000" w:themeColor="text1"/>
          <w:sz w:val="22"/>
          <w:szCs w:val="22"/>
        </w:rPr>
        <w:t xml:space="preserve"> quedan excluidas y no continúan en la licitación. El</w:t>
      </w:r>
      <w:r w:rsidRPr="000B50DF">
        <w:rPr>
          <w:color w:val="000000" w:themeColor="text1"/>
          <w:sz w:val="22"/>
          <w:szCs w:val="22"/>
        </w:rPr>
        <w:t xml:space="preserve"> umbral </w:t>
      </w:r>
      <w:r w:rsidR="00E41466" w:rsidRPr="000B50DF">
        <w:rPr>
          <w:color w:val="000000" w:themeColor="text1"/>
          <w:sz w:val="22"/>
          <w:szCs w:val="22"/>
        </w:rPr>
        <w:t>es consecuencia del resultado de la valoración de la oferta técnica, respetando en ese proceso</w:t>
      </w:r>
      <w:r w:rsidRPr="000B50DF">
        <w:rPr>
          <w:color w:val="000000" w:themeColor="text1"/>
          <w:sz w:val="22"/>
          <w:szCs w:val="22"/>
        </w:rPr>
        <w:t xml:space="preserve"> los principios de igualdad de trato, transparencia y no discriminación entre licitadores. </w:t>
      </w:r>
    </w:p>
    <w:p w14:paraId="3836F259" w14:textId="77777777" w:rsidR="00F83893" w:rsidRPr="000B50DF" w:rsidRDefault="00F83893" w:rsidP="00112F6B">
      <w:pPr>
        <w:autoSpaceDE w:val="0"/>
        <w:autoSpaceDN w:val="0"/>
        <w:adjustRightInd w:val="0"/>
        <w:jc w:val="both"/>
        <w:rPr>
          <w:color w:val="000000" w:themeColor="text1"/>
          <w:sz w:val="22"/>
          <w:szCs w:val="22"/>
        </w:rPr>
      </w:pPr>
    </w:p>
    <w:p w14:paraId="59D2DD52" w14:textId="70640F64" w:rsidR="00E41466" w:rsidRPr="000B50DF" w:rsidRDefault="007E2FEB" w:rsidP="00112F6B">
      <w:pPr>
        <w:autoSpaceDE w:val="0"/>
        <w:autoSpaceDN w:val="0"/>
        <w:adjustRightInd w:val="0"/>
        <w:jc w:val="both"/>
        <w:rPr>
          <w:color w:val="000000" w:themeColor="text1"/>
          <w:sz w:val="22"/>
          <w:szCs w:val="22"/>
        </w:rPr>
      </w:pPr>
      <w:r w:rsidRPr="000B50DF">
        <w:rPr>
          <w:color w:val="000000" w:themeColor="text1"/>
          <w:sz w:val="22"/>
          <w:szCs w:val="22"/>
        </w:rPr>
        <w:t>Como se ha dicho, e</w:t>
      </w:r>
      <w:r w:rsidR="00E41466" w:rsidRPr="000B50DF">
        <w:rPr>
          <w:color w:val="000000" w:themeColor="text1"/>
          <w:sz w:val="22"/>
          <w:szCs w:val="22"/>
        </w:rPr>
        <w:t xml:space="preserve">l OAFRC debe limitarse a comprobar que no hay errores manifiestos, que no hay arbitrariedad en la valoración o, lo que es lo mismo, que hay una motivación suficiente de la valoración realizada. En otras palabras, el OAFRC solo podrá revisar la </w:t>
      </w:r>
      <w:r w:rsidRPr="000B50DF">
        <w:rPr>
          <w:color w:val="000000" w:themeColor="text1"/>
          <w:sz w:val="22"/>
          <w:szCs w:val="22"/>
        </w:rPr>
        <w:t>valoración si</w:t>
      </w:r>
      <w:r w:rsidR="00E41466" w:rsidRPr="000B50DF">
        <w:rPr>
          <w:color w:val="000000" w:themeColor="text1"/>
          <w:sz w:val="22"/>
          <w:szCs w:val="22"/>
        </w:rPr>
        <w:t xml:space="preserve"> de la lectura del informe técnico y de las ofertas se desprende la existencia de un error patente, ya sea valoración de elementos inexistentes o una omisión injustificada de elementos relevantes de una oferta, o un trato desigual sin justificación, cabrá anular la valoración y ordenar una nueva, pero no sustituirla</w:t>
      </w:r>
      <w:r w:rsidR="00C84EEB" w:rsidRPr="000B50DF">
        <w:rPr>
          <w:color w:val="000000" w:themeColor="text1"/>
          <w:sz w:val="22"/>
          <w:szCs w:val="22"/>
        </w:rPr>
        <w:t>.</w:t>
      </w:r>
    </w:p>
    <w:p w14:paraId="6976503D" w14:textId="77777777" w:rsidR="00C84EEB" w:rsidRPr="000B50DF" w:rsidRDefault="00C84EEB" w:rsidP="00112F6B">
      <w:pPr>
        <w:autoSpaceDE w:val="0"/>
        <w:autoSpaceDN w:val="0"/>
        <w:adjustRightInd w:val="0"/>
        <w:jc w:val="both"/>
        <w:rPr>
          <w:color w:val="000000" w:themeColor="text1"/>
          <w:sz w:val="22"/>
          <w:szCs w:val="22"/>
        </w:rPr>
      </w:pPr>
    </w:p>
    <w:p w14:paraId="444C2F8D" w14:textId="77777777" w:rsidR="00C84EEB" w:rsidRPr="000B50DF" w:rsidRDefault="00C84EEB" w:rsidP="00C84EEB">
      <w:pPr>
        <w:autoSpaceDE w:val="0"/>
        <w:autoSpaceDN w:val="0"/>
        <w:adjustRightInd w:val="0"/>
        <w:jc w:val="both"/>
        <w:rPr>
          <w:color w:val="000000" w:themeColor="text1"/>
          <w:sz w:val="22"/>
          <w:szCs w:val="22"/>
        </w:rPr>
      </w:pPr>
      <w:r w:rsidRPr="000B50DF">
        <w:rPr>
          <w:color w:val="000000" w:themeColor="text1"/>
          <w:sz w:val="22"/>
          <w:szCs w:val="22"/>
        </w:rPr>
        <w:t>La recurrente sostiene que la valoración de los criterios sometidos a juicio de valor es arbitraria y que el informe técnico se centra únicamente en aspectos relacionados con el bienestar emocional.</w:t>
      </w:r>
    </w:p>
    <w:p w14:paraId="46FFF957" w14:textId="77777777" w:rsidR="00E41466" w:rsidRPr="000B50DF" w:rsidRDefault="00E41466" w:rsidP="00112F6B">
      <w:pPr>
        <w:autoSpaceDE w:val="0"/>
        <w:autoSpaceDN w:val="0"/>
        <w:adjustRightInd w:val="0"/>
        <w:jc w:val="both"/>
        <w:rPr>
          <w:color w:val="000000" w:themeColor="text1"/>
          <w:sz w:val="22"/>
          <w:szCs w:val="22"/>
        </w:rPr>
      </w:pPr>
    </w:p>
    <w:p w14:paraId="2F1737B8" w14:textId="180B014C" w:rsidR="00744E7E" w:rsidRPr="000B50DF" w:rsidRDefault="005A6412" w:rsidP="00112F6B">
      <w:pPr>
        <w:autoSpaceDE w:val="0"/>
        <w:autoSpaceDN w:val="0"/>
        <w:adjustRightInd w:val="0"/>
        <w:jc w:val="both"/>
        <w:rPr>
          <w:color w:val="000000" w:themeColor="text1"/>
          <w:sz w:val="22"/>
          <w:szCs w:val="22"/>
        </w:rPr>
      </w:pPr>
      <w:r w:rsidRPr="000B50DF">
        <w:rPr>
          <w:color w:val="000000" w:themeColor="text1"/>
          <w:sz w:val="22"/>
          <w:szCs w:val="22"/>
        </w:rPr>
        <w:t xml:space="preserve">El OAFRC ha comprobado </w:t>
      </w:r>
      <w:r w:rsidR="0023434C" w:rsidRPr="000B50DF">
        <w:rPr>
          <w:color w:val="000000" w:themeColor="text1"/>
          <w:sz w:val="22"/>
          <w:szCs w:val="22"/>
        </w:rPr>
        <w:t xml:space="preserve">directamente </w:t>
      </w:r>
      <w:r w:rsidRPr="000B50DF">
        <w:rPr>
          <w:color w:val="000000" w:themeColor="text1"/>
          <w:sz w:val="22"/>
          <w:szCs w:val="22"/>
        </w:rPr>
        <w:t>que</w:t>
      </w:r>
      <w:r w:rsidR="00655485" w:rsidRPr="000B50DF">
        <w:rPr>
          <w:color w:val="000000" w:themeColor="text1"/>
          <w:sz w:val="22"/>
          <w:szCs w:val="22"/>
        </w:rPr>
        <w:t>,</w:t>
      </w:r>
      <w:r w:rsidR="00744E7E" w:rsidRPr="000B50DF">
        <w:rPr>
          <w:color w:val="000000" w:themeColor="text1"/>
          <w:sz w:val="22"/>
          <w:szCs w:val="22"/>
        </w:rPr>
        <w:t xml:space="preserve"> en la memoria técnica de la recurrente, fechada el 12 de marzo de 2026, se dedica el </w:t>
      </w:r>
      <w:r w:rsidR="007E2FEB" w:rsidRPr="000B50DF">
        <w:rPr>
          <w:color w:val="000000" w:themeColor="text1"/>
          <w:sz w:val="22"/>
          <w:szCs w:val="22"/>
        </w:rPr>
        <w:t>apartado</w:t>
      </w:r>
      <w:r w:rsidR="00744E7E" w:rsidRPr="000B50DF">
        <w:rPr>
          <w:color w:val="000000" w:themeColor="text1"/>
          <w:sz w:val="22"/>
          <w:szCs w:val="22"/>
        </w:rPr>
        <w:t xml:space="preserve"> 2º a los contenidos incluidos en el software-descripción y beneficios, determinando en el apdo. 2.1 los “objetivos específicos de cada contenido”. </w:t>
      </w:r>
      <w:r w:rsidRPr="000B50DF">
        <w:rPr>
          <w:color w:val="000000" w:themeColor="text1"/>
          <w:sz w:val="22"/>
          <w:szCs w:val="22"/>
        </w:rPr>
        <w:t>Ahí</w:t>
      </w:r>
      <w:r w:rsidR="00744E7E" w:rsidRPr="000B50DF">
        <w:rPr>
          <w:color w:val="000000" w:themeColor="text1"/>
          <w:sz w:val="22"/>
          <w:szCs w:val="22"/>
        </w:rPr>
        <w:t xml:space="preserve"> se detalla</w:t>
      </w:r>
      <w:r w:rsidR="00655485" w:rsidRPr="000B50DF">
        <w:rPr>
          <w:color w:val="000000" w:themeColor="text1"/>
          <w:sz w:val="22"/>
          <w:szCs w:val="22"/>
        </w:rPr>
        <w:t xml:space="preserve"> que el objetivo general es de bienestar emocional, a través de diferentes experiencias, y luego se </w:t>
      </w:r>
      <w:r w:rsidRPr="000B50DF">
        <w:rPr>
          <w:color w:val="000000" w:themeColor="text1"/>
          <w:sz w:val="22"/>
          <w:szCs w:val="22"/>
        </w:rPr>
        <w:t>mencionan</w:t>
      </w:r>
      <w:r w:rsidR="00655485" w:rsidRPr="000B50DF">
        <w:rPr>
          <w:color w:val="000000" w:themeColor="text1"/>
          <w:sz w:val="22"/>
          <w:szCs w:val="22"/>
        </w:rPr>
        <w:t xml:space="preserve"> los objetivos específicos de cada contenido. Por ejemplo, se </w:t>
      </w:r>
      <w:r w:rsidRPr="000B50DF">
        <w:rPr>
          <w:color w:val="000000" w:themeColor="text1"/>
          <w:sz w:val="22"/>
          <w:szCs w:val="22"/>
        </w:rPr>
        <w:t>indica, para</w:t>
      </w:r>
      <w:r w:rsidR="00655485" w:rsidRPr="000B50DF">
        <w:rPr>
          <w:color w:val="000000" w:themeColor="text1"/>
          <w:sz w:val="22"/>
          <w:szCs w:val="22"/>
        </w:rPr>
        <w:t xml:space="preserve"> el contenido “</w:t>
      </w:r>
      <w:proofErr w:type="spellStart"/>
      <w:r w:rsidR="007E2FEB" w:rsidRPr="000B50DF">
        <w:rPr>
          <w:color w:val="000000" w:themeColor="text1"/>
          <w:sz w:val="22"/>
          <w:szCs w:val="22"/>
        </w:rPr>
        <w:t>A</w:t>
      </w:r>
      <w:r w:rsidR="00655485" w:rsidRPr="000B50DF">
        <w:rPr>
          <w:color w:val="000000" w:themeColor="text1"/>
          <w:sz w:val="22"/>
          <w:szCs w:val="22"/>
        </w:rPr>
        <w:t>itzgorri</w:t>
      </w:r>
      <w:proofErr w:type="spellEnd"/>
      <w:r w:rsidR="00655485" w:rsidRPr="000B50DF">
        <w:rPr>
          <w:color w:val="000000" w:themeColor="text1"/>
          <w:sz w:val="22"/>
          <w:szCs w:val="22"/>
        </w:rPr>
        <w:t>”</w:t>
      </w:r>
      <w:r w:rsidRPr="000B50DF">
        <w:rPr>
          <w:color w:val="000000" w:themeColor="text1"/>
          <w:sz w:val="22"/>
          <w:szCs w:val="22"/>
        </w:rPr>
        <w:t>,</w:t>
      </w:r>
      <w:r w:rsidR="00655485" w:rsidRPr="000B50DF">
        <w:rPr>
          <w:color w:val="000000" w:themeColor="text1"/>
          <w:sz w:val="22"/>
          <w:szCs w:val="22"/>
        </w:rPr>
        <w:t xml:space="preserve"> los siguientes objetivos específicos: relajación, memoria visual y estimulación sensorial. Entretenimiento</w:t>
      </w:r>
      <w:r w:rsidRPr="000B50DF">
        <w:rPr>
          <w:color w:val="000000" w:themeColor="text1"/>
          <w:sz w:val="22"/>
          <w:szCs w:val="22"/>
        </w:rPr>
        <w:t>, sin más desarrollo.</w:t>
      </w:r>
    </w:p>
    <w:p w14:paraId="5C206BBD" w14:textId="77777777" w:rsidR="005A6412" w:rsidRPr="000B50DF" w:rsidRDefault="005A6412" w:rsidP="005A6412">
      <w:pPr>
        <w:autoSpaceDE w:val="0"/>
        <w:autoSpaceDN w:val="0"/>
        <w:adjustRightInd w:val="0"/>
        <w:jc w:val="both"/>
        <w:rPr>
          <w:color w:val="000000" w:themeColor="text1"/>
          <w:sz w:val="22"/>
          <w:szCs w:val="22"/>
        </w:rPr>
      </w:pPr>
    </w:p>
    <w:p w14:paraId="2DB6E29D" w14:textId="45E22B12" w:rsidR="005A6412" w:rsidRPr="000B50DF" w:rsidRDefault="005A6412" w:rsidP="005A6412">
      <w:pPr>
        <w:autoSpaceDE w:val="0"/>
        <w:autoSpaceDN w:val="0"/>
        <w:adjustRightInd w:val="0"/>
        <w:jc w:val="both"/>
        <w:rPr>
          <w:color w:val="000000" w:themeColor="text1"/>
          <w:sz w:val="22"/>
          <w:szCs w:val="22"/>
        </w:rPr>
      </w:pPr>
      <w:r w:rsidRPr="000B50DF">
        <w:rPr>
          <w:color w:val="000000" w:themeColor="text1"/>
          <w:sz w:val="22"/>
          <w:szCs w:val="22"/>
        </w:rPr>
        <w:t>En informe del OC al RE, se aclara que esos “objetivos específicos”</w:t>
      </w:r>
      <w:r w:rsidR="00E41466" w:rsidRPr="000B50DF">
        <w:rPr>
          <w:color w:val="000000" w:themeColor="text1"/>
          <w:sz w:val="22"/>
          <w:szCs w:val="22"/>
        </w:rPr>
        <w:t xml:space="preserve"> que señala la recurrente</w:t>
      </w:r>
      <w:r w:rsidRPr="000B50DF">
        <w:rPr>
          <w:color w:val="000000" w:themeColor="text1"/>
          <w:sz w:val="22"/>
          <w:szCs w:val="22"/>
        </w:rPr>
        <w:t xml:space="preserve"> son, en realidad, beneficios asociados a cada uno de los contenidos audiovisuales, pero que los pliegos lo que valoraban era la forma en que se definían y desarrollaban los distintos objetivos a alcanzar en los contenidos incluidos en el software. En este sentido, es cierto que el criterio </w:t>
      </w:r>
      <w:proofErr w:type="spellStart"/>
      <w:r w:rsidRPr="000B50DF">
        <w:rPr>
          <w:color w:val="000000" w:themeColor="text1"/>
          <w:sz w:val="22"/>
          <w:szCs w:val="22"/>
        </w:rPr>
        <w:t>nº</w:t>
      </w:r>
      <w:proofErr w:type="spellEnd"/>
      <w:r w:rsidRPr="000B50DF">
        <w:rPr>
          <w:color w:val="000000" w:themeColor="text1"/>
          <w:sz w:val="22"/>
          <w:szCs w:val="22"/>
        </w:rPr>
        <w:t xml:space="preserve"> 1 hace referencia a “</w:t>
      </w:r>
      <w:r w:rsidRPr="000B50DF">
        <w:rPr>
          <w:i/>
          <w:iCs/>
          <w:color w:val="000000" w:themeColor="text1"/>
          <w:sz w:val="22"/>
          <w:szCs w:val="22"/>
        </w:rPr>
        <w:t>Contenidos incluidos en el software – descripción y beneficios”</w:t>
      </w:r>
      <w:r w:rsidR="00E41466" w:rsidRPr="000B50DF">
        <w:rPr>
          <w:i/>
          <w:iCs/>
          <w:color w:val="000000" w:themeColor="text1"/>
          <w:sz w:val="22"/>
          <w:szCs w:val="22"/>
        </w:rPr>
        <w:t xml:space="preserve"> </w:t>
      </w:r>
      <w:r w:rsidR="00E41466" w:rsidRPr="000B50DF">
        <w:rPr>
          <w:color w:val="000000" w:themeColor="text1"/>
          <w:sz w:val="22"/>
          <w:szCs w:val="22"/>
        </w:rPr>
        <w:t xml:space="preserve">y que la oferta técnica de la recurrente no hace desarrollo alguno de los objetivos o beneficios asociados a cada contenido. Por otra parte, en la oferta técnica de </w:t>
      </w:r>
      <w:r w:rsidR="00C84EEB" w:rsidRPr="000B50DF">
        <w:rPr>
          <w:color w:val="000000" w:themeColor="text1"/>
          <w:sz w:val="22"/>
          <w:szCs w:val="22"/>
        </w:rPr>
        <w:t>la empresa propuesta como adjudicataria</w:t>
      </w:r>
      <w:r w:rsidR="00E41466" w:rsidRPr="000B50DF">
        <w:rPr>
          <w:color w:val="000000" w:themeColor="text1"/>
          <w:sz w:val="22"/>
          <w:szCs w:val="22"/>
        </w:rPr>
        <w:t xml:space="preserve">, </w:t>
      </w:r>
      <w:r w:rsidR="007E2FEB" w:rsidRPr="000B50DF">
        <w:rPr>
          <w:color w:val="000000" w:themeColor="text1"/>
          <w:sz w:val="22"/>
          <w:szCs w:val="22"/>
        </w:rPr>
        <w:t>apartado</w:t>
      </w:r>
      <w:r w:rsidR="00E41466" w:rsidRPr="000B50DF">
        <w:rPr>
          <w:color w:val="000000" w:themeColor="text1"/>
          <w:sz w:val="22"/>
          <w:szCs w:val="22"/>
        </w:rPr>
        <w:t xml:space="preserve"> 1.1, se encuentran desarrollados los distintos objetivos (terapéuticos, emocionales, cognitivos, físico-funcionales, etc</w:t>
      </w:r>
      <w:r w:rsidR="002E30A4" w:rsidRPr="000B50DF">
        <w:rPr>
          <w:color w:val="000000" w:themeColor="text1"/>
          <w:sz w:val="22"/>
          <w:szCs w:val="22"/>
        </w:rPr>
        <w:t>.</w:t>
      </w:r>
      <w:r w:rsidR="00E41466" w:rsidRPr="000B50DF">
        <w:rPr>
          <w:color w:val="000000" w:themeColor="text1"/>
          <w:sz w:val="22"/>
          <w:szCs w:val="22"/>
        </w:rPr>
        <w:t>) de los distintos contenidos y experiencias ofrecidas.</w:t>
      </w:r>
    </w:p>
    <w:p w14:paraId="6E92BDE7" w14:textId="77777777" w:rsidR="00F57C30" w:rsidRPr="000B50DF" w:rsidRDefault="00F57C30" w:rsidP="005A6412">
      <w:pPr>
        <w:autoSpaceDE w:val="0"/>
        <w:autoSpaceDN w:val="0"/>
        <w:adjustRightInd w:val="0"/>
        <w:jc w:val="both"/>
        <w:rPr>
          <w:color w:val="000000" w:themeColor="text1"/>
          <w:sz w:val="22"/>
          <w:szCs w:val="22"/>
        </w:rPr>
      </w:pPr>
    </w:p>
    <w:p w14:paraId="31C01991" w14:textId="28E4C551" w:rsidR="00F57C30" w:rsidRPr="000B50DF" w:rsidRDefault="00F57C30" w:rsidP="005A6412">
      <w:pPr>
        <w:autoSpaceDE w:val="0"/>
        <w:autoSpaceDN w:val="0"/>
        <w:adjustRightInd w:val="0"/>
        <w:jc w:val="both"/>
        <w:rPr>
          <w:color w:val="000000" w:themeColor="text1"/>
          <w:sz w:val="22"/>
          <w:szCs w:val="22"/>
        </w:rPr>
      </w:pPr>
      <w:r w:rsidRPr="000B50DF">
        <w:rPr>
          <w:color w:val="000000" w:themeColor="text1"/>
          <w:sz w:val="22"/>
          <w:szCs w:val="22"/>
        </w:rPr>
        <w:t>Por lo expuesto, no se aprecia error patente o arbitrariedad en la valoración de este apartado.</w:t>
      </w:r>
    </w:p>
    <w:p w14:paraId="5BE99CB6" w14:textId="77777777" w:rsidR="00655485" w:rsidRPr="000B50DF" w:rsidRDefault="00655485" w:rsidP="00112F6B">
      <w:pPr>
        <w:autoSpaceDE w:val="0"/>
        <w:autoSpaceDN w:val="0"/>
        <w:adjustRightInd w:val="0"/>
        <w:jc w:val="both"/>
        <w:rPr>
          <w:color w:val="000000" w:themeColor="text1"/>
          <w:sz w:val="22"/>
          <w:szCs w:val="22"/>
        </w:rPr>
      </w:pPr>
    </w:p>
    <w:p w14:paraId="64860846" w14:textId="11441829" w:rsidR="00D310EC" w:rsidRPr="000B50DF" w:rsidRDefault="00DC559F" w:rsidP="00D310EC">
      <w:pPr>
        <w:pStyle w:val="Prrafodelista"/>
        <w:numPr>
          <w:ilvl w:val="0"/>
          <w:numId w:val="36"/>
        </w:numPr>
        <w:autoSpaceDE w:val="0"/>
        <w:autoSpaceDN w:val="0"/>
        <w:adjustRightInd w:val="0"/>
        <w:jc w:val="both"/>
        <w:rPr>
          <w:color w:val="000000" w:themeColor="text1"/>
          <w:sz w:val="22"/>
          <w:szCs w:val="22"/>
        </w:rPr>
      </w:pPr>
      <w:r w:rsidRPr="000B50DF">
        <w:rPr>
          <w:color w:val="000000" w:themeColor="text1"/>
          <w:sz w:val="22"/>
          <w:szCs w:val="22"/>
        </w:rPr>
        <w:t>Existe una contradicción en el informe técnico por no valorar los grados de GDS. Se hacen referencia a los grados de afectación en la memoria, En el informe técnico se dice que los contenidos están orientados a “personas mayores y con diversidad funcional (intelectual o cognitiva), lo cual incluye a personas con TEA (diversidad funcional cognitiva).</w:t>
      </w:r>
    </w:p>
    <w:p w14:paraId="3FB6190D" w14:textId="77777777" w:rsidR="00DC559F" w:rsidRPr="000B50DF" w:rsidRDefault="00DC559F" w:rsidP="00DC559F">
      <w:pPr>
        <w:autoSpaceDE w:val="0"/>
        <w:autoSpaceDN w:val="0"/>
        <w:adjustRightInd w:val="0"/>
        <w:jc w:val="both"/>
        <w:rPr>
          <w:color w:val="000000" w:themeColor="text1"/>
          <w:sz w:val="22"/>
          <w:szCs w:val="22"/>
        </w:rPr>
      </w:pPr>
    </w:p>
    <w:p w14:paraId="7C5FD995" w14:textId="1406FC8B" w:rsidR="00DC559F" w:rsidRPr="000B50DF" w:rsidRDefault="00DC559F" w:rsidP="00DC559F">
      <w:pPr>
        <w:autoSpaceDE w:val="0"/>
        <w:autoSpaceDN w:val="0"/>
        <w:adjustRightInd w:val="0"/>
        <w:jc w:val="both"/>
        <w:rPr>
          <w:color w:val="000000" w:themeColor="text1"/>
          <w:sz w:val="22"/>
          <w:szCs w:val="22"/>
        </w:rPr>
      </w:pPr>
      <w:r w:rsidRPr="000B50DF">
        <w:rPr>
          <w:color w:val="000000" w:themeColor="text1"/>
          <w:sz w:val="22"/>
          <w:szCs w:val="22"/>
        </w:rPr>
        <w:t>Esta alegación afecta al subcriterio cuarto,</w:t>
      </w:r>
      <w:r w:rsidRPr="000B50DF">
        <w:rPr>
          <w:color w:val="000000" w:themeColor="text1"/>
        </w:rPr>
        <w:t xml:space="preserve"> </w:t>
      </w:r>
      <w:r w:rsidRPr="000B50DF">
        <w:rPr>
          <w:i/>
          <w:iCs/>
          <w:color w:val="000000" w:themeColor="text1"/>
          <w:sz w:val="22"/>
          <w:szCs w:val="22"/>
        </w:rPr>
        <w:t>adaptación de los contenidos al perfil del colectivo usuario (personas mayores, personas con discapacidad, personas con autismo)</w:t>
      </w:r>
      <w:r w:rsidR="0010278B" w:rsidRPr="000B50DF">
        <w:rPr>
          <w:i/>
          <w:iCs/>
          <w:color w:val="000000" w:themeColor="text1"/>
          <w:sz w:val="22"/>
          <w:szCs w:val="22"/>
        </w:rPr>
        <w:t xml:space="preserve">, </w:t>
      </w:r>
      <w:r w:rsidR="0010278B" w:rsidRPr="000B50DF">
        <w:rPr>
          <w:color w:val="000000" w:themeColor="text1"/>
          <w:sz w:val="22"/>
          <w:szCs w:val="22"/>
        </w:rPr>
        <w:t>valorado con un máximo de 2,5 puntos.</w:t>
      </w:r>
    </w:p>
    <w:p w14:paraId="5B796213" w14:textId="77777777" w:rsidR="00D36059" w:rsidRPr="000B50DF" w:rsidRDefault="00D36059" w:rsidP="00DC559F">
      <w:pPr>
        <w:autoSpaceDE w:val="0"/>
        <w:autoSpaceDN w:val="0"/>
        <w:adjustRightInd w:val="0"/>
        <w:jc w:val="both"/>
        <w:rPr>
          <w:color w:val="000000" w:themeColor="text1"/>
          <w:sz w:val="22"/>
          <w:szCs w:val="22"/>
        </w:rPr>
      </w:pPr>
    </w:p>
    <w:p w14:paraId="73F0DD63" w14:textId="76AFA5D5" w:rsidR="00D36059" w:rsidRPr="000B50DF" w:rsidRDefault="00D36059" w:rsidP="00DC559F">
      <w:pPr>
        <w:autoSpaceDE w:val="0"/>
        <w:autoSpaceDN w:val="0"/>
        <w:adjustRightInd w:val="0"/>
        <w:jc w:val="both"/>
        <w:rPr>
          <w:color w:val="000000" w:themeColor="text1"/>
          <w:sz w:val="22"/>
          <w:szCs w:val="22"/>
        </w:rPr>
      </w:pPr>
      <w:r w:rsidRPr="000B50DF">
        <w:rPr>
          <w:color w:val="000000" w:themeColor="text1"/>
          <w:sz w:val="22"/>
          <w:szCs w:val="22"/>
        </w:rPr>
        <w:t>La literalidad del informe de valoración en este punto es la siguiente:</w:t>
      </w:r>
    </w:p>
    <w:p w14:paraId="1CCB14FB" w14:textId="77777777" w:rsidR="00D36059" w:rsidRPr="000B50DF" w:rsidRDefault="00D36059" w:rsidP="00DC559F">
      <w:pPr>
        <w:autoSpaceDE w:val="0"/>
        <w:autoSpaceDN w:val="0"/>
        <w:adjustRightInd w:val="0"/>
        <w:jc w:val="both"/>
        <w:rPr>
          <w:color w:val="000000" w:themeColor="text1"/>
          <w:sz w:val="22"/>
          <w:szCs w:val="22"/>
        </w:rPr>
      </w:pPr>
    </w:p>
    <w:p w14:paraId="522F9017" w14:textId="521879AF" w:rsidR="00D36059" w:rsidRPr="000B50DF" w:rsidRDefault="00D36059" w:rsidP="00D36059">
      <w:pPr>
        <w:autoSpaceDE w:val="0"/>
        <w:autoSpaceDN w:val="0"/>
        <w:adjustRightInd w:val="0"/>
        <w:jc w:val="both"/>
        <w:rPr>
          <w:i/>
          <w:iCs/>
          <w:color w:val="000000" w:themeColor="text1"/>
          <w:sz w:val="22"/>
          <w:szCs w:val="22"/>
        </w:rPr>
      </w:pPr>
      <w:r w:rsidRPr="000B50DF">
        <w:rPr>
          <w:color w:val="000000" w:themeColor="text1"/>
          <w:sz w:val="22"/>
          <w:szCs w:val="22"/>
        </w:rPr>
        <w:t>“</w:t>
      </w:r>
      <w:proofErr w:type="spellStart"/>
      <w:r w:rsidRPr="000B50DF">
        <w:rPr>
          <w:i/>
          <w:iCs/>
          <w:color w:val="000000" w:themeColor="text1"/>
          <w:sz w:val="22"/>
          <w:szCs w:val="22"/>
        </w:rPr>
        <w:t>Innovae-Oroi</w:t>
      </w:r>
      <w:proofErr w:type="spellEnd"/>
      <w:r w:rsidRPr="000B50DF">
        <w:rPr>
          <w:i/>
          <w:iCs/>
          <w:color w:val="000000" w:themeColor="text1"/>
          <w:sz w:val="22"/>
          <w:szCs w:val="22"/>
        </w:rPr>
        <w:t xml:space="preserve"> presenta una propuesta con un enfoque centrado en la estimulación multisensorial y la regulación emocional. La propuesta está diseñada específicamente para personas mayores </w:t>
      </w:r>
      <w:r w:rsidRPr="000B50DF">
        <w:rPr>
          <w:i/>
          <w:iCs/>
          <w:color w:val="000000" w:themeColor="text1"/>
          <w:sz w:val="22"/>
          <w:szCs w:val="22"/>
        </w:rPr>
        <w:lastRenderedPageBreak/>
        <w:t>y personas con “diversidad funcional (intelectual o cognitiva)”, contemplando la adaptación en función del nivel cognitivo mediante escalas como GDS 1 a 5. (...) Además, incluye ejemplos concretos de uso según los perfiles de usuario. No obstante, la segmentación es menos profunda,</w:t>
      </w:r>
    </w:p>
    <w:p w14:paraId="6DD0D788" w14:textId="032EA451" w:rsidR="00D36059" w:rsidRPr="000B50DF" w:rsidRDefault="00D36059" w:rsidP="00D36059">
      <w:pPr>
        <w:autoSpaceDE w:val="0"/>
        <w:autoSpaceDN w:val="0"/>
        <w:adjustRightInd w:val="0"/>
        <w:jc w:val="both"/>
        <w:rPr>
          <w:color w:val="000000" w:themeColor="text1"/>
          <w:sz w:val="22"/>
          <w:szCs w:val="22"/>
        </w:rPr>
      </w:pPr>
      <w:r w:rsidRPr="000B50DF">
        <w:rPr>
          <w:i/>
          <w:iCs/>
          <w:color w:val="000000" w:themeColor="text1"/>
          <w:sz w:val="22"/>
          <w:szCs w:val="22"/>
        </w:rPr>
        <w:t>especialmente en lo que se refiere a perfiles funcionales y niveles de autonomía, no hacen referencia a diferentes grados de afectación ni concretan contenido para personas con TEA. Además, la adaptación se plantea de forma más general y menos operativa, sin entrar tanto en la intervención concreta en cada caso</w:t>
      </w:r>
      <w:r w:rsidRPr="000B50DF">
        <w:rPr>
          <w:color w:val="000000" w:themeColor="text1"/>
          <w:sz w:val="22"/>
          <w:szCs w:val="22"/>
        </w:rPr>
        <w:t>”.</w:t>
      </w:r>
    </w:p>
    <w:p w14:paraId="582E0F64" w14:textId="77777777" w:rsidR="0010278B" w:rsidRPr="000B50DF" w:rsidRDefault="0010278B" w:rsidP="00D36059">
      <w:pPr>
        <w:autoSpaceDE w:val="0"/>
        <w:autoSpaceDN w:val="0"/>
        <w:adjustRightInd w:val="0"/>
        <w:jc w:val="both"/>
        <w:rPr>
          <w:color w:val="000000" w:themeColor="text1"/>
          <w:sz w:val="22"/>
          <w:szCs w:val="22"/>
        </w:rPr>
      </w:pPr>
    </w:p>
    <w:p w14:paraId="07B75FB0" w14:textId="6D805FB3" w:rsidR="0010278B" w:rsidRPr="000B50DF" w:rsidRDefault="0010278B" w:rsidP="00D36059">
      <w:pPr>
        <w:autoSpaceDE w:val="0"/>
        <w:autoSpaceDN w:val="0"/>
        <w:adjustRightInd w:val="0"/>
        <w:jc w:val="both"/>
        <w:rPr>
          <w:color w:val="000000" w:themeColor="text1"/>
          <w:sz w:val="22"/>
          <w:szCs w:val="22"/>
        </w:rPr>
      </w:pPr>
      <w:r w:rsidRPr="000B50DF">
        <w:rPr>
          <w:color w:val="000000" w:themeColor="text1"/>
          <w:sz w:val="22"/>
          <w:szCs w:val="22"/>
        </w:rPr>
        <w:t>En este subcriterio la recurrente obtiene 1,5 puntos, mientras que la propuesta como adjudicataria obtiene 2,5 puntos.</w:t>
      </w:r>
    </w:p>
    <w:p w14:paraId="46128409" w14:textId="77777777" w:rsidR="00D310EC" w:rsidRPr="000B50DF" w:rsidRDefault="00D310EC" w:rsidP="00112F6B">
      <w:pPr>
        <w:autoSpaceDE w:val="0"/>
        <w:autoSpaceDN w:val="0"/>
        <w:adjustRightInd w:val="0"/>
        <w:jc w:val="both"/>
        <w:rPr>
          <w:color w:val="000000" w:themeColor="text1"/>
          <w:sz w:val="22"/>
          <w:szCs w:val="22"/>
        </w:rPr>
      </w:pPr>
    </w:p>
    <w:p w14:paraId="78F44D4A" w14:textId="632C8F24" w:rsidR="0010278B" w:rsidRPr="000B50DF" w:rsidRDefault="0010278B" w:rsidP="0010278B">
      <w:pPr>
        <w:autoSpaceDE w:val="0"/>
        <w:autoSpaceDN w:val="0"/>
        <w:adjustRightInd w:val="0"/>
        <w:jc w:val="both"/>
        <w:rPr>
          <w:color w:val="000000" w:themeColor="text1"/>
          <w:sz w:val="22"/>
          <w:szCs w:val="22"/>
        </w:rPr>
      </w:pPr>
      <w:r w:rsidRPr="000B50DF">
        <w:rPr>
          <w:color w:val="000000" w:themeColor="text1"/>
          <w:sz w:val="22"/>
          <w:szCs w:val="22"/>
        </w:rPr>
        <w:t>El OC en su informe al RE aclara que la oferta de la recurrente incorpora guías de intervención adaptadas a diferentes grados de escala GDS. Sin embargo, la cuestión no es si se hace referencia al GDS, sino si esa referencia satisface el nivel de adaptación específica exigido por el criterio de adjudicación. Además, el pliego distingue expresamente a las personas con TEA de las personas con discapacidad.</w:t>
      </w:r>
    </w:p>
    <w:p w14:paraId="174F07A6" w14:textId="77777777" w:rsidR="00EB3C04" w:rsidRPr="000B50DF" w:rsidRDefault="00EB3C04" w:rsidP="0010278B">
      <w:pPr>
        <w:autoSpaceDE w:val="0"/>
        <w:autoSpaceDN w:val="0"/>
        <w:adjustRightInd w:val="0"/>
        <w:jc w:val="both"/>
        <w:rPr>
          <w:color w:val="000000" w:themeColor="text1"/>
          <w:sz w:val="22"/>
          <w:szCs w:val="22"/>
        </w:rPr>
      </w:pPr>
    </w:p>
    <w:p w14:paraId="6ACC2576" w14:textId="7F7E27D4" w:rsidR="00EB3C04" w:rsidRPr="000B50DF" w:rsidRDefault="00EB3C04" w:rsidP="0010278B">
      <w:pPr>
        <w:autoSpaceDE w:val="0"/>
        <w:autoSpaceDN w:val="0"/>
        <w:adjustRightInd w:val="0"/>
        <w:jc w:val="both"/>
        <w:rPr>
          <w:color w:val="000000" w:themeColor="text1"/>
          <w:sz w:val="22"/>
          <w:szCs w:val="22"/>
        </w:rPr>
      </w:pPr>
      <w:r w:rsidRPr="000B50DF">
        <w:rPr>
          <w:color w:val="000000" w:themeColor="text1"/>
          <w:sz w:val="22"/>
          <w:szCs w:val="22"/>
        </w:rPr>
        <w:t xml:space="preserve">Si acudimos a las ofertas técnicas, en primer lugar, el apdo. 2.4 de la oferta de la recurrente, ahí explica la adaptación de los contenidos a distintas modalidades de estímulos, se adaptan a los distintos grados de deterioro cognitivo según escala GDS y se ponen ejemplos de adaptación para personas mayores, personas con diversidad funcional intelectual o cognitiva y personas con problemas de salud mental. Por otra parte, en la oferta técnica de </w:t>
      </w:r>
      <w:r w:rsidR="00421DCA" w:rsidRPr="000B50DF">
        <w:rPr>
          <w:color w:val="000000" w:themeColor="text1"/>
          <w:sz w:val="22"/>
          <w:szCs w:val="22"/>
        </w:rPr>
        <w:t>MANIFIESTO ESTUDIO, S.L.</w:t>
      </w:r>
      <w:r w:rsidRPr="000B50DF">
        <w:rPr>
          <w:color w:val="000000" w:themeColor="text1"/>
          <w:sz w:val="22"/>
          <w:szCs w:val="22"/>
        </w:rPr>
        <w:t xml:space="preserve">, </w:t>
      </w:r>
      <w:r w:rsidR="00421DCA" w:rsidRPr="000B50DF">
        <w:rPr>
          <w:color w:val="000000" w:themeColor="text1"/>
          <w:sz w:val="22"/>
          <w:szCs w:val="22"/>
        </w:rPr>
        <w:t>apartado</w:t>
      </w:r>
      <w:r w:rsidRPr="000B50DF">
        <w:rPr>
          <w:color w:val="000000" w:themeColor="text1"/>
          <w:sz w:val="22"/>
          <w:szCs w:val="22"/>
        </w:rPr>
        <w:t xml:space="preserve"> 1.4, se desarrolla el subcriterio sobre adaptación de contenidos al perfil del colectivo, distinguiendo persona</w:t>
      </w:r>
      <w:r w:rsidR="00421DCA" w:rsidRPr="000B50DF">
        <w:rPr>
          <w:color w:val="000000" w:themeColor="text1"/>
          <w:sz w:val="22"/>
          <w:szCs w:val="22"/>
        </w:rPr>
        <w:t>s</w:t>
      </w:r>
      <w:r w:rsidRPr="000B50DF">
        <w:rPr>
          <w:color w:val="000000" w:themeColor="text1"/>
          <w:sz w:val="22"/>
          <w:szCs w:val="22"/>
        </w:rPr>
        <w:t xml:space="preserve"> mayores, según nivel de deterioro cognitivo, personas con discapacidad in</w:t>
      </w:r>
      <w:r w:rsidR="005337F8" w:rsidRPr="000B50DF">
        <w:rPr>
          <w:color w:val="000000" w:themeColor="text1"/>
          <w:sz w:val="22"/>
          <w:szCs w:val="22"/>
        </w:rPr>
        <w:t>t</w:t>
      </w:r>
      <w:r w:rsidRPr="000B50DF">
        <w:rPr>
          <w:color w:val="000000" w:themeColor="text1"/>
          <w:sz w:val="22"/>
          <w:szCs w:val="22"/>
        </w:rPr>
        <w:t>electual según niveles de autonomía y personas con trastorno del espectro autista (TEA)</w:t>
      </w:r>
      <w:r w:rsidR="005337F8" w:rsidRPr="000B50DF">
        <w:rPr>
          <w:color w:val="000000" w:themeColor="text1"/>
          <w:sz w:val="22"/>
          <w:szCs w:val="22"/>
        </w:rPr>
        <w:t>. Además, se hace referencia al uso de las salas inmersivas para las familias durante sus visitas.</w:t>
      </w:r>
    </w:p>
    <w:p w14:paraId="32FF8033" w14:textId="77777777" w:rsidR="005337F8" w:rsidRPr="000B50DF" w:rsidRDefault="005337F8" w:rsidP="0010278B">
      <w:pPr>
        <w:autoSpaceDE w:val="0"/>
        <w:autoSpaceDN w:val="0"/>
        <w:adjustRightInd w:val="0"/>
        <w:jc w:val="both"/>
        <w:rPr>
          <w:color w:val="000000" w:themeColor="text1"/>
          <w:sz w:val="22"/>
          <w:szCs w:val="22"/>
        </w:rPr>
      </w:pPr>
    </w:p>
    <w:p w14:paraId="26092898" w14:textId="413D928A" w:rsidR="005337F8" w:rsidRPr="000B50DF" w:rsidRDefault="005337F8" w:rsidP="0010278B">
      <w:pPr>
        <w:autoSpaceDE w:val="0"/>
        <w:autoSpaceDN w:val="0"/>
        <w:adjustRightInd w:val="0"/>
        <w:jc w:val="both"/>
        <w:rPr>
          <w:color w:val="000000" w:themeColor="text1"/>
          <w:sz w:val="22"/>
          <w:szCs w:val="22"/>
        </w:rPr>
      </w:pPr>
      <w:r w:rsidRPr="000B50DF">
        <w:rPr>
          <w:color w:val="000000" w:themeColor="text1"/>
          <w:sz w:val="22"/>
          <w:szCs w:val="22"/>
        </w:rPr>
        <w:t xml:space="preserve">Ciertamente, el subcriterio valorado, según redacción en el </w:t>
      </w:r>
      <w:r w:rsidR="00421DCA" w:rsidRPr="000B50DF">
        <w:rPr>
          <w:color w:val="000000" w:themeColor="text1"/>
          <w:sz w:val="22"/>
          <w:szCs w:val="22"/>
        </w:rPr>
        <w:t>apartado</w:t>
      </w:r>
      <w:r w:rsidRPr="000B50DF">
        <w:rPr>
          <w:color w:val="000000" w:themeColor="text1"/>
          <w:sz w:val="22"/>
          <w:szCs w:val="22"/>
        </w:rPr>
        <w:t xml:space="preserve"> M</w:t>
      </w:r>
      <w:r w:rsidR="00421DCA" w:rsidRPr="000B50DF">
        <w:rPr>
          <w:color w:val="000000" w:themeColor="text1"/>
          <w:sz w:val="22"/>
          <w:szCs w:val="22"/>
        </w:rPr>
        <w:t>)</w:t>
      </w:r>
      <w:r w:rsidRPr="000B50DF">
        <w:rPr>
          <w:color w:val="000000" w:themeColor="text1"/>
          <w:sz w:val="22"/>
          <w:szCs w:val="22"/>
        </w:rPr>
        <w:t xml:space="preserve"> de</w:t>
      </w:r>
      <w:r w:rsidR="00421DCA" w:rsidRPr="000B50DF">
        <w:rPr>
          <w:color w:val="000000" w:themeColor="text1"/>
          <w:sz w:val="22"/>
          <w:szCs w:val="22"/>
        </w:rPr>
        <w:t xml:space="preserve"> la carátula,</w:t>
      </w:r>
      <w:r w:rsidRPr="000B50DF">
        <w:rPr>
          <w:color w:val="000000" w:themeColor="text1"/>
          <w:sz w:val="22"/>
          <w:szCs w:val="22"/>
        </w:rPr>
        <w:t xml:space="preserve"> distingue claramente tres tipos de colectivos: personas mayores, personas con discapacidad y personas con autismo. Este último se aborda de forma clara y expresa en la oferta técnica de </w:t>
      </w:r>
      <w:r w:rsidR="00421DCA" w:rsidRPr="000B50DF">
        <w:rPr>
          <w:color w:val="000000" w:themeColor="text1"/>
          <w:sz w:val="22"/>
          <w:szCs w:val="22"/>
        </w:rPr>
        <w:t>MANIFIESTO ESTUDIO, S.L.</w:t>
      </w:r>
      <w:r w:rsidRPr="000B50DF">
        <w:rPr>
          <w:color w:val="000000" w:themeColor="text1"/>
          <w:sz w:val="22"/>
          <w:szCs w:val="22"/>
        </w:rPr>
        <w:t>, algo que no puede extrapolarse sin más a la oferta técnica de la recurrente, que no hace mención expresa al colectivo de personas con autismo o con trastorno de espectro autista.</w:t>
      </w:r>
    </w:p>
    <w:p w14:paraId="3C24E07D" w14:textId="77777777" w:rsidR="005337F8" w:rsidRPr="000B50DF" w:rsidRDefault="005337F8" w:rsidP="0010278B">
      <w:pPr>
        <w:autoSpaceDE w:val="0"/>
        <w:autoSpaceDN w:val="0"/>
        <w:adjustRightInd w:val="0"/>
        <w:jc w:val="both"/>
        <w:rPr>
          <w:color w:val="000000" w:themeColor="text1"/>
          <w:sz w:val="22"/>
          <w:szCs w:val="22"/>
        </w:rPr>
      </w:pPr>
    </w:p>
    <w:p w14:paraId="2968CB60" w14:textId="77777777" w:rsidR="002F19CE" w:rsidRPr="000B50DF" w:rsidRDefault="002F19CE" w:rsidP="002F19CE">
      <w:pPr>
        <w:jc w:val="both"/>
        <w:rPr>
          <w:color w:val="000000" w:themeColor="text1"/>
          <w:sz w:val="22"/>
          <w:szCs w:val="22"/>
        </w:rPr>
      </w:pPr>
      <w:r w:rsidRPr="000B50DF">
        <w:rPr>
          <w:color w:val="000000" w:themeColor="text1"/>
          <w:sz w:val="22"/>
          <w:szCs w:val="22"/>
        </w:rPr>
        <w:t>Por lo tanto, este motivo también parece debilitado por el propio contenido del informe técnico que reconoce la existencia de guías adaptadas a distintos grados de la escala GDS y que la discusión no versa sobre su existencia sino sobre el alcance y calidad técnica de esa adaptación.</w:t>
      </w:r>
    </w:p>
    <w:p w14:paraId="3B1C96A1" w14:textId="64506BEF" w:rsidR="00D27168" w:rsidRPr="000B50DF" w:rsidRDefault="00D27168" w:rsidP="00112F6B">
      <w:pPr>
        <w:autoSpaceDE w:val="0"/>
        <w:autoSpaceDN w:val="0"/>
        <w:adjustRightInd w:val="0"/>
        <w:jc w:val="both"/>
        <w:rPr>
          <w:color w:val="000000" w:themeColor="text1"/>
          <w:sz w:val="22"/>
          <w:szCs w:val="22"/>
        </w:rPr>
      </w:pPr>
    </w:p>
    <w:p w14:paraId="5451E1CE" w14:textId="722B8861" w:rsidR="002F19CE" w:rsidRPr="000B50DF" w:rsidRDefault="002F19CE" w:rsidP="002F19CE">
      <w:pPr>
        <w:jc w:val="both"/>
        <w:rPr>
          <w:color w:val="000000" w:themeColor="text1"/>
          <w:sz w:val="22"/>
          <w:szCs w:val="22"/>
        </w:rPr>
      </w:pPr>
      <w:r w:rsidRPr="000B50DF">
        <w:rPr>
          <w:color w:val="000000" w:themeColor="text1"/>
          <w:sz w:val="22"/>
          <w:szCs w:val="22"/>
        </w:rPr>
        <w:t>En consecuencia, no parece existir omisión de valoración, sino discrepancia respecto de la puntuación asignada</w:t>
      </w:r>
      <w:r w:rsidR="00421DCA" w:rsidRPr="000B50DF">
        <w:rPr>
          <w:color w:val="000000" w:themeColor="text1"/>
          <w:sz w:val="22"/>
          <w:szCs w:val="22"/>
        </w:rPr>
        <w:t>.</w:t>
      </w:r>
    </w:p>
    <w:p w14:paraId="2D32E4EC" w14:textId="77777777" w:rsidR="002F19CE" w:rsidRPr="000B50DF" w:rsidRDefault="002F19CE" w:rsidP="00112F6B">
      <w:pPr>
        <w:autoSpaceDE w:val="0"/>
        <w:autoSpaceDN w:val="0"/>
        <w:adjustRightInd w:val="0"/>
        <w:jc w:val="both"/>
        <w:rPr>
          <w:color w:val="000000" w:themeColor="text1"/>
          <w:sz w:val="22"/>
          <w:szCs w:val="22"/>
        </w:rPr>
      </w:pPr>
    </w:p>
    <w:p w14:paraId="61727018" w14:textId="05559281" w:rsidR="00D27168" w:rsidRPr="000B50DF" w:rsidRDefault="00D27168" w:rsidP="00D27168">
      <w:pPr>
        <w:pStyle w:val="Prrafodelista"/>
        <w:numPr>
          <w:ilvl w:val="0"/>
          <w:numId w:val="36"/>
        </w:numPr>
        <w:autoSpaceDE w:val="0"/>
        <w:autoSpaceDN w:val="0"/>
        <w:adjustRightInd w:val="0"/>
        <w:jc w:val="both"/>
        <w:rPr>
          <w:color w:val="000000" w:themeColor="text1"/>
          <w:sz w:val="22"/>
          <w:szCs w:val="22"/>
        </w:rPr>
      </w:pPr>
      <w:r w:rsidRPr="000B50DF">
        <w:rPr>
          <w:color w:val="000000" w:themeColor="text1"/>
          <w:sz w:val="22"/>
          <w:szCs w:val="22"/>
        </w:rPr>
        <w:t xml:space="preserve">En la memoria técnica de la UTE recurrente, se deja constancia de las diferentes líneas de actuación que hacen referencia a contenidos que van más allá del plano teórico. Se incluye por la recurrente una parte de su oferta donde se hace referencia a autores y años de publicación de sus trabajos, así como a estudios propios. Por lo tanto, como </w:t>
      </w:r>
      <w:r w:rsidR="00137BB5" w:rsidRPr="000B50DF">
        <w:rPr>
          <w:color w:val="000000" w:themeColor="text1"/>
          <w:sz w:val="22"/>
          <w:szCs w:val="22"/>
        </w:rPr>
        <w:t>obra en el expediente, se identifican 5 bloques por temática, que incluyen publicaciones científicas de prestigio y su aplicación práctica.</w:t>
      </w:r>
    </w:p>
    <w:p w14:paraId="050A779B" w14:textId="77777777" w:rsidR="002F19CE" w:rsidRPr="000B50DF" w:rsidRDefault="002F19CE" w:rsidP="002F19CE">
      <w:pPr>
        <w:pStyle w:val="Prrafodelista"/>
        <w:autoSpaceDE w:val="0"/>
        <w:autoSpaceDN w:val="0"/>
        <w:adjustRightInd w:val="0"/>
        <w:jc w:val="both"/>
        <w:rPr>
          <w:color w:val="000000" w:themeColor="text1"/>
          <w:sz w:val="22"/>
          <w:szCs w:val="22"/>
        </w:rPr>
      </w:pPr>
    </w:p>
    <w:p w14:paraId="7F7C6114" w14:textId="34C67296" w:rsidR="00137BB5" w:rsidRPr="000B50DF" w:rsidRDefault="00D76072" w:rsidP="00137BB5">
      <w:pPr>
        <w:autoSpaceDE w:val="0"/>
        <w:autoSpaceDN w:val="0"/>
        <w:adjustRightInd w:val="0"/>
        <w:jc w:val="both"/>
        <w:rPr>
          <w:color w:val="000000" w:themeColor="text1"/>
          <w:sz w:val="22"/>
          <w:szCs w:val="22"/>
        </w:rPr>
      </w:pPr>
      <w:r w:rsidRPr="000B50DF">
        <w:rPr>
          <w:color w:val="000000" w:themeColor="text1"/>
          <w:sz w:val="22"/>
          <w:szCs w:val="22"/>
        </w:rPr>
        <w:t>Este punto de disconformidad lo relaciona la recurrente con la valoración obtenida en el subcriterio “</w:t>
      </w:r>
      <w:r w:rsidRPr="000B50DF">
        <w:rPr>
          <w:i/>
          <w:iCs/>
          <w:color w:val="000000" w:themeColor="text1"/>
          <w:sz w:val="22"/>
          <w:szCs w:val="22"/>
        </w:rPr>
        <w:t>inclusión de experiencia o referencias metodológicas que respalden su eficacia”</w:t>
      </w:r>
      <w:r w:rsidR="0082123B" w:rsidRPr="000B50DF">
        <w:rPr>
          <w:i/>
          <w:iCs/>
          <w:color w:val="000000" w:themeColor="text1"/>
          <w:sz w:val="22"/>
          <w:szCs w:val="22"/>
        </w:rPr>
        <w:t xml:space="preserve"> </w:t>
      </w:r>
      <w:r w:rsidR="0082123B" w:rsidRPr="000B50DF">
        <w:rPr>
          <w:color w:val="000000" w:themeColor="text1"/>
          <w:sz w:val="22"/>
          <w:szCs w:val="22"/>
        </w:rPr>
        <w:t>En este subcriterio, la recurrente obtiene 1,5 puntos, mientras que la empresa propuesta como adju</w:t>
      </w:r>
      <w:r w:rsidR="00D137B4" w:rsidRPr="000B50DF">
        <w:rPr>
          <w:color w:val="000000" w:themeColor="text1"/>
          <w:sz w:val="22"/>
          <w:szCs w:val="22"/>
        </w:rPr>
        <w:t>dicataria obtuvo 2,5 puntos.</w:t>
      </w:r>
    </w:p>
    <w:p w14:paraId="3190604A" w14:textId="77777777" w:rsidR="00D76072" w:rsidRPr="000B50DF" w:rsidRDefault="00D76072" w:rsidP="00C55A52">
      <w:pPr>
        <w:autoSpaceDE w:val="0"/>
        <w:autoSpaceDN w:val="0"/>
        <w:adjustRightInd w:val="0"/>
        <w:jc w:val="both"/>
        <w:rPr>
          <w:color w:val="000000" w:themeColor="text1"/>
          <w:sz w:val="22"/>
          <w:szCs w:val="22"/>
        </w:rPr>
      </w:pPr>
    </w:p>
    <w:p w14:paraId="60587EA5" w14:textId="74C7D702" w:rsidR="00137BB5" w:rsidRPr="000B50DF" w:rsidRDefault="00137BB5" w:rsidP="00C55A52">
      <w:pPr>
        <w:autoSpaceDE w:val="0"/>
        <w:autoSpaceDN w:val="0"/>
        <w:adjustRightInd w:val="0"/>
        <w:jc w:val="both"/>
        <w:rPr>
          <w:color w:val="000000" w:themeColor="text1"/>
          <w:sz w:val="22"/>
          <w:szCs w:val="22"/>
        </w:rPr>
      </w:pPr>
      <w:r w:rsidRPr="000B50DF">
        <w:rPr>
          <w:color w:val="000000" w:themeColor="text1"/>
          <w:sz w:val="22"/>
          <w:szCs w:val="22"/>
        </w:rPr>
        <w:t xml:space="preserve">Nuevamente, el OC no está de acuerdo con los argumentos anteriores. Opina que </w:t>
      </w:r>
      <w:r w:rsidR="00C55A52" w:rsidRPr="000B50DF">
        <w:rPr>
          <w:color w:val="000000" w:themeColor="text1"/>
          <w:sz w:val="22"/>
          <w:szCs w:val="22"/>
        </w:rPr>
        <w:t xml:space="preserve">subcriterio objeto de valoración no consistía en comprobar la mera existencia de referencias bibliográficas o </w:t>
      </w:r>
      <w:r w:rsidR="00C55A52" w:rsidRPr="000B50DF">
        <w:rPr>
          <w:color w:val="000000" w:themeColor="text1"/>
          <w:sz w:val="22"/>
          <w:szCs w:val="22"/>
        </w:rPr>
        <w:lastRenderedPageBreak/>
        <w:t>de experiencias utilizadas en la elaboración de los contenidos, sino en valorar si esas experiencias o referencias metodológicas respaldaban de forma suficiente la eficacia de la propuesta presentada. La evidencia presentada es, en gran medida, indirecta, al apoyarse principalmente en literatura científica de carácter general y no aparecer siempre vinculada de forma específica al funcionamiento, la implantación o los resultados obtenidos por la solución objeto de la oferta.</w:t>
      </w:r>
    </w:p>
    <w:p w14:paraId="7125A675" w14:textId="77777777" w:rsidR="00C55A52" w:rsidRPr="000B50DF" w:rsidRDefault="00C55A52" w:rsidP="00C55A52">
      <w:pPr>
        <w:autoSpaceDE w:val="0"/>
        <w:autoSpaceDN w:val="0"/>
        <w:adjustRightInd w:val="0"/>
        <w:jc w:val="both"/>
        <w:rPr>
          <w:color w:val="000000" w:themeColor="text1"/>
          <w:sz w:val="22"/>
          <w:szCs w:val="22"/>
        </w:rPr>
      </w:pPr>
    </w:p>
    <w:p w14:paraId="7764C854" w14:textId="6A6E8C90" w:rsidR="00C55A52" w:rsidRPr="000B50DF" w:rsidRDefault="00C55A52" w:rsidP="00C55A52">
      <w:pPr>
        <w:autoSpaceDE w:val="0"/>
        <w:autoSpaceDN w:val="0"/>
        <w:adjustRightInd w:val="0"/>
        <w:jc w:val="both"/>
        <w:rPr>
          <w:color w:val="000000" w:themeColor="text1"/>
          <w:sz w:val="22"/>
          <w:szCs w:val="22"/>
        </w:rPr>
      </w:pPr>
      <w:r w:rsidRPr="000B50DF">
        <w:rPr>
          <w:color w:val="000000" w:themeColor="text1"/>
          <w:sz w:val="22"/>
          <w:szCs w:val="22"/>
        </w:rPr>
        <w:t>En este punto, procedemos a reproducir lo recogido en el informe técnico de valoración:</w:t>
      </w:r>
    </w:p>
    <w:p w14:paraId="3A93EC57" w14:textId="77777777" w:rsidR="00C55A52" w:rsidRPr="000B50DF" w:rsidRDefault="00C55A52" w:rsidP="00C55A52">
      <w:pPr>
        <w:autoSpaceDE w:val="0"/>
        <w:autoSpaceDN w:val="0"/>
        <w:adjustRightInd w:val="0"/>
        <w:jc w:val="both"/>
        <w:rPr>
          <w:color w:val="000000" w:themeColor="text1"/>
          <w:sz w:val="22"/>
          <w:szCs w:val="22"/>
        </w:rPr>
      </w:pPr>
    </w:p>
    <w:p w14:paraId="13FEF9EC" w14:textId="41167770" w:rsidR="00C55A52" w:rsidRPr="000B50DF" w:rsidRDefault="00C55A52" w:rsidP="00C55A52">
      <w:pPr>
        <w:autoSpaceDE w:val="0"/>
        <w:autoSpaceDN w:val="0"/>
        <w:adjustRightInd w:val="0"/>
        <w:jc w:val="both"/>
        <w:rPr>
          <w:color w:val="000000" w:themeColor="text1"/>
          <w:sz w:val="22"/>
          <w:szCs w:val="22"/>
        </w:rPr>
      </w:pPr>
      <w:r w:rsidRPr="000B50DF">
        <w:rPr>
          <w:color w:val="000000" w:themeColor="text1"/>
          <w:sz w:val="22"/>
          <w:szCs w:val="22"/>
        </w:rPr>
        <w:t>“</w:t>
      </w:r>
      <w:proofErr w:type="spellStart"/>
      <w:r w:rsidRPr="000B50DF">
        <w:rPr>
          <w:i/>
          <w:iCs/>
          <w:color w:val="000000" w:themeColor="text1"/>
          <w:sz w:val="22"/>
          <w:szCs w:val="22"/>
        </w:rPr>
        <w:t>Innovae-Oroi</w:t>
      </w:r>
      <w:proofErr w:type="spellEnd"/>
      <w:r w:rsidRPr="000B50DF">
        <w:rPr>
          <w:i/>
          <w:iCs/>
          <w:color w:val="000000" w:themeColor="text1"/>
          <w:sz w:val="22"/>
          <w:szCs w:val="22"/>
        </w:rPr>
        <w:t xml:space="preserve"> presenta una propuesta basada principalmente en fundamentación teórica y referencias bibliográficas, apoyando sus contenidos en distintos marcos conceptuales y relacionándolos con evidencia científica existente. Además, basándose en experiencias en centros sociosanitarios y educativos, exponen resultados como reducción de ansiedad, dolor o estrés, así como mejoras en bienestar y satisfacción. Aun así, la evidencia aportada es en gran parte indirecta, ya que se basa en literatura general y no siempre está vinculada específicamente al sistema ofertado. Las experiencias propias, aunque son numerosas, se describen de manera menos detallada y contextualizada, sin el mismo nivel de concreción en cuanto a centros, resultados o aplicación directa”</w:t>
      </w:r>
      <w:r w:rsidRPr="000B50DF">
        <w:rPr>
          <w:color w:val="000000" w:themeColor="text1"/>
          <w:sz w:val="22"/>
          <w:szCs w:val="22"/>
        </w:rPr>
        <w:t>.</w:t>
      </w:r>
    </w:p>
    <w:p w14:paraId="5F8B514B" w14:textId="77777777" w:rsidR="00C55A52" w:rsidRPr="000B50DF" w:rsidRDefault="00C55A52" w:rsidP="00C55A52">
      <w:pPr>
        <w:autoSpaceDE w:val="0"/>
        <w:autoSpaceDN w:val="0"/>
        <w:adjustRightInd w:val="0"/>
        <w:jc w:val="both"/>
        <w:rPr>
          <w:color w:val="000000" w:themeColor="text1"/>
          <w:sz w:val="22"/>
          <w:szCs w:val="22"/>
        </w:rPr>
      </w:pPr>
    </w:p>
    <w:p w14:paraId="31A63F7D" w14:textId="77777777" w:rsidR="00D137B4" w:rsidRPr="000B50DF" w:rsidRDefault="00C55A52" w:rsidP="00C55A52">
      <w:pPr>
        <w:autoSpaceDE w:val="0"/>
        <w:autoSpaceDN w:val="0"/>
        <w:adjustRightInd w:val="0"/>
        <w:jc w:val="both"/>
        <w:rPr>
          <w:color w:val="000000" w:themeColor="text1"/>
          <w:sz w:val="22"/>
          <w:szCs w:val="22"/>
        </w:rPr>
      </w:pPr>
      <w:r w:rsidRPr="000B50DF">
        <w:rPr>
          <w:color w:val="000000" w:themeColor="text1"/>
          <w:sz w:val="22"/>
          <w:szCs w:val="22"/>
        </w:rPr>
        <w:t xml:space="preserve">Nuevamente, se recuerda que la labor de este OAFRC no es la de proceder a la revisión técnica de la valoración efectuada por el OC. De la descripción realizada en el informe de valoración, se infiere que los aspectos que se han alegado como no computados en el informe sí tienen reflejo en el mismo. </w:t>
      </w:r>
    </w:p>
    <w:p w14:paraId="5CB857F1" w14:textId="77777777" w:rsidR="00D137B4" w:rsidRPr="000B50DF" w:rsidRDefault="00D137B4" w:rsidP="00C55A52">
      <w:pPr>
        <w:autoSpaceDE w:val="0"/>
        <w:autoSpaceDN w:val="0"/>
        <w:adjustRightInd w:val="0"/>
        <w:jc w:val="both"/>
        <w:rPr>
          <w:color w:val="000000" w:themeColor="text1"/>
          <w:sz w:val="22"/>
          <w:szCs w:val="22"/>
        </w:rPr>
      </w:pPr>
    </w:p>
    <w:p w14:paraId="7F2528E8" w14:textId="51184C2B" w:rsidR="00D137B4" w:rsidRPr="000B50DF" w:rsidRDefault="00D137B4" w:rsidP="00C55A52">
      <w:pPr>
        <w:autoSpaceDE w:val="0"/>
        <w:autoSpaceDN w:val="0"/>
        <w:adjustRightInd w:val="0"/>
        <w:jc w:val="both"/>
        <w:rPr>
          <w:color w:val="000000" w:themeColor="text1"/>
          <w:sz w:val="22"/>
          <w:szCs w:val="22"/>
        </w:rPr>
      </w:pPr>
      <w:r w:rsidRPr="000B50DF">
        <w:rPr>
          <w:color w:val="000000" w:themeColor="text1"/>
          <w:sz w:val="22"/>
          <w:szCs w:val="22"/>
        </w:rPr>
        <w:t>En el informe del OC al RE se explica que las referencias presentadas por la recurrente son en su mayor parte, indirectas, que se apoyan en literatura científica de carácter general y no siempre aparece vinculada al funcionamiento, implantación o resultados obtenidos por la solución objeto de la oferta</w:t>
      </w:r>
      <w:r w:rsidR="00C075AF" w:rsidRPr="000B50DF">
        <w:rPr>
          <w:color w:val="000000" w:themeColor="text1"/>
          <w:sz w:val="22"/>
          <w:szCs w:val="22"/>
        </w:rPr>
        <w:t>, lo que contrasta a primera vista con la información contenida en el apartado 1.3 de la oferta técnica de la empresa propuesta adjudicataria, que incluye experiencias y referencias concretas que respaldan la eficacia de los contenidos incluidos en el software.</w:t>
      </w:r>
    </w:p>
    <w:p w14:paraId="1D221AAC" w14:textId="77777777" w:rsidR="00C075AF" w:rsidRPr="000B50DF" w:rsidRDefault="00C075AF" w:rsidP="00C55A52">
      <w:pPr>
        <w:autoSpaceDE w:val="0"/>
        <w:autoSpaceDN w:val="0"/>
        <w:adjustRightInd w:val="0"/>
        <w:jc w:val="both"/>
        <w:rPr>
          <w:color w:val="000000" w:themeColor="text1"/>
          <w:sz w:val="22"/>
          <w:szCs w:val="22"/>
        </w:rPr>
      </w:pPr>
    </w:p>
    <w:p w14:paraId="244D492F" w14:textId="7DA60EE7" w:rsidR="00C075AF" w:rsidRPr="000B50DF" w:rsidRDefault="00C075AF" w:rsidP="00C55A52">
      <w:pPr>
        <w:autoSpaceDE w:val="0"/>
        <w:autoSpaceDN w:val="0"/>
        <w:adjustRightInd w:val="0"/>
        <w:jc w:val="both"/>
        <w:rPr>
          <w:color w:val="000000" w:themeColor="text1"/>
          <w:sz w:val="22"/>
          <w:szCs w:val="22"/>
        </w:rPr>
      </w:pPr>
      <w:r w:rsidRPr="000B50DF">
        <w:rPr>
          <w:color w:val="000000" w:themeColor="text1"/>
          <w:sz w:val="22"/>
          <w:szCs w:val="22"/>
        </w:rPr>
        <w:t>Nuevamente hemos de decir que no se observa error patente o arbitrariedad en la valoración que motive la estimación del RE en este apartado.</w:t>
      </w:r>
    </w:p>
    <w:p w14:paraId="2F90686A" w14:textId="77777777" w:rsidR="00D137B4" w:rsidRPr="000B50DF" w:rsidRDefault="00D137B4" w:rsidP="00C55A52">
      <w:pPr>
        <w:autoSpaceDE w:val="0"/>
        <w:autoSpaceDN w:val="0"/>
        <w:adjustRightInd w:val="0"/>
        <w:jc w:val="both"/>
        <w:rPr>
          <w:color w:val="000000" w:themeColor="text1"/>
          <w:sz w:val="22"/>
          <w:szCs w:val="22"/>
        </w:rPr>
      </w:pPr>
    </w:p>
    <w:p w14:paraId="5A51D127" w14:textId="3B284DE8" w:rsidR="0078364B" w:rsidRPr="000B50DF" w:rsidRDefault="002151D5" w:rsidP="00E5181C">
      <w:pPr>
        <w:autoSpaceDE w:val="0"/>
        <w:autoSpaceDN w:val="0"/>
        <w:adjustRightInd w:val="0"/>
        <w:jc w:val="both"/>
        <w:rPr>
          <w:color w:val="000000" w:themeColor="text1"/>
          <w:sz w:val="22"/>
          <w:szCs w:val="22"/>
        </w:rPr>
      </w:pPr>
      <w:r w:rsidRPr="000B50DF">
        <w:rPr>
          <w:b/>
          <w:bCs/>
          <w:color w:val="000000" w:themeColor="text1"/>
          <w:sz w:val="22"/>
          <w:szCs w:val="22"/>
        </w:rPr>
        <w:t>UNDÉCIMO.</w:t>
      </w:r>
      <w:r w:rsidR="00E5181C">
        <w:rPr>
          <w:b/>
          <w:bCs/>
          <w:color w:val="000000" w:themeColor="text1"/>
          <w:sz w:val="22"/>
          <w:szCs w:val="22"/>
        </w:rPr>
        <w:t xml:space="preserve"> –</w:t>
      </w:r>
      <w:r w:rsidRPr="000B50DF">
        <w:rPr>
          <w:b/>
          <w:bCs/>
          <w:color w:val="000000" w:themeColor="text1"/>
          <w:sz w:val="22"/>
          <w:szCs w:val="22"/>
        </w:rPr>
        <w:t xml:space="preserve"> </w:t>
      </w:r>
      <w:r w:rsidR="0078364B" w:rsidRPr="000B50DF">
        <w:rPr>
          <w:color w:val="000000" w:themeColor="text1"/>
          <w:sz w:val="22"/>
          <w:szCs w:val="22"/>
        </w:rPr>
        <w:t>Por</w:t>
      </w:r>
      <w:r w:rsidR="00E5181C">
        <w:rPr>
          <w:color w:val="000000" w:themeColor="text1"/>
          <w:sz w:val="22"/>
          <w:szCs w:val="22"/>
        </w:rPr>
        <w:t xml:space="preserve"> otra </w:t>
      </w:r>
      <w:r w:rsidR="0078364B" w:rsidRPr="000B50DF">
        <w:rPr>
          <w:color w:val="000000" w:themeColor="text1"/>
          <w:sz w:val="22"/>
          <w:szCs w:val="22"/>
        </w:rPr>
        <w:t xml:space="preserve">parte, </w:t>
      </w:r>
      <w:proofErr w:type="gramStart"/>
      <w:r w:rsidR="0078364B" w:rsidRPr="000B50DF">
        <w:rPr>
          <w:color w:val="000000" w:themeColor="text1"/>
          <w:sz w:val="22"/>
          <w:szCs w:val="22"/>
        </w:rPr>
        <w:t>en relación a</w:t>
      </w:r>
      <w:proofErr w:type="gramEnd"/>
      <w:r w:rsidR="0078364B" w:rsidRPr="000B50DF">
        <w:rPr>
          <w:color w:val="000000" w:themeColor="text1"/>
          <w:sz w:val="22"/>
          <w:szCs w:val="22"/>
        </w:rPr>
        <w:t xml:space="preserve"> la supuesta valoración de contenidos inexistentes en la oferta de MANIFIESTO STUDIO, la recurrente afirma que la empresa propuesta como adjudicataria únicamente presentó cuatro contenidos interactivos y que se le valoraron seis.</w:t>
      </w:r>
    </w:p>
    <w:p w14:paraId="0FD1AE98" w14:textId="77777777" w:rsidR="0078364B" w:rsidRPr="000B50DF" w:rsidRDefault="0078364B" w:rsidP="0078364B">
      <w:pPr>
        <w:jc w:val="both"/>
        <w:rPr>
          <w:color w:val="000000" w:themeColor="text1"/>
          <w:sz w:val="22"/>
          <w:szCs w:val="22"/>
        </w:rPr>
      </w:pPr>
    </w:p>
    <w:p w14:paraId="7A23C67F" w14:textId="5E1239D2" w:rsidR="0078364B" w:rsidRPr="000B50DF" w:rsidRDefault="0078364B" w:rsidP="0078364B">
      <w:pPr>
        <w:jc w:val="both"/>
        <w:rPr>
          <w:color w:val="000000" w:themeColor="text1"/>
          <w:sz w:val="22"/>
          <w:szCs w:val="22"/>
        </w:rPr>
      </w:pPr>
      <w:r w:rsidRPr="000B50DF">
        <w:rPr>
          <w:color w:val="000000" w:themeColor="text1"/>
          <w:sz w:val="22"/>
          <w:szCs w:val="22"/>
        </w:rPr>
        <w:t>Sin embargo, tanto MANIFIESTO STUDIO como el órgano de contratación afirman que la memoria técnica identifica expresamente seis aplicaciones: Street</w:t>
      </w:r>
      <w:r w:rsidR="00E5181C">
        <w:rPr>
          <w:color w:val="000000" w:themeColor="text1"/>
          <w:sz w:val="22"/>
          <w:szCs w:val="22"/>
        </w:rPr>
        <w:t xml:space="preserve"> </w:t>
      </w:r>
      <w:r w:rsidRPr="000B50DF">
        <w:rPr>
          <w:color w:val="000000" w:themeColor="text1"/>
          <w:sz w:val="22"/>
          <w:szCs w:val="22"/>
        </w:rPr>
        <w:t>View, Emoji</w:t>
      </w:r>
      <w:r w:rsidR="00E5181C">
        <w:rPr>
          <w:color w:val="000000" w:themeColor="text1"/>
          <w:sz w:val="22"/>
          <w:szCs w:val="22"/>
        </w:rPr>
        <w:t>s</w:t>
      </w:r>
      <w:r w:rsidRPr="000B50DF">
        <w:rPr>
          <w:color w:val="000000" w:themeColor="text1"/>
          <w:sz w:val="22"/>
          <w:szCs w:val="22"/>
        </w:rPr>
        <w:t xml:space="preserve">, </w:t>
      </w:r>
      <w:proofErr w:type="spellStart"/>
      <w:r w:rsidRPr="000B50DF">
        <w:rPr>
          <w:color w:val="000000" w:themeColor="text1"/>
          <w:sz w:val="22"/>
          <w:szCs w:val="22"/>
        </w:rPr>
        <w:t>Interact</w:t>
      </w:r>
      <w:proofErr w:type="spellEnd"/>
      <w:r w:rsidRPr="000B50DF">
        <w:rPr>
          <w:color w:val="000000" w:themeColor="text1"/>
          <w:sz w:val="22"/>
          <w:szCs w:val="22"/>
        </w:rPr>
        <w:t>, Listen</w:t>
      </w:r>
      <w:r w:rsidR="00E5181C">
        <w:rPr>
          <w:color w:val="000000" w:themeColor="text1"/>
          <w:sz w:val="22"/>
          <w:szCs w:val="22"/>
        </w:rPr>
        <w:t xml:space="preserve">, </w:t>
      </w:r>
      <w:proofErr w:type="spellStart"/>
      <w:r w:rsidRPr="000B50DF">
        <w:rPr>
          <w:color w:val="000000" w:themeColor="text1"/>
          <w:sz w:val="22"/>
          <w:szCs w:val="22"/>
        </w:rPr>
        <w:t>Draw</w:t>
      </w:r>
      <w:proofErr w:type="spellEnd"/>
      <w:r w:rsidR="00E5181C">
        <w:rPr>
          <w:color w:val="000000" w:themeColor="text1"/>
          <w:sz w:val="22"/>
          <w:szCs w:val="22"/>
        </w:rPr>
        <w:t xml:space="preserve"> y</w:t>
      </w:r>
      <w:r w:rsidRPr="000B50DF">
        <w:rPr>
          <w:color w:val="000000" w:themeColor="text1"/>
          <w:sz w:val="22"/>
          <w:szCs w:val="22"/>
        </w:rPr>
        <w:t xml:space="preserve"> Text.</w:t>
      </w:r>
    </w:p>
    <w:p w14:paraId="4982E8B4" w14:textId="77777777" w:rsidR="0078364B" w:rsidRPr="000B50DF" w:rsidRDefault="0078364B" w:rsidP="0078364B">
      <w:pPr>
        <w:jc w:val="both"/>
        <w:rPr>
          <w:color w:val="000000" w:themeColor="text1"/>
          <w:sz w:val="22"/>
          <w:szCs w:val="22"/>
        </w:rPr>
      </w:pPr>
    </w:p>
    <w:p w14:paraId="72EA8E89" w14:textId="5E46D2CF" w:rsidR="002F19CE" w:rsidRPr="000B50DF" w:rsidRDefault="0078364B" w:rsidP="0078364B">
      <w:pPr>
        <w:autoSpaceDE w:val="0"/>
        <w:autoSpaceDN w:val="0"/>
        <w:adjustRightInd w:val="0"/>
        <w:jc w:val="both"/>
        <w:rPr>
          <w:color w:val="000000" w:themeColor="text1"/>
          <w:sz w:val="22"/>
          <w:szCs w:val="22"/>
        </w:rPr>
      </w:pPr>
      <w:r w:rsidRPr="000B50DF">
        <w:rPr>
          <w:color w:val="000000" w:themeColor="text1"/>
          <w:sz w:val="22"/>
          <w:szCs w:val="22"/>
        </w:rPr>
        <w:t xml:space="preserve">Efectivamente, dichos contenidos figuran en la memoria presentada por lo que no existe error </w:t>
      </w:r>
      <w:r w:rsidR="00E5181C">
        <w:rPr>
          <w:color w:val="000000" w:themeColor="text1"/>
          <w:sz w:val="22"/>
          <w:szCs w:val="22"/>
        </w:rPr>
        <w:t xml:space="preserve"> </w:t>
      </w:r>
      <w:r w:rsidRPr="000B50DF">
        <w:rPr>
          <w:color w:val="000000" w:themeColor="text1"/>
          <w:sz w:val="22"/>
          <w:szCs w:val="22"/>
        </w:rPr>
        <w:t>material de hecho.</w:t>
      </w:r>
    </w:p>
    <w:p w14:paraId="49069680" w14:textId="77777777" w:rsidR="0078364B" w:rsidRPr="000B50DF" w:rsidRDefault="0078364B" w:rsidP="0078364B">
      <w:pPr>
        <w:autoSpaceDE w:val="0"/>
        <w:autoSpaceDN w:val="0"/>
        <w:adjustRightInd w:val="0"/>
        <w:jc w:val="both"/>
        <w:rPr>
          <w:color w:val="000000" w:themeColor="text1"/>
          <w:sz w:val="22"/>
          <w:szCs w:val="22"/>
        </w:rPr>
      </w:pPr>
    </w:p>
    <w:p w14:paraId="54156E87" w14:textId="63D862AC" w:rsidR="0078364B" w:rsidRPr="000B50DF" w:rsidRDefault="0078364B" w:rsidP="0078364B">
      <w:pPr>
        <w:rPr>
          <w:color w:val="000000" w:themeColor="text1"/>
          <w:sz w:val="22"/>
          <w:szCs w:val="22"/>
        </w:rPr>
      </w:pPr>
      <w:r w:rsidRPr="000B50DF">
        <w:rPr>
          <w:color w:val="000000" w:themeColor="text1"/>
          <w:sz w:val="22"/>
          <w:szCs w:val="22"/>
        </w:rPr>
        <w:t>Por otro lado, en cuanto a que la oferta de que ELEKTRART, INNOVACIÓN CULTURAL Y TECNOLÓGICA, S.L. no se vincula con el objeto del contrato, la recurrente argumenta que las experiencias acreditadas corresponden al ámbito sanitario y no al objeto del contrato.</w:t>
      </w:r>
    </w:p>
    <w:p w14:paraId="553E0782" w14:textId="77777777" w:rsidR="0078364B" w:rsidRPr="000B50DF" w:rsidRDefault="0078364B" w:rsidP="0078364B">
      <w:pPr>
        <w:rPr>
          <w:color w:val="000000" w:themeColor="text1"/>
          <w:sz w:val="22"/>
          <w:szCs w:val="22"/>
        </w:rPr>
      </w:pPr>
    </w:p>
    <w:p w14:paraId="47B2F798" w14:textId="77777777" w:rsidR="0078364B" w:rsidRPr="000B50DF" w:rsidRDefault="0078364B" w:rsidP="0078364B">
      <w:pPr>
        <w:rPr>
          <w:color w:val="000000" w:themeColor="text1"/>
          <w:sz w:val="22"/>
          <w:szCs w:val="22"/>
        </w:rPr>
      </w:pPr>
      <w:r w:rsidRPr="000B50DF">
        <w:rPr>
          <w:color w:val="000000" w:themeColor="text1"/>
          <w:sz w:val="22"/>
          <w:szCs w:val="22"/>
        </w:rPr>
        <w:t>No obstante, el informe técnico reconoce precisamente esa circunstancia y afirma que fue tenida en cuenta durante la evaluación. Nuevamente parece existir una discrepancia sobre la intensidad de la valoración y no un error objetivo.</w:t>
      </w:r>
    </w:p>
    <w:p w14:paraId="14335A43" w14:textId="77777777" w:rsidR="002151D5" w:rsidRPr="000B50DF" w:rsidRDefault="002151D5" w:rsidP="00112F6B">
      <w:pPr>
        <w:autoSpaceDE w:val="0"/>
        <w:autoSpaceDN w:val="0"/>
        <w:adjustRightInd w:val="0"/>
        <w:jc w:val="both"/>
        <w:rPr>
          <w:b/>
          <w:bCs/>
          <w:color w:val="000000" w:themeColor="text1"/>
          <w:sz w:val="22"/>
          <w:szCs w:val="22"/>
        </w:rPr>
      </w:pPr>
    </w:p>
    <w:p w14:paraId="6EEE268B" w14:textId="3AC43508" w:rsidR="00F640B5" w:rsidRPr="000B50DF" w:rsidRDefault="00F640B5" w:rsidP="00112F6B">
      <w:pPr>
        <w:autoSpaceDE w:val="0"/>
        <w:autoSpaceDN w:val="0"/>
        <w:adjustRightInd w:val="0"/>
        <w:jc w:val="both"/>
        <w:rPr>
          <w:color w:val="000000" w:themeColor="text1"/>
          <w:sz w:val="22"/>
          <w:szCs w:val="22"/>
        </w:rPr>
      </w:pPr>
      <w:r w:rsidRPr="000B50DF">
        <w:rPr>
          <w:b/>
          <w:bCs/>
          <w:color w:val="000000" w:themeColor="text1"/>
          <w:sz w:val="22"/>
          <w:szCs w:val="22"/>
        </w:rPr>
        <w:lastRenderedPageBreak/>
        <w:t>DUO</w:t>
      </w:r>
      <w:r w:rsidR="00350A5F" w:rsidRPr="000B50DF">
        <w:rPr>
          <w:b/>
          <w:bCs/>
          <w:color w:val="000000" w:themeColor="text1"/>
          <w:sz w:val="22"/>
          <w:szCs w:val="22"/>
        </w:rPr>
        <w:t xml:space="preserve">DÉCIMO. – </w:t>
      </w:r>
      <w:r w:rsidR="00350A5F" w:rsidRPr="000B50DF">
        <w:rPr>
          <w:color w:val="000000" w:themeColor="text1"/>
          <w:sz w:val="22"/>
          <w:szCs w:val="22"/>
        </w:rPr>
        <w:t xml:space="preserve">Por último, </w:t>
      </w:r>
      <w:r w:rsidRPr="000B50DF">
        <w:rPr>
          <w:color w:val="000000" w:themeColor="text1"/>
          <w:sz w:val="22"/>
          <w:szCs w:val="22"/>
        </w:rPr>
        <w:t xml:space="preserve">en relación con la valoración del criterio “4. Valoración de la demostración de proyección”, </w:t>
      </w:r>
      <w:r w:rsidR="00350A5F" w:rsidRPr="000B50DF">
        <w:rPr>
          <w:color w:val="000000" w:themeColor="text1"/>
          <w:sz w:val="22"/>
          <w:szCs w:val="22"/>
        </w:rPr>
        <w:t>la recurrente alega que no ha tenido acceso a las demostraciones realizadas por</w:t>
      </w:r>
      <w:r w:rsidR="003C7545" w:rsidRPr="000B50DF">
        <w:rPr>
          <w:color w:val="000000" w:themeColor="text1"/>
          <w:sz w:val="22"/>
          <w:szCs w:val="22"/>
        </w:rPr>
        <w:t xml:space="preserve"> el resto de</w:t>
      </w:r>
      <w:r w:rsidR="00350A5F" w:rsidRPr="000B50DF">
        <w:rPr>
          <w:color w:val="000000" w:themeColor="text1"/>
          <w:sz w:val="22"/>
          <w:szCs w:val="22"/>
        </w:rPr>
        <w:t xml:space="preserve"> los licitadores. </w:t>
      </w:r>
    </w:p>
    <w:p w14:paraId="3ED4374B" w14:textId="77777777" w:rsidR="00F640B5" w:rsidRPr="000B50DF" w:rsidRDefault="00F640B5" w:rsidP="00112F6B">
      <w:pPr>
        <w:autoSpaceDE w:val="0"/>
        <w:autoSpaceDN w:val="0"/>
        <w:adjustRightInd w:val="0"/>
        <w:jc w:val="both"/>
        <w:rPr>
          <w:color w:val="000000" w:themeColor="text1"/>
          <w:sz w:val="22"/>
          <w:szCs w:val="22"/>
        </w:rPr>
      </w:pPr>
    </w:p>
    <w:p w14:paraId="1551B7B0" w14:textId="572CA071" w:rsidR="00350A5F" w:rsidRPr="000B50DF" w:rsidRDefault="00F640B5" w:rsidP="00112F6B">
      <w:pPr>
        <w:autoSpaceDE w:val="0"/>
        <w:autoSpaceDN w:val="0"/>
        <w:adjustRightInd w:val="0"/>
        <w:jc w:val="both"/>
        <w:rPr>
          <w:i/>
          <w:iCs/>
          <w:color w:val="000000" w:themeColor="text1"/>
          <w:sz w:val="22"/>
          <w:szCs w:val="22"/>
        </w:rPr>
      </w:pPr>
      <w:r w:rsidRPr="000B50DF">
        <w:rPr>
          <w:color w:val="000000" w:themeColor="text1"/>
          <w:sz w:val="22"/>
          <w:szCs w:val="22"/>
        </w:rPr>
        <w:t>De esta manera, s</w:t>
      </w:r>
      <w:r w:rsidR="00350A5F" w:rsidRPr="000B50DF">
        <w:rPr>
          <w:color w:val="000000" w:themeColor="text1"/>
          <w:sz w:val="22"/>
          <w:szCs w:val="22"/>
        </w:rPr>
        <w:t xml:space="preserve">eñala que, </w:t>
      </w:r>
      <w:r w:rsidR="00BB4BC9" w:rsidRPr="000B50DF">
        <w:rPr>
          <w:color w:val="000000" w:themeColor="text1"/>
          <w:sz w:val="22"/>
          <w:szCs w:val="22"/>
        </w:rPr>
        <w:t>“</w:t>
      </w:r>
      <w:r w:rsidR="00BB4BC9" w:rsidRPr="000B50DF">
        <w:rPr>
          <w:i/>
          <w:iCs/>
          <w:color w:val="000000" w:themeColor="text1"/>
          <w:sz w:val="22"/>
          <w:szCs w:val="22"/>
        </w:rPr>
        <w:t>No obstante, no existe soporte documental, prueba gráfica, grabación digital o de cualquier tipo, o a esta parte no se le ha dado acceso, que posibilite su comprobación, control y garantía de legalidad. Las únicas referencias son las valoraciones que el Informe Técnico hace de las demostraciones, pero ¿cómo comprobar que esa valoración es legal sin poder acceder a la demostración del proyecto de uno u otro licitador.”</w:t>
      </w:r>
    </w:p>
    <w:p w14:paraId="4F582496" w14:textId="77777777" w:rsidR="00BB4BC9" w:rsidRPr="000B50DF" w:rsidRDefault="00BB4BC9" w:rsidP="00112F6B">
      <w:pPr>
        <w:autoSpaceDE w:val="0"/>
        <w:autoSpaceDN w:val="0"/>
        <w:adjustRightInd w:val="0"/>
        <w:jc w:val="both"/>
        <w:rPr>
          <w:i/>
          <w:iCs/>
          <w:color w:val="000000" w:themeColor="text1"/>
          <w:sz w:val="22"/>
          <w:szCs w:val="22"/>
        </w:rPr>
      </w:pPr>
    </w:p>
    <w:p w14:paraId="702996CF" w14:textId="62869BA2" w:rsidR="00BB4BC9" w:rsidRPr="000B50DF" w:rsidRDefault="00BB4BC9" w:rsidP="00112F6B">
      <w:pPr>
        <w:autoSpaceDE w:val="0"/>
        <w:autoSpaceDN w:val="0"/>
        <w:adjustRightInd w:val="0"/>
        <w:jc w:val="both"/>
        <w:rPr>
          <w:color w:val="000000" w:themeColor="text1"/>
          <w:sz w:val="22"/>
          <w:szCs w:val="22"/>
        </w:rPr>
      </w:pPr>
      <w:r w:rsidRPr="000B50DF">
        <w:rPr>
          <w:color w:val="000000" w:themeColor="text1"/>
          <w:sz w:val="22"/>
          <w:szCs w:val="22"/>
        </w:rPr>
        <w:t>En este punto, al contrario que en la valoración del criterio de adjudicación “</w:t>
      </w:r>
      <w:r w:rsidR="003C7545" w:rsidRPr="000B50DF">
        <w:rPr>
          <w:color w:val="000000" w:themeColor="text1"/>
          <w:sz w:val="22"/>
          <w:szCs w:val="22"/>
        </w:rPr>
        <w:t xml:space="preserve">1. </w:t>
      </w:r>
      <w:r w:rsidRPr="000B50DF">
        <w:rPr>
          <w:color w:val="000000" w:themeColor="text1"/>
          <w:sz w:val="22"/>
          <w:szCs w:val="22"/>
        </w:rPr>
        <w:t>contenidos incluidos en el software”, la recurrente no formula reproche ni alegación alguna a la puntuación otorgada en el informe de valoración, limitándose a invocar aspectos formales como la ausencia de grabaciones de las demostraciones de las empresas licitadoras.</w:t>
      </w:r>
    </w:p>
    <w:p w14:paraId="18BFF647" w14:textId="77777777" w:rsidR="002F19CE" w:rsidRPr="000B50DF" w:rsidRDefault="002F19CE" w:rsidP="00112F6B">
      <w:pPr>
        <w:autoSpaceDE w:val="0"/>
        <w:autoSpaceDN w:val="0"/>
        <w:adjustRightInd w:val="0"/>
        <w:jc w:val="both"/>
        <w:rPr>
          <w:color w:val="000000" w:themeColor="text1"/>
          <w:sz w:val="22"/>
          <w:szCs w:val="22"/>
        </w:rPr>
      </w:pPr>
    </w:p>
    <w:p w14:paraId="0ECA75D8" w14:textId="77777777" w:rsidR="002F19CE" w:rsidRPr="000B50DF" w:rsidRDefault="002F19CE" w:rsidP="002F19CE">
      <w:pPr>
        <w:jc w:val="both"/>
        <w:rPr>
          <w:color w:val="000000" w:themeColor="text1"/>
          <w:sz w:val="22"/>
          <w:szCs w:val="22"/>
        </w:rPr>
      </w:pPr>
      <w:bookmarkStart w:id="3" w:name="_Hlk236899428"/>
      <w:r w:rsidRPr="000B50DF">
        <w:rPr>
          <w:color w:val="000000" w:themeColor="text1"/>
          <w:sz w:val="22"/>
          <w:szCs w:val="22"/>
        </w:rPr>
        <w:t>La recurrente sostiene que el expediente no contiene respaldo suficiente de las pruebas sujetas a valoración subjetiva. Sin embargo, el pliego preveía la realización de dichas demostraciones, todas las licitadoras participaron en igualdad de condiciones, existe constancia de su celebración y existe informe técnico de valoración.</w:t>
      </w:r>
    </w:p>
    <w:p w14:paraId="08178862" w14:textId="77777777" w:rsidR="002F19CE" w:rsidRPr="000B50DF" w:rsidRDefault="002F19CE" w:rsidP="002F19CE">
      <w:pPr>
        <w:jc w:val="both"/>
        <w:rPr>
          <w:color w:val="000000" w:themeColor="text1"/>
          <w:sz w:val="22"/>
          <w:szCs w:val="22"/>
        </w:rPr>
      </w:pPr>
    </w:p>
    <w:p w14:paraId="1ED13BB3" w14:textId="109B2BAE" w:rsidR="002F19CE" w:rsidRPr="000B50DF" w:rsidRDefault="002F19CE" w:rsidP="002F19CE">
      <w:pPr>
        <w:autoSpaceDE w:val="0"/>
        <w:autoSpaceDN w:val="0"/>
        <w:adjustRightInd w:val="0"/>
        <w:jc w:val="both"/>
        <w:rPr>
          <w:color w:val="000000" w:themeColor="text1"/>
          <w:sz w:val="22"/>
          <w:szCs w:val="22"/>
        </w:rPr>
      </w:pPr>
      <w:r w:rsidRPr="000B50DF">
        <w:rPr>
          <w:color w:val="000000" w:themeColor="text1"/>
          <w:sz w:val="22"/>
          <w:szCs w:val="22"/>
        </w:rPr>
        <w:t>Por ello, no se sostiene la invalidez de la valoración únicamente por la ausencia de vídeo o registro completo de las demostraciones que el pliego no exigía expresamente</w:t>
      </w:r>
      <w:bookmarkEnd w:id="3"/>
      <w:r w:rsidR="002E30A4" w:rsidRPr="000B50DF">
        <w:rPr>
          <w:color w:val="000000" w:themeColor="text1"/>
          <w:sz w:val="22"/>
          <w:szCs w:val="22"/>
        </w:rPr>
        <w:t>.</w:t>
      </w:r>
    </w:p>
    <w:p w14:paraId="135DF954" w14:textId="77777777" w:rsidR="00BB4BC9" w:rsidRPr="000B50DF" w:rsidRDefault="00BB4BC9" w:rsidP="00112F6B">
      <w:pPr>
        <w:autoSpaceDE w:val="0"/>
        <w:autoSpaceDN w:val="0"/>
        <w:adjustRightInd w:val="0"/>
        <w:jc w:val="both"/>
        <w:rPr>
          <w:color w:val="000000" w:themeColor="text1"/>
          <w:sz w:val="22"/>
          <w:szCs w:val="22"/>
        </w:rPr>
      </w:pPr>
    </w:p>
    <w:p w14:paraId="1053D8AA" w14:textId="63C86820" w:rsidR="00F640B5" w:rsidRPr="000B50DF" w:rsidRDefault="00F640B5" w:rsidP="001B76E7">
      <w:pPr>
        <w:autoSpaceDE w:val="0"/>
        <w:autoSpaceDN w:val="0"/>
        <w:adjustRightInd w:val="0"/>
        <w:jc w:val="both"/>
        <w:rPr>
          <w:color w:val="000000" w:themeColor="text1"/>
          <w:sz w:val="22"/>
          <w:szCs w:val="22"/>
          <w:lang w:val="es-ES_tradnl"/>
        </w:rPr>
      </w:pPr>
      <w:r w:rsidRPr="000B50DF">
        <w:rPr>
          <w:color w:val="000000" w:themeColor="text1"/>
          <w:sz w:val="22"/>
          <w:szCs w:val="22"/>
        </w:rPr>
        <w:t>Como se ha dicho, en el informe de valoración asumido por la mesa de contratación se contienen los elementos sobre los que se han otorgado los puntos correspondientes al meritado criterio 4 de valoración, que no son puestos en cuestión por la UTE recurrente.</w:t>
      </w:r>
    </w:p>
    <w:p w14:paraId="00B10659" w14:textId="77777777" w:rsidR="004A0C64" w:rsidRPr="000B50DF" w:rsidRDefault="004A0C64" w:rsidP="00112F6B">
      <w:pPr>
        <w:autoSpaceDE w:val="0"/>
        <w:autoSpaceDN w:val="0"/>
        <w:adjustRightInd w:val="0"/>
        <w:jc w:val="both"/>
        <w:rPr>
          <w:color w:val="000000" w:themeColor="text1"/>
          <w:sz w:val="22"/>
          <w:szCs w:val="22"/>
          <w:lang w:val="es-ES_tradnl"/>
        </w:rPr>
      </w:pPr>
    </w:p>
    <w:p w14:paraId="04FE8D6C" w14:textId="63F15ECF" w:rsidR="004A0C64" w:rsidRPr="000B50DF" w:rsidRDefault="004A0C64" w:rsidP="00112F6B">
      <w:pPr>
        <w:autoSpaceDE w:val="0"/>
        <w:autoSpaceDN w:val="0"/>
        <w:adjustRightInd w:val="0"/>
        <w:jc w:val="both"/>
        <w:rPr>
          <w:color w:val="000000" w:themeColor="text1"/>
          <w:sz w:val="22"/>
          <w:szCs w:val="22"/>
          <w:lang w:val="es-ES_tradnl"/>
        </w:rPr>
      </w:pPr>
      <w:r w:rsidRPr="000B50DF">
        <w:rPr>
          <w:color w:val="000000" w:themeColor="text1"/>
          <w:sz w:val="22"/>
          <w:szCs w:val="22"/>
          <w:lang w:val="es-ES_tradnl"/>
        </w:rPr>
        <w:t xml:space="preserve">Por lo tanto, esta alegación ha de ser </w:t>
      </w:r>
      <w:r w:rsidR="002F19CE" w:rsidRPr="000B50DF">
        <w:rPr>
          <w:color w:val="000000" w:themeColor="text1"/>
          <w:sz w:val="22"/>
          <w:szCs w:val="22"/>
          <w:lang w:val="es-ES_tradnl"/>
        </w:rPr>
        <w:t xml:space="preserve">también </w:t>
      </w:r>
      <w:r w:rsidRPr="000B50DF">
        <w:rPr>
          <w:color w:val="000000" w:themeColor="text1"/>
          <w:sz w:val="22"/>
          <w:szCs w:val="22"/>
          <w:lang w:val="es-ES_tradnl"/>
        </w:rPr>
        <w:t>desestimada.</w:t>
      </w:r>
    </w:p>
    <w:p w14:paraId="053F7B40" w14:textId="77777777" w:rsidR="002F19CE" w:rsidRPr="000B50DF" w:rsidRDefault="002F19CE" w:rsidP="00112F6B">
      <w:pPr>
        <w:autoSpaceDE w:val="0"/>
        <w:autoSpaceDN w:val="0"/>
        <w:adjustRightInd w:val="0"/>
        <w:jc w:val="both"/>
        <w:rPr>
          <w:color w:val="000000" w:themeColor="text1"/>
          <w:sz w:val="22"/>
          <w:szCs w:val="22"/>
          <w:lang w:val="es-ES_tradnl"/>
        </w:rPr>
      </w:pPr>
    </w:p>
    <w:p w14:paraId="6B88D77A" w14:textId="77777777" w:rsidR="002F19CE" w:rsidRPr="000B50DF" w:rsidRDefault="002F19CE" w:rsidP="002F19CE">
      <w:pPr>
        <w:jc w:val="both"/>
        <w:rPr>
          <w:color w:val="000000" w:themeColor="text1"/>
          <w:sz w:val="22"/>
          <w:szCs w:val="22"/>
        </w:rPr>
      </w:pPr>
      <w:r w:rsidRPr="000B50DF">
        <w:rPr>
          <w:color w:val="000000" w:themeColor="text1"/>
          <w:sz w:val="22"/>
          <w:szCs w:val="22"/>
        </w:rPr>
        <w:t>En conclusión, las alegaciones de la UTE IFBS INNOVAE OROI se apoyan fundamentalmente en discrepancias respecto de la valoración técnica efectuada, pero no parece acreditarse error material manifiesto, ni se aprecia aplicación de criterios distintos de los previstos en los pliegos, la motivación existe y responde a los aspectos cuestionados, la ausencia de grabación de las demostraciones no implica la invalidez del procedimiento, ni la solicitud de nulidad parece apoyarse en ninguna de las causas tasadas de nulidad de pleno derecho previstas en el artículo 47 de la Ley 39/2015.</w:t>
      </w:r>
    </w:p>
    <w:p w14:paraId="02CB6DB5" w14:textId="77777777" w:rsidR="0000480F" w:rsidRPr="000B50DF" w:rsidRDefault="0000480F" w:rsidP="00112F6B">
      <w:pPr>
        <w:autoSpaceDE w:val="0"/>
        <w:autoSpaceDN w:val="0"/>
        <w:adjustRightInd w:val="0"/>
        <w:jc w:val="both"/>
        <w:rPr>
          <w:color w:val="000000" w:themeColor="text1"/>
          <w:sz w:val="22"/>
          <w:szCs w:val="22"/>
          <w:lang w:val="es-ES_tradnl"/>
        </w:rPr>
      </w:pPr>
    </w:p>
    <w:p w14:paraId="47533986" w14:textId="15373A7C" w:rsidR="00583268" w:rsidRPr="000B50DF" w:rsidRDefault="00583268" w:rsidP="00112F6B">
      <w:pPr>
        <w:autoSpaceDE w:val="0"/>
        <w:autoSpaceDN w:val="0"/>
        <w:adjustRightInd w:val="0"/>
        <w:jc w:val="both"/>
        <w:rPr>
          <w:color w:val="000000" w:themeColor="text1"/>
          <w:sz w:val="22"/>
          <w:szCs w:val="22"/>
        </w:rPr>
      </w:pPr>
      <w:r w:rsidRPr="000B50DF">
        <w:rPr>
          <w:color w:val="000000" w:themeColor="text1"/>
          <w:sz w:val="22"/>
          <w:szCs w:val="22"/>
          <w:lang w:val="es-ES_tradnl"/>
        </w:rPr>
        <w:t>Vistos los preceptos legales de aplicación, este Órgano Foral de Recursos Contractuales emite la siguiente</w:t>
      </w:r>
    </w:p>
    <w:p w14:paraId="26162295" w14:textId="77777777" w:rsidR="007A73E3" w:rsidRPr="000B50DF" w:rsidRDefault="007A73E3" w:rsidP="0016554C">
      <w:pPr>
        <w:pStyle w:val="Textoindependiente"/>
        <w:spacing w:after="240"/>
        <w:jc w:val="center"/>
        <w:rPr>
          <w:rFonts w:ascii="Times New Roman" w:hAnsi="Times New Roman"/>
          <w:b/>
          <w:color w:val="000000" w:themeColor="text1"/>
          <w:sz w:val="22"/>
          <w:szCs w:val="22"/>
          <w:u w:val="single"/>
        </w:rPr>
      </w:pPr>
    </w:p>
    <w:p w14:paraId="5444DB0E" w14:textId="6235A2ED" w:rsidR="00020C36" w:rsidRPr="000B50DF" w:rsidRDefault="00020C36" w:rsidP="0016554C">
      <w:pPr>
        <w:pStyle w:val="Textoindependiente"/>
        <w:spacing w:after="240"/>
        <w:jc w:val="center"/>
        <w:rPr>
          <w:rFonts w:ascii="Times New Roman" w:hAnsi="Times New Roman"/>
          <w:b/>
          <w:color w:val="000000" w:themeColor="text1"/>
          <w:sz w:val="22"/>
          <w:szCs w:val="22"/>
          <w:u w:val="single"/>
        </w:rPr>
      </w:pPr>
      <w:r w:rsidRPr="000B50DF">
        <w:rPr>
          <w:rFonts w:ascii="Times New Roman" w:hAnsi="Times New Roman"/>
          <w:b/>
          <w:color w:val="000000" w:themeColor="text1"/>
          <w:sz w:val="22"/>
          <w:szCs w:val="22"/>
          <w:u w:val="single"/>
        </w:rPr>
        <w:t>RESOLUCIÓN</w:t>
      </w:r>
    </w:p>
    <w:p w14:paraId="4F2D820E" w14:textId="77777777" w:rsidR="00990E5E" w:rsidRPr="000B50DF" w:rsidRDefault="00990E5E" w:rsidP="0016554C">
      <w:pPr>
        <w:pStyle w:val="Textoindependiente"/>
        <w:spacing w:after="240"/>
        <w:jc w:val="center"/>
        <w:rPr>
          <w:rFonts w:ascii="Times New Roman" w:hAnsi="Times New Roman"/>
          <w:b/>
          <w:color w:val="000000" w:themeColor="text1"/>
          <w:sz w:val="22"/>
          <w:szCs w:val="22"/>
          <w:u w:val="single"/>
        </w:rPr>
      </w:pPr>
    </w:p>
    <w:p w14:paraId="2956EE9C" w14:textId="31FC38B1" w:rsidR="00A72678" w:rsidRPr="000B50DF" w:rsidRDefault="00583268" w:rsidP="00A72678">
      <w:pPr>
        <w:tabs>
          <w:tab w:val="left" w:pos="3261"/>
        </w:tabs>
        <w:spacing w:after="240"/>
        <w:jc w:val="both"/>
        <w:rPr>
          <w:bCs/>
          <w:color w:val="000000" w:themeColor="text1"/>
          <w:sz w:val="22"/>
          <w:szCs w:val="22"/>
        </w:rPr>
      </w:pPr>
      <w:r w:rsidRPr="000B50DF">
        <w:rPr>
          <w:b/>
          <w:color w:val="000000" w:themeColor="text1"/>
          <w:sz w:val="22"/>
          <w:szCs w:val="22"/>
          <w:lang w:val="es-ES_tradnl"/>
        </w:rPr>
        <w:t>PRIMERO.</w:t>
      </w:r>
      <w:r w:rsidRPr="000B50DF">
        <w:rPr>
          <w:bCs/>
          <w:color w:val="000000" w:themeColor="text1"/>
          <w:sz w:val="22"/>
          <w:szCs w:val="22"/>
          <w:lang w:val="es-ES_tradnl"/>
        </w:rPr>
        <w:t xml:space="preserve"> -</w:t>
      </w:r>
      <w:r w:rsidRPr="000B50DF">
        <w:rPr>
          <w:b/>
          <w:color w:val="000000" w:themeColor="text1"/>
          <w:sz w:val="22"/>
          <w:szCs w:val="22"/>
          <w:lang w:val="es-ES_tradnl"/>
        </w:rPr>
        <w:t xml:space="preserve"> </w:t>
      </w:r>
      <w:r w:rsidR="009F63AC" w:rsidRPr="000B50DF">
        <w:rPr>
          <w:bCs/>
          <w:color w:val="000000" w:themeColor="text1"/>
          <w:sz w:val="22"/>
          <w:szCs w:val="22"/>
          <w:lang w:val="es-ES_tradnl"/>
        </w:rPr>
        <w:t>Desestimar</w:t>
      </w:r>
      <w:r w:rsidR="00A72678" w:rsidRPr="000B50DF">
        <w:rPr>
          <w:bCs/>
          <w:color w:val="000000" w:themeColor="text1"/>
          <w:sz w:val="22"/>
          <w:szCs w:val="22"/>
          <w:lang w:val="es-ES_tradnl"/>
        </w:rPr>
        <w:t xml:space="preserve"> </w:t>
      </w:r>
      <w:r w:rsidR="00957BD1" w:rsidRPr="000B50DF">
        <w:rPr>
          <w:bCs/>
          <w:color w:val="000000" w:themeColor="text1"/>
          <w:sz w:val="22"/>
          <w:szCs w:val="22"/>
          <w:lang w:val="es-ES_tradnl"/>
        </w:rPr>
        <w:t>el Recurso Especial 2/202</w:t>
      </w:r>
      <w:r w:rsidR="00721E9C" w:rsidRPr="000B50DF">
        <w:rPr>
          <w:bCs/>
          <w:color w:val="000000" w:themeColor="text1"/>
          <w:sz w:val="22"/>
          <w:szCs w:val="22"/>
          <w:lang w:val="es-ES_tradnl"/>
        </w:rPr>
        <w:t>6</w:t>
      </w:r>
      <w:r w:rsidR="00957BD1" w:rsidRPr="000B50DF">
        <w:rPr>
          <w:bCs/>
          <w:color w:val="000000" w:themeColor="text1"/>
          <w:sz w:val="22"/>
          <w:szCs w:val="22"/>
          <w:lang w:val="es-ES_tradnl"/>
        </w:rPr>
        <w:t xml:space="preserve">-RE interpuesto por </w:t>
      </w:r>
      <w:r w:rsidR="009F63AC" w:rsidRPr="000B50DF">
        <w:rPr>
          <w:bCs/>
          <w:color w:val="000000" w:themeColor="text1"/>
          <w:sz w:val="22"/>
          <w:szCs w:val="22"/>
          <w:lang w:val="es-ES_tradnl"/>
        </w:rPr>
        <w:t>UTE IFBS INNOVAE OROI contra su exclusión del proceso de licitación del contrato del “suministro e instalación de un sistema de realidad inmersiva a centros dependientes del Instituto Foral de Bienestar Social” (</w:t>
      </w:r>
      <w:proofErr w:type="spellStart"/>
      <w:r w:rsidR="009F63AC" w:rsidRPr="000B50DF">
        <w:rPr>
          <w:bCs/>
          <w:color w:val="000000" w:themeColor="text1"/>
          <w:sz w:val="22"/>
          <w:szCs w:val="22"/>
          <w:lang w:val="es-ES_tradnl"/>
        </w:rPr>
        <w:t>expte</w:t>
      </w:r>
      <w:proofErr w:type="spellEnd"/>
      <w:r w:rsidR="009F63AC" w:rsidRPr="000B50DF">
        <w:rPr>
          <w:bCs/>
          <w:color w:val="000000" w:themeColor="text1"/>
          <w:sz w:val="22"/>
          <w:szCs w:val="22"/>
          <w:lang w:val="es-ES_tradnl"/>
        </w:rPr>
        <w:t xml:space="preserve"> 30/2025)</w:t>
      </w:r>
      <w:r w:rsidR="00A72678" w:rsidRPr="000B50DF">
        <w:rPr>
          <w:bCs/>
          <w:color w:val="000000" w:themeColor="text1"/>
          <w:sz w:val="22"/>
          <w:szCs w:val="22"/>
        </w:rPr>
        <w:t>.</w:t>
      </w:r>
      <w:r w:rsidR="009466BC" w:rsidRPr="000B50DF">
        <w:rPr>
          <w:bCs/>
          <w:color w:val="000000" w:themeColor="text1"/>
          <w:sz w:val="22"/>
          <w:szCs w:val="22"/>
        </w:rPr>
        <w:t xml:space="preserve"> </w:t>
      </w:r>
    </w:p>
    <w:p w14:paraId="0CEC08FD" w14:textId="302A7C6F" w:rsidR="0099149B" w:rsidRPr="000B50DF" w:rsidRDefault="0099149B" w:rsidP="00B215CC">
      <w:pPr>
        <w:tabs>
          <w:tab w:val="left" w:pos="3261"/>
        </w:tabs>
        <w:spacing w:after="240"/>
        <w:jc w:val="both"/>
        <w:rPr>
          <w:bCs/>
          <w:color w:val="000000" w:themeColor="text1"/>
          <w:sz w:val="22"/>
          <w:szCs w:val="22"/>
          <w:lang w:val="es-ES_tradnl"/>
        </w:rPr>
      </w:pPr>
      <w:r w:rsidRPr="000B50DF">
        <w:rPr>
          <w:b/>
          <w:color w:val="000000" w:themeColor="text1"/>
          <w:sz w:val="22"/>
          <w:szCs w:val="22"/>
          <w:lang w:val="es-ES_tradnl"/>
        </w:rPr>
        <w:t>SEGUNDO. -</w:t>
      </w:r>
      <w:r w:rsidRPr="000B50DF">
        <w:rPr>
          <w:bCs/>
          <w:color w:val="000000" w:themeColor="text1"/>
          <w:sz w:val="22"/>
          <w:szCs w:val="22"/>
          <w:lang w:val="es-ES_tradnl"/>
        </w:rPr>
        <w:t xml:space="preserve"> Levantar la suspensión acordada por Resolución </w:t>
      </w:r>
      <w:r w:rsidR="00364596" w:rsidRPr="000B50DF">
        <w:rPr>
          <w:bCs/>
          <w:color w:val="000000" w:themeColor="text1"/>
          <w:sz w:val="22"/>
          <w:szCs w:val="22"/>
          <w:lang w:val="es-ES_tradnl"/>
        </w:rPr>
        <w:t>1</w:t>
      </w:r>
      <w:r w:rsidR="00350A5F" w:rsidRPr="000B50DF">
        <w:rPr>
          <w:bCs/>
          <w:color w:val="000000" w:themeColor="text1"/>
          <w:sz w:val="22"/>
          <w:szCs w:val="22"/>
          <w:lang w:val="es-ES_tradnl"/>
        </w:rPr>
        <w:t>0</w:t>
      </w:r>
      <w:r w:rsidRPr="000B50DF">
        <w:rPr>
          <w:bCs/>
          <w:color w:val="000000" w:themeColor="text1"/>
          <w:sz w:val="22"/>
          <w:szCs w:val="22"/>
          <w:lang w:val="es-ES_tradnl"/>
        </w:rPr>
        <w:t>/202</w:t>
      </w:r>
      <w:r w:rsidR="00364596" w:rsidRPr="000B50DF">
        <w:rPr>
          <w:bCs/>
          <w:color w:val="000000" w:themeColor="text1"/>
          <w:sz w:val="22"/>
          <w:szCs w:val="22"/>
          <w:lang w:val="es-ES_tradnl"/>
        </w:rPr>
        <w:t>6</w:t>
      </w:r>
      <w:r w:rsidRPr="000B50DF">
        <w:rPr>
          <w:bCs/>
          <w:color w:val="000000" w:themeColor="text1"/>
          <w:sz w:val="22"/>
          <w:szCs w:val="22"/>
          <w:lang w:val="es-ES_tradnl"/>
        </w:rPr>
        <w:t xml:space="preserve">, de </w:t>
      </w:r>
      <w:r w:rsidR="00350A5F" w:rsidRPr="000B50DF">
        <w:rPr>
          <w:bCs/>
          <w:color w:val="000000" w:themeColor="text1"/>
          <w:sz w:val="22"/>
          <w:szCs w:val="22"/>
          <w:lang w:val="es-ES_tradnl"/>
        </w:rPr>
        <w:t>15</w:t>
      </w:r>
      <w:r w:rsidRPr="000B50DF">
        <w:rPr>
          <w:bCs/>
          <w:color w:val="000000" w:themeColor="text1"/>
          <w:sz w:val="22"/>
          <w:szCs w:val="22"/>
          <w:lang w:val="es-ES_tradnl"/>
        </w:rPr>
        <w:t xml:space="preserve"> de </w:t>
      </w:r>
      <w:r w:rsidR="00364596" w:rsidRPr="000B50DF">
        <w:rPr>
          <w:bCs/>
          <w:color w:val="000000" w:themeColor="text1"/>
          <w:sz w:val="22"/>
          <w:szCs w:val="22"/>
          <w:lang w:val="es-ES_tradnl"/>
        </w:rPr>
        <w:t>ju</w:t>
      </w:r>
      <w:r w:rsidR="00350A5F" w:rsidRPr="000B50DF">
        <w:rPr>
          <w:bCs/>
          <w:color w:val="000000" w:themeColor="text1"/>
          <w:sz w:val="22"/>
          <w:szCs w:val="22"/>
          <w:lang w:val="es-ES_tradnl"/>
        </w:rPr>
        <w:t>n</w:t>
      </w:r>
      <w:r w:rsidR="00364596" w:rsidRPr="000B50DF">
        <w:rPr>
          <w:bCs/>
          <w:color w:val="000000" w:themeColor="text1"/>
          <w:sz w:val="22"/>
          <w:szCs w:val="22"/>
          <w:lang w:val="es-ES_tradnl"/>
        </w:rPr>
        <w:t>io</w:t>
      </w:r>
      <w:r w:rsidRPr="000B50DF">
        <w:rPr>
          <w:bCs/>
          <w:color w:val="000000" w:themeColor="text1"/>
          <w:sz w:val="22"/>
          <w:szCs w:val="22"/>
          <w:lang w:val="es-ES_tradnl"/>
        </w:rPr>
        <w:t>.</w:t>
      </w:r>
    </w:p>
    <w:p w14:paraId="562176EC" w14:textId="77777777" w:rsidR="00583268" w:rsidRPr="000B50DF" w:rsidRDefault="0099149B" w:rsidP="0016554C">
      <w:pPr>
        <w:spacing w:after="240" w:line="276" w:lineRule="auto"/>
        <w:jc w:val="both"/>
        <w:rPr>
          <w:color w:val="000000" w:themeColor="text1"/>
          <w:sz w:val="22"/>
          <w:szCs w:val="22"/>
          <w:lang w:val="es-ES_tradnl"/>
        </w:rPr>
      </w:pPr>
      <w:r w:rsidRPr="000B50DF">
        <w:rPr>
          <w:b/>
          <w:color w:val="000000" w:themeColor="text1"/>
          <w:sz w:val="22"/>
          <w:szCs w:val="22"/>
          <w:lang w:val="es-ES_tradnl"/>
        </w:rPr>
        <w:lastRenderedPageBreak/>
        <w:t>TERCERO</w:t>
      </w:r>
      <w:r w:rsidR="00583268" w:rsidRPr="000B50DF">
        <w:rPr>
          <w:color w:val="000000" w:themeColor="text1"/>
          <w:sz w:val="22"/>
          <w:szCs w:val="22"/>
          <w:lang w:val="es-ES_tradnl"/>
        </w:rPr>
        <w:t>. - Declarar que no se aprecia la concurrencia de mala fe o temeridad en la interposición de</w:t>
      </w:r>
      <w:r w:rsidR="00A65391" w:rsidRPr="000B50DF">
        <w:rPr>
          <w:color w:val="000000" w:themeColor="text1"/>
          <w:sz w:val="22"/>
          <w:szCs w:val="22"/>
          <w:lang w:val="es-ES_tradnl"/>
        </w:rPr>
        <w:t xml:space="preserve"> </w:t>
      </w:r>
      <w:r w:rsidR="00583268" w:rsidRPr="000B50DF">
        <w:rPr>
          <w:color w:val="000000" w:themeColor="text1"/>
          <w:sz w:val="22"/>
          <w:szCs w:val="22"/>
          <w:lang w:val="es-ES_tradnl"/>
        </w:rPr>
        <w:t>l</w:t>
      </w:r>
      <w:r w:rsidR="00A65391" w:rsidRPr="000B50DF">
        <w:rPr>
          <w:color w:val="000000" w:themeColor="text1"/>
          <w:sz w:val="22"/>
          <w:szCs w:val="22"/>
          <w:lang w:val="es-ES_tradnl"/>
        </w:rPr>
        <w:t>os</w:t>
      </w:r>
      <w:r w:rsidR="00583268" w:rsidRPr="000B50DF">
        <w:rPr>
          <w:color w:val="000000" w:themeColor="text1"/>
          <w:sz w:val="22"/>
          <w:szCs w:val="22"/>
          <w:lang w:val="es-ES_tradnl"/>
        </w:rPr>
        <w:t xml:space="preserve"> recurso</w:t>
      </w:r>
      <w:r w:rsidR="00A65391" w:rsidRPr="000B50DF">
        <w:rPr>
          <w:color w:val="000000" w:themeColor="text1"/>
          <w:sz w:val="22"/>
          <w:szCs w:val="22"/>
          <w:lang w:val="es-ES_tradnl"/>
        </w:rPr>
        <w:t>s</w:t>
      </w:r>
      <w:r w:rsidR="00583268" w:rsidRPr="000B50DF">
        <w:rPr>
          <w:color w:val="000000" w:themeColor="text1"/>
          <w:sz w:val="22"/>
          <w:szCs w:val="22"/>
          <w:lang w:val="es-ES_tradnl"/>
        </w:rPr>
        <w:t xml:space="preserve">, por lo que no procede la imposición de sanción prevista en el artículo 58.2 de la LCSP. </w:t>
      </w:r>
    </w:p>
    <w:p w14:paraId="5CDC3198" w14:textId="77777777" w:rsidR="00583268" w:rsidRPr="000B50DF" w:rsidRDefault="00583268" w:rsidP="0016554C">
      <w:pPr>
        <w:spacing w:after="240" w:line="276" w:lineRule="auto"/>
        <w:jc w:val="both"/>
        <w:rPr>
          <w:color w:val="000000" w:themeColor="text1"/>
          <w:sz w:val="22"/>
          <w:szCs w:val="22"/>
          <w:lang w:val="es-ES_tradnl"/>
        </w:rPr>
      </w:pPr>
      <w:r w:rsidRPr="000B50DF">
        <w:rPr>
          <w:color w:val="000000" w:themeColor="text1"/>
          <w:sz w:val="22"/>
          <w:szCs w:val="22"/>
          <w:lang w:val="es-ES_tradnl"/>
        </w:rPr>
        <w:t xml:space="preserve">Esta resolución es definitiva en la vía administrativa y contra la misma cabe interponer recurso contencioso-administrativo ante la Sala de lo Contencioso-Administrativo del Tribunal Superior de Justicia del País Vasco, en el plazo de dos meses, a contar desde el día siguiente al de la recepción de esta notificación, de conformidad con lo dispuesto en los artículos 11.1.f) y 46.1 de la Ley 29/1998, de 13 de julio, Reguladora de la Jurisdicción Contencioso-administrativa. </w:t>
      </w:r>
    </w:p>
    <w:p w14:paraId="2CF0269A" w14:textId="77777777" w:rsidR="002D1668" w:rsidRPr="000B50DF" w:rsidRDefault="002D1668" w:rsidP="0016554C">
      <w:pPr>
        <w:spacing w:after="240" w:line="276" w:lineRule="auto"/>
        <w:jc w:val="both"/>
        <w:rPr>
          <w:color w:val="000000" w:themeColor="text1"/>
          <w:sz w:val="22"/>
          <w:szCs w:val="22"/>
          <w:lang w:val="es-ES_tradnl"/>
        </w:rPr>
      </w:pPr>
    </w:p>
    <w:p w14:paraId="53E4EC8F" w14:textId="0AC9A416" w:rsidR="006E6663" w:rsidRPr="000B50DF" w:rsidRDefault="006E6663" w:rsidP="000B50DF">
      <w:pPr>
        <w:jc w:val="both"/>
        <w:rPr>
          <w:color w:val="000000" w:themeColor="text1"/>
          <w:sz w:val="22"/>
          <w:szCs w:val="22"/>
        </w:rPr>
      </w:pPr>
    </w:p>
    <w:sectPr w:rsidR="006E6663" w:rsidRPr="000B50DF">
      <w:headerReference w:type="default" r:id="rId8"/>
      <w:footerReference w:type="even" r:id="rId9"/>
      <w:footerReference w:type="default" r:id="rId10"/>
      <w:headerReference w:type="first" r:id="rId11"/>
      <w:footerReference w:type="first" r:id="rId12"/>
      <w:pgSz w:w="11906" w:h="16838" w:code="9"/>
      <w:pgMar w:top="1418" w:right="1701" w:bottom="1418" w:left="1701" w:header="624" w:footer="62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4C80C" w14:textId="77777777" w:rsidR="005D0549" w:rsidRDefault="005D0549">
      <w:r>
        <w:separator/>
      </w:r>
    </w:p>
  </w:endnote>
  <w:endnote w:type="continuationSeparator" w:id="0">
    <w:p w14:paraId="00EBEB2F" w14:textId="77777777" w:rsidR="005D0549" w:rsidRDefault="005D0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5632B" w14:textId="77777777" w:rsidR="000A14FE" w:rsidRDefault="000A14F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D7A2DDA" w14:textId="77777777" w:rsidR="000A14FE" w:rsidRDefault="000A14F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19AB" w14:textId="77777777" w:rsidR="000A14FE" w:rsidRDefault="000A14F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200F29">
      <w:rPr>
        <w:rStyle w:val="Nmerodepgina"/>
        <w:noProof/>
      </w:rPr>
      <w:t>4</w:t>
    </w:r>
    <w:r>
      <w:rPr>
        <w:rStyle w:val="Nmerodepgina"/>
      </w:rPr>
      <w:fldChar w:fldCharType="end"/>
    </w:r>
    <w:r>
      <w:rPr>
        <w:rStyle w:val="Nmerodepgina"/>
      </w:rPr>
      <w:t>/</w:t>
    </w:r>
    <w:r>
      <w:rPr>
        <w:rStyle w:val="Nmerodepgina"/>
      </w:rPr>
      <w:fldChar w:fldCharType="begin"/>
    </w:r>
    <w:r>
      <w:rPr>
        <w:rStyle w:val="Nmerodepgina"/>
      </w:rPr>
      <w:instrText xml:space="preserve"> NUMPAGES </w:instrText>
    </w:r>
    <w:r>
      <w:rPr>
        <w:rStyle w:val="Nmerodepgina"/>
      </w:rPr>
      <w:fldChar w:fldCharType="separate"/>
    </w:r>
    <w:r w:rsidR="00200F29">
      <w:rPr>
        <w:rStyle w:val="Nmerodepgina"/>
        <w:noProof/>
      </w:rPr>
      <w:t>4</w:t>
    </w:r>
    <w:r>
      <w:rPr>
        <w:rStyle w:val="Nmerodepgina"/>
      </w:rPr>
      <w:fldChar w:fldCharType="end"/>
    </w:r>
  </w:p>
  <w:p w14:paraId="11C77005" w14:textId="77777777" w:rsidR="000A14FE" w:rsidRDefault="000A14FE">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7EEE1" w14:textId="77777777" w:rsidR="000A14FE" w:rsidRDefault="000A14FE">
    <w:pPr>
      <w:pStyle w:val="Piedepgina"/>
      <w:jc w:val="right"/>
    </w:pPr>
    <w:r>
      <w:rPr>
        <w:rStyle w:val="Nmerodepgina"/>
      </w:rPr>
      <w:fldChar w:fldCharType="begin"/>
    </w:r>
    <w:r>
      <w:rPr>
        <w:rStyle w:val="Nmerodepgina"/>
      </w:rPr>
      <w:instrText xml:space="preserve"> PAGE </w:instrText>
    </w:r>
    <w:r>
      <w:rPr>
        <w:rStyle w:val="Nmerodepgina"/>
      </w:rPr>
      <w:fldChar w:fldCharType="separate"/>
    </w:r>
    <w:r w:rsidR="00200F29">
      <w:rPr>
        <w:rStyle w:val="Nmerodepgina"/>
        <w:noProof/>
      </w:rPr>
      <w:t>1</w:t>
    </w:r>
    <w:r>
      <w:rPr>
        <w:rStyle w:val="Nmerodepgina"/>
      </w:rPr>
      <w:fldChar w:fldCharType="end"/>
    </w:r>
    <w:r>
      <w:rPr>
        <w:rStyle w:val="Nmerodepgina"/>
      </w:rPr>
      <w:t>/</w:t>
    </w:r>
    <w:r>
      <w:rPr>
        <w:rStyle w:val="Nmerodepgina"/>
      </w:rPr>
      <w:fldChar w:fldCharType="begin"/>
    </w:r>
    <w:r>
      <w:rPr>
        <w:rStyle w:val="Nmerodepgina"/>
      </w:rPr>
      <w:instrText xml:space="preserve"> NUMPAGES </w:instrText>
    </w:r>
    <w:r>
      <w:rPr>
        <w:rStyle w:val="Nmerodepgina"/>
      </w:rPr>
      <w:fldChar w:fldCharType="separate"/>
    </w:r>
    <w:r w:rsidR="00200F29">
      <w:rPr>
        <w:rStyle w:val="Nmerodepgina"/>
        <w:noProof/>
      </w:rPr>
      <w:t>4</w:t>
    </w:r>
    <w:r>
      <w:rPr>
        <w:rStyle w:val="Nmerodep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E6E24" w14:textId="77777777" w:rsidR="005D0549" w:rsidRDefault="005D0549">
      <w:r>
        <w:separator/>
      </w:r>
    </w:p>
  </w:footnote>
  <w:footnote w:type="continuationSeparator" w:id="0">
    <w:p w14:paraId="60A51275" w14:textId="77777777" w:rsidR="005D0549" w:rsidRDefault="005D0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0A14FE" w14:paraId="34E67231" w14:textId="77777777">
      <w:trPr>
        <w:cantSplit/>
        <w:trHeight w:val="338"/>
      </w:trPr>
      <w:tc>
        <w:tcPr>
          <w:tcW w:w="3856" w:type="dxa"/>
        </w:tcPr>
        <w:p w14:paraId="06376F39" w14:textId="77777777" w:rsidR="000A14FE" w:rsidRDefault="000A14FE">
          <w:pPr>
            <w:pStyle w:val="Encabezado"/>
          </w:pPr>
        </w:p>
      </w:tc>
      <w:tc>
        <w:tcPr>
          <w:tcW w:w="1361" w:type="dxa"/>
          <w:vMerge w:val="restart"/>
        </w:tcPr>
        <w:p w14:paraId="17B281D3" w14:textId="3D96C4ED" w:rsidR="000A14FE" w:rsidRDefault="002735C5">
          <w:pPr>
            <w:pStyle w:val="Encabezado"/>
            <w:jc w:val="center"/>
          </w:pPr>
          <w:r>
            <w:rPr>
              <w:noProof/>
            </w:rPr>
            <w:drawing>
              <wp:inline distT="0" distB="0" distL="0" distR="0" wp14:anchorId="61FF38A7" wp14:editId="046BFB5D">
                <wp:extent cx="428625" cy="428625"/>
                <wp:effectExtent l="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362B4442" w14:textId="77777777" w:rsidR="000A14FE" w:rsidRDefault="000A14FE">
          <w:pPr>
            <w:pStyle w:val="Encabezado"/>
          </w:pPr>
        </w:p>
      </w:tc>
    </w:tr>
    <w:tr w:rsidR="000A14FE" w14:paraId="6406862B" w14:textId="77777777">
      <w:trPr>
        <w:cantSplit/>
        <w:trHeight w:val="337"/>
      </w:trPr>
      <w:tc>
        <w:tcPr>
          <w:tcW w:w="3856" w:type="dxa"/>
        </w:tcPr>
        <w:p w14:paraId="07B78FF4" w14:textId="77777777" w:rsidR="000A14FE" w:rsidRDefault="000A14FE">
          <w:pPr>
            <w:pStyle w:val="Encabezado"/>
          </w:pPr>
        </w:p>
      </w:tc>
      <w:tc>
        <w:tcPr>
          <w:tcW w:w="1361" w:type="dxa"/>
          <w:vMerge/>
        </w:tcPr>
        <w:p w14:paraId="281A486D" w14:textId="77777777" w:rsidR="000A14FE" w:rsidRDefault="000A14FE">
          <w:pPr>
            <w:pStyle w:val="Encabezado"/>
            <w:jc w:val="center"/>
          </w:pPr>
        </w:p>
      </w:tc>
      <w:tc>
        <w:tcPr>
          <w:tcW w:w="3856" w:type="dxa"/>
        </w:tcPr>
        <w:p w14:paraId="13594DB3" w14:textId="77777777" w:rsidR="000A14FE" w:rsidRDefault="000A14FE">
          <w:pPr>
            <w:pStyle w:val="Encabezado"/>
          </w:pPr>
        </w:p>
      </w:tc>
    </w:tr>
  </w:tbl>
  <w:p w14:paraId="69561E06" w14:textId="77777777" w:rsidR="000A14FE" w:rsidRDefault="000A14F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1" w:type="dxa"/>
      <w:tblLayout w:type="fixed"/>
      <w:tblCellMar>
        <w:left w:w="70" w:type="dxa"/>
        <w:right w:w="70" w:type="dxa"/>
      </w:tblCellMar>
      <w:tblLook w:val="0000" w:firstRow="0" w:lastRow="0" w:firstColumn="0" w:lastColumn="0" w:noHBand="0" w:noVBand="0"/>
    </w:tblPr>
    <w:tblGrid>
      <w:gridCol w:w="5173"/>
      <w:gridCol w:w="4678"/>
    </w:tblGrid>
    <w:tr w:rsidR="000A14FE" w14:paraId="2CD282A2" w14:textId="77777777" w:rsidTr="00583268">
      <w:tc>
        <w:tcPr>
          <w:tcW w:w="5173" w:type="dxa"/>
        </w:tcPr>
        <w:p w14:paraId="3000952E" w14:textId="4CA810F5" w:rsidR="000A14FE" w:rsidRDefault="002735C5">
          <w:pPr>
            <w:pStyle w:val="Encabezado"/>
            <w:spacing w:after="720"/>
            <w:ind w:left="74" w:right="360"/>
            <w:rPr>
              <w:noProof/>
              <w:sz w:val="16"/>
            </w:rPr>
          </w:pPr>
          <w:r>
            <w:rPr>
              <w:noProof/>
              <w:sz w:val="20"/>
            </w:rPr>
            <w:drawing>
              <wp:inline distT="0" distB="0" distL="0" distR="0" wp14:anchorId="172D5701" wp14:editId="16BF86EE">
                <wp:extent cx="2076450" cy="714375"/>
                <wp:effectExtent l="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2167D2AA" w14:textId="77777777" w:rsidR="000A14FE" w:rsidRDefault="000A14FE">
          <w:pPr>
            <w:pStyle w:val="Encabezado"/>
            <w:ind w:left="1064"/>
            <w:rPr>
              <w:noProof/>
              <w:sz w:val="16"/>
            </w:rPr>
          </w:pPr>
        </w:p>
      </w:tc>
      <w:tc>
        <w:tcPr>
          <w:tcW w:w="4678" w:type="dxa"/>
        </w:tcPr>
        <w:p w14:paraId="27098C24" w14:textId="77777777" w:rsidR="000A14FE" w:rsidRDefault="000A14FE">
          <w:pPr>
            <w:pStyle w:val="Encabezado"/>
            <w:spacing w:after="40" w:line="240" w:lineRule="exact"/>
            <w:ind w:left="-68"/>
            <w:rPr>
              <w:b/>
              <w:noProof/>
              <w:sz w:val="18"/>
            </w:rPr>
          </w:pPr>
        </w:p>
        <w:p w14:paraId="34520663" w14:textId="77777777" w:rsidR="000A14FE" w:rsidRDefault="000A14FE">
          <w:pPr>
            <w:pStyle w:val="Encabezado"/>
            <w:spacing w:after="40" w:line="240" w:lineRule="exact"/>
            <w:ind w:left="-68"/>
            <w:rPr>
              <w:b/>
              <w:noProof/>
              <w:sz w:val="18"/>
            </w:rPr>
          </w:pPr>
        </w:p>
        <w:p w14:paraId="49CBDE7A" w14:textId="77777777" w:rsidR="000A14FE" w:rsidRDefault="000A14FE">
          <w:pPr>
            <w:pStyle w:val="Encabezado"/>
            <w:spacing w:after="60" w:line="190" w:lineRule="exact"/>
            <w:ind w:left="-70"/>
            <w:rPr>
              <w:noProof/>
              <w:sz w:val="18"/>
            </w:rPr>
          </w:pPr>
          <w:r>
            <w:rPr>
              <w:b/>
              <w:noProof/>
              <w:sz w:val="18"/>
            </w:rPr>
            <w:t>Kontratu Errekurtsoen Foru Organo Administriboa</w:t>
          </w:r>
        </w:p>
        <w:p w14:paraId="2D22D858" w14:textId="77777777" w:rsidR="000A14FE" w:rsidRDefault="000A14FE">
          <w:pPr>
            <w:pStyle w:val="Encabezado"/>
            <w:spacing w:after="60" w:line="190" w:lineRule="exact"/>
            <w:ind w:left="-70"/>
            <w:rPr>
              <w:b/>
              <w:noProof/>
              <w:sz w:val="18"/>
            </w:rPr>
          </w:pPr>
          <w:r>
            <w:rPr>
              <w:b/>
              <w:noProof/>
              <w:sz w:val="18"/>
            </w:rPr>
            <w:t xml:space="preserve">Organo Administrativo Foral de Recursos Contractuales </w:t>
          </w:r>
        </w:p>
      </w:tc>
    </w:tr>
  </w:tbl>
  <w:p w14:paraId="22EA5273" w14:textId="77777777" w:rsidR="000A14FE" w:rsidRDefault="000A14F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FFFFFFFF">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727869"/>
    <w:multiLevelType w:val="singleLevel"/>
    <w:tmpl w:val="560684A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AB4BE1"/>
    <w:multiLevelType w:val="singleLevel"/>
    <w:tmpl w:val="0C0A0017"/>
    <w:lvl w:ilvl="0">
      <w:start w:val="1"/>
      <w:numFmt w:val="lowerLetter"/>
      <w:lvlText w:val="%1)"/>
      <w:lvlJc w:val="left"/>
      <w:pPr>
        <w:tabs>
          <w:tab w:val="num" w:pos="360"/>
        </w:tabs>
        <w:ind w:left="360" w:hanging="360"/>
      </w:pPr>
      <w:rPr>
        <w:rFonts w:hint="default"/>
      </w:rPr>
    </w:lvl>
  </w:abstractNum>
  <w:abstractNum w:abstractNumId="3" w15:restartNumberingAfterBreak="0">
    <w:nsid w:val="0BC544BF"/>
    <w:multiLevelType w:val="hybridMultilevel"/>
    <w:tmpl w:val="3B7EE016"/>
    <w:lvl w:ilvl="0" w:tplc="2DD238C8">
      <w:start w:val="1"/>
      <w:numFmt w:val="lowerRoman"/>
      <w:lvlText w:val="(%1)"/>
      <w:lvlJc w:val="left"/>
      <w:pPr>
        <w:ind w:left="1341" w:hanging="720"/>
      </w:pPr>
      <w:rPr>
        <w:rFonts w:hint="default"/>
        <w:color w:val="auto"/>
      </w:rPr>
    </w:lvl>
    <w:lvl w:ilvl="1" w:tplc="0C0A0019" w:tentative="1">
      <w:start w:val="1"/>
      <w:numFmt w:val="lowerLetter"/>
      <w:lvlText w:val="%2."/>
      <w:lvlJc w:val="left"/>
      <w:pPr>
        <w:ind w:left="1701" w:hanging="360"/>
      </w:pPr>
    </w:lvl>
    <w:lvl w:ilvl="2" w:tplc="0C0A001B" w:tentative="1">
      <w:start w:val="1"/>
      <w:numFmt w:val="lowerRoman"/>
      <w:lvlText w:val="%3."/>
      <w:lvlJc w:val="right"/>
      <w:pPr>
        <w:ind w:left="2421" w:hanging="180"/>
      </w:pPr>
    </w:lvl>
    <w:lvl w:ilvl="3" w:tplc="0C0A000F" w:tentative="1">
      <w:start w:val="1"/>
      <w:numFmt w:val="decimal"/>
      <w:lvlText w:val="%4."/>
      <w:lvlJc w:val="left"/>
      <w:pPr>
        <w:ind w:left="3141" w:hanging="360"/>
      </w:pPr>
    </w:lvl>
    <w:lvl w:ilvl="4" w:tplc="0C0A0019" w:tentative="1">
      <w:start w:val="1"/>
      <w:numFmt w:val="lowerLetter"/>
      <w:lvlText w:val="%5."/>
      <w:lvlJc w:val="left"/>
      <w:pPr>
        <w:ind w:left="3861" w:hanging="360"/>
      </w:pPr>
    </w:lvl>
    <w:lvl w:ilvl="5" w:tplc="0C0A001B" w:tentative="1">
      <w:start w:val="1"/>
      <w:numFmt w:val="lowerRoman"/>
      <w:lvlText w:val="%6."/>
      <w:lvlJc w:val="right"/>
      <w:pPr>
        <w:ind w:left="4581" w:hanging="180"/>
      </w:pPr>
    </w:lvl>
    <w:lvl w:ilvl="6" w:tplc="0C0A000F" w:tentative="1">
      <w:start w:val="1"/>
      <w:numFmt w:val="decimal"/>
      <w:lvlText w:val="%7."/>
      <w:lvlJc w:val="left"/>
      <w:pPr>
        <w:ind w:left="5301" w:hanging="360"/>
      </w:pPr>
    </w:lvl>
    <w:lvl w:ilvl="7" w:tplc="0C0A0019" w:tentative="1">
      <w:start w:val="1"/>
      <w:numFmt w:val="lowerLetter"/>
      <w:lvlText w:val="%8."/>
      <w:lvlJc w:val="left"/>
      <w:pPr>
        <w:ind w:left="6021" w:hanging="360"/>
      </w:pPr>
    </w:lvl>
    <w:lvl w:ilvl="8" w:tplc="0C0A001B" w:tentative="1">
      <w:start w:val="1"/>
      <w:numFmt w:val="lowerRoman"/>
      <w:lvlText w:val="%9."/>
      <w:lvlJc w:val="right"/>
      <w:pPr>
        <w:ind w:left="6741" w:hanging="180"/>
      </w:pPr>
    </w:lvl>
  </w:abstractNum>
  <w:abstractNum w:abstractNumId="4" w15:restartNumberingAfterBreak="0">
    <w:nsid w:val="1D126A41"/>
    <w:multiLevelType w:val="singleLevel"/>
    <w:tmpl w:val="560684A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41555F"/>
    <w:multiLevelType w:val="hybridMultilevel"/>
    <w:tmpl w:val="3E6E5640"/>
    <w:lvl w:ilvl="0" w:tplc="DF2638C4">
      <w:start w:val="1"/>
      <w:numFmt w:val="low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205813D3"/>
    <w:multiLevelType w:val="hybridMultilevel"/>
    <w:tmpl w:val="4B66E76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0644507"/>
    <w:multiLevelType w:val="hybridMultilevel"/>
    <w:tmpl w:val="4C58650E"/>
    <w:lvl w:ilvl="0" w:tplc="0B5884A0">
      <w:start w:val="1"/>
      <w:numFmt w:val="low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8" w15:restartNumberingAfterBreak="0">
    <w:nsid w:val="23E003DF"/>
    <w:multiLevelType w:val="hybridMultilevel"/>
    <w:tmpl w:val="5590065C"/>
    <w:lvl w:ilvl="0" w:tplc="41B62ED6">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8074EB7"/>
    <w:multiLevelType w:val="hybridMultilevel"/>
    <w:tmpl w:val="97D090DC"/>
    <w:lvl w:ilvl="0" w:tplc="688420D2">
      <w:numFmt w:val="bullet"/>
      <w:lvlText w:val="-"/>
      <w:lvlJc w:val="left"/>
      <w:pPr>
        <w:ind w:left="720" w:hanging="360"/>
      </w:pPr>
      <w:rPr>
        <w:rFonts w:ascii="TimesNewRoman" w:eastAsia="Times New Roman" w:hAnsi="TimesNewRoman" w:cs="TimesNew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BB32944"/>
    <w:multiLevelType w:val="hybridMultilevel"/>
    <w:tmpl w:val="0BAC2E8C"/>
    <w:lvl w:ilvl="0" w:tplc="266663EE">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CE92692"/>
    <w:multiLevelType w:val="hybridMultilevel"/>
    <w:tmpl w:val="12B860C4"/>
    <w:lvl w:ilvl="0" w:tplc="A7B2D74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DAE2F64"/>
    <w:multiLevelType w:val="singleLevel"/>
    <w:tmpl w:val="0C0A0017"/>
    <w:lvl w:ilvl="0">
      <w:start w:val="1"/>
      <w:numFmt w:val="lowerLetter"/>
      <w:lvlText w:val="%1)"/>
      <w:lvlJc w:val="left"/>
      <w:pPr>
        <w:tabs>
          <w:tab w:val="num" w:pos="360"/>
        </w:tabs>
        <w:ind w:left="360" w:hanging="360"/>
      </w:pPr>
      <w:rPr>
        <w:rFonts w:hint="default"/>
        <w:i w:val="0"/>
      </w:rPr>
    </w:lvl>
  </w:abstractNum>
  <w:abstractNum w:abstractNumId="13" w15:restartNumberingAfterBreak="0">
    <w:nsid w:val="2EDA23C0"/>
    <w:multiLevelType w:val="multilevel"/>
    <w:tmpl w:val="7D78DAC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A967C5"/>
    <w:multiLevelType w:val="hybridMultilevel"/>
    <w:tmpl w:val="ABF0A5F2"/>
    <w:lvl w:ilvl="0" w:tplc="FFFFFFFF">
      <w:start w:val="1"/>
      <w:numFmt w:val="bullet"/>
      <w:lvlText w:val="-"/>
      <w:lvlJc w:val="left"/>
      <w:pPr>
        <w:ind w:left="360" w:hanging="360"/>
      </w:pPr>
      <w:rPr>
        <w:rFonts w:ascii="Times New Roman" w:eastAsia="Times New Roman" w:hAnsi="Times New Roman" w:cs="Times New Roman"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3C247464"/>
    <w:multiLevelType w:val="hybridMultilevel"/>
    <w:tmpl w:val="3E6E5640"/>
    <w:lvl w:ilvl="0" w:tplc="FFFFFFFF">
      <w:start w:val="1"/>
      <w:numFmt w:val="lowerRoman"/>
      <w:lvlText w:val="(%1)"/>
      <w:lvlJc w:val="left"/>
      <w:pPr>
        <w:ind w:left="1428" w:hanging="72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3FB07476"/>
    <w:multiLevelType w:val="hybridMultilevel"/>
    <w:tmpl w:val="D07CB76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0F5456D"/>
    <w:multiLevelType w:val="hybridMultilevel"/>
    <w:tmpl w:val="EDE86FBC"/>
    <w:lvl w:ilvl="0" w:tplc="6854EF4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34F6032"/>
    <w:multiLevelType w:val="multilevel"/>
    <w:tmpl w:val="3744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F24DE0"/>
    <w:multiLevelType w:val="singleLevel"/>
    <w:tmpl w:val="A1FA6A06"/>
    <w:lvl w:ilvl="0">
      <w:numFmt w:val="bullet"/>
      <w:lvlText w:val="-"/>
      <w:lvlJc w:val="left"/>
      <w:pPr>
        <w:tabs>
          <w:tab w:val="num" w:pos="360"/>
        </w:tabs>
        <w:ind w:left="360" w:hanging="360"/>
      </w:pPr>
      <w:rPr>
        <w:rFonts w:hint="default"/>
      </w:rPr>
    </w:lvl>
  </w:abstractNum>
  <w:abstractNum w:abstractNumId="20" w15:restartNumberingAfterBreak="0">
    <w:nsid w:val="447B63F0"/>
    <w:multiLevelType w:val="singleLevel"/>
    <w:tmpl w:val="560684AE"/>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8221109"/>
    <w:multiLevelType w:val="singleLevel"/>
    <w:tmpl w:val="637C1540"/>
    <w:lvl w:ilvl="0">
      <w:numFmt w:val="bullet"/>
      <w:lvlText w:val="-"/>
      <w:lvlJc w:val="left"/>
      <w:pPr>
        <w:tabs>
          <w:tab w:val="num" w:pos="360"/>
        </w:tabs>
        <w:ind w:left="360" w:hanging="360"/>
      </w:pPr>
      <w:rPr>
        <w:rFonts w:hint="default"/>
      </w:rPr>
    </w:lvl>
  </w:abstractNum>
  <w:abstractNum w:abstractNumId="22" w15:restartNumberingAfterBreak="0">
    <w:nsid w:val="4B750CCB"/>
    <w:multiLevelType w:val="singleLevel"/>
    <w:tmpl w:val="0C0A000F"/>
    <w:lvl w:ilvl="0">
      <w:start w:val="1"/>
      <w:numFmt w:val="decimal"/>
      <w:lvlText w:val="%1."/>
      <w:lvlJc w:val="left"/>
      <w:pPr>
        <w:tabs>
          <w:tab w:val="num" w:pos="360"/>
        </w:tabs>
        <w:ind w:left="360" w:hanging="360"/>
      </w:pPr>
      <w:rPr>
        <w:rFonts w:hint="default"/>
      </w:rPr>
    </w:lvl>
  </w:abstractNum>
  <w:abstractNum w:abstractNumId="23" w15:restartNumberingAfterBreak="0">
    <w:nsid w:val="4D6D07E8"/>
    <w:multiLevelType w:val="singleLevel"/>
    <w:tmpl w:val="0C0A0017"/>
    <w:lvl w:ilvl="0">
      <w:start w:val="1"/>
      <w:numFmt w:val="lowerLetter"/>
      <w:lvlText w:val="%1)"/>
      <w:lvlJc w:val="left"/>
      <w:pPr>
        <w:tabs>
          <w:tab w:val="num" w:pos="360"/>
        </w:tabs>
        <w:ind w:left="360" w:hanging="360"/>
      </w:pPr>
      <w:rPr>
        <w:rFonts w:hint="default"/>
      </w:rPr>
    </w:lvl>
  </w:abstractNum>
  <w:abstractNum w:abstractNumId="24" w15:restartNumberingAfterBreak="0">
    <w:nsid w:val="5F643C8B"/>
    <w:multiLevelType w:val="singleLevel"/>
    <w:tmpl w:val="560684AE"/>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3C253CE"/>
    <w:multiLevelType w:val="singleLevel"/>
    <w:tmpl w:val="0C0A000F"/>
    <w:lvl w:ilvl="0">
      <w:start w:val="1"/>
      <w:numFmt w:val="decimal"/>
      <w:lvlText w:val="%1."/>
      <w:lvlJc w:val="left"/>
      <w:pPr>
        <w:tabs>
          <w:tab w:val="num" w:pos="360"/>
        </w:tabs>
        <w:ind w:left="360" w:hanging="360"/>
      </w:pPr>
      <w:rPr>
        <w:rFonts w:hint="default"/>
      </w:rPr>
    </w:lvl>
  </w:abstractNum>
  <w:abstractNum w:abstractNumId="26" w15:restartNumberingAfterBreak="0">
    <w:nsid w:val="69663DF0"/>
    <w:multiLevelType w:val="hybridMultilevel"/>
    <w:tmpl w:val="E1A66280"/>
    <w:lvl w:ilvl="0" w:tplc="A7B2D74C">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7" w15:restartNumberingAfterBreak="0">
    <w:nsid w:val="6CF83058"/>
    <w:multiLevelType w:val="hybridMultilevel"/>
    <w:tmpl w:val="2D4625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CF95CDF"/>
    <w:multiLevelType w:val="singleLevel"/>
    <w:tmpl w:val="0C0A0017"/>
    <w:lvl w:ilvl="0">
      <w:start w:val="1"/>
      <w:numFmt w:val="lowerLetter"/>
      <w:lvlText w:val="%1)"/>
      <w:lvlJc w:val="left"/>
      <w:pPr>
        <w:tabs>
          <w:tab w:val="num" w:pos="360"/>
        </w:tabs>
        <w:ind w:left="360" w:hanging="360"/>
      </w:pPr>
      <w:rPr>
        <w:rFonts w:hint="default"/>
      </w:rPr>
    </w:lvl>
  </w:abstractNum>
  <w:abstractNum w:abstractNumId="29" w15:restartNumberingAfterBreak="0">
    <w:nsid w:val="6D85505A"/>
    <w:multiLevelType w:val="singleLevel"/>
    <w:tmpl w:val="0C0A0017"/>
    <w:lvl w:ilvl="0">
      <w:start w:val="1"/>
      <w:numFmt w:val="lowerLetter"/>
      <w:lvlText w:val="%1)"/>
      <w:lvlJc w:val="left"/>
      <w:pPr>
        <w:tabs>
          <w:tab w:val="num" w:pos="360"/>
        </w:tabs>
        <w:ind w:left="360" w:hanging="360"/>
      </w:pPr>
      <w:rPr>
        <w:rFonts w:hint="default"/>
      </w:rPr>
    </w:lvl>
  </w:abstractNum>
  <w:abstractNum w:abstractNumId="30" w15:restartNumberingAfterBreak="0">
    <w:nsid w:val="714B26C4"/>
    <w:multiLevelType w:val="singleLevel"/>
    <w:tmpl w:val="0C0A000F"/>
    <w:lvl w:ilvl="0">
      <w:start w:val="1"/>
      <w:numFmt w:val="decimal"/>
      <w:lvlText w:val="%1."/>
      <w:lvlJc w:val="left"/>
      <w:pPr>
        <w:tabs>
          <w:tab w:val="num" w:pos="360"/>
        </w:tabs>
        <w:ind w:left="360" w:hanging="360"/>
      </w:pPr>
    </w:lvl>
  </w:abstractNum>
  <w:abstractNum w:abstractNumId="31" w15:restartNumberingAfterBreak="0">
    <w:nsid w:val="736D603E"/>
    <w:multiLevelType w:val="singleLevel"/>
    <w:tmpl w:val="FB9053E6"/>
    <w:lvl w:ilvl="0">
      <w:numFmt w:val="bullet"/>
      <w:lvlText w:val=""/>
      <w:lvlJc w:val="left"/>
      <w:pPr>
        <w:tabs>
          <w:tab w:val="num" w:pos="360"/>
        </w:tabs>
        <w:ind w:left="360" w:hanging="360"/>
      </w:pPr>
      <w:rPr>
        <w:rFonts w:ascii="Wingdings" w:hAnsi="Wingdings" w:hint="default"/>
      </w:rPr>
    </w:lvl>
  </w:abstractNum>
  <w:abstractNum w:abstractNumId="32" w15:restartNumberingAfterBreak="0">
    <w:nsid w:val="74D903FC"/>
    <w:multiLevelType w:val="hybridMultilevel"/>
    <w:tmpl w:val="44C234A0"/>
    <w:lvl w:ilvl="0" w:tplc="71C87364">
      <w:numFmt w:val="bullet"/>
      <w:lvlText w:val="·"/>
      <w:lvlJc w:val="left"/>
      <w:pPr>
        <w:ind w:left="1068" w:hanging="360"/>
      </w:pPr>
      <w:rPr>
        <w:rFonts w:ascii="Times New Roman" w:eastAsia="Times New Roman"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3" w15:restartNumberingAfterBreak="0">
    <w:nsid w:val="7C4713AE"/>
    <w:multiLevelType w:val="hybridMultilevel"/>
    <w:tmpl w:val="B1EC214E"/>
    <w:lvl w:ilvl="0" w:tplc="0ADAA2A8">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F703CFF"/>
    <w:multiLevelType w:val="hybridMultilevel"/>
    <w:tmpl w:val="8CF8AB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F9D73E7"/>
    <w:multiLevelType w:val="hybridMultilevel"/>
    <w:tmpl w:val="BBD8C9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52339432">
    <w:abstractNumId w:val="28"/>
  </w:num>
  <w:num w:numId="2" w16cid:durableId="1503816547">
    <w:abstractNumId w:val="25"/>
  </w:num>
  <w:num w:numId="3" w16cid:durableId="2060742399">
    <w:abstractNumId w:val="22"/>
  </w:num>
  <w:num w:numId="4" w16cid:durableId="2144299549">
    <w:abstractNumId w:val="2"/>
  </w:num>
  <w:num w:numId="5" w16cid:durableId="462313249">
    <w:abstractNumId w:val="12"/>
  </w:num>
  <w:num w:numId="6" w16cid:durableId="1155342504">
    <w:abstractNumId w:val="31"/>
  </w:num>
  <w:num w:numId="7" w16cid:durableId="2025744869">
    <w:abstractNumId w:val="23"/>
  </w:num>
  <w:num w:numId="8" w16cid:durableId="1229729385">
    <w:abstractNumId w:val="13"/>
  </w:num>
  <w:num w:numId="9" w16cid:durableId="965703061">
    <w:abstractNumId w:val="29"/>
  </w:num>
  <w:num w:numId="10" w16cid:durableId="528228367">
    <w:abstractNumId w:val="21"/>
  </w:num>
  <w:num w:numId="11" w16cid:durableId="414205959">
    <w:abstractNumId w:val="0"/>
  </w:num>
  <w:num w:numId="12" w16cid:durableId="24137842">
    <w:abstractNumId w:val="19"/>
  </w:num>
  <w:num w:numId="13" w16cid:durableId="1777096730">
    <w:abstractNumId w:val="20"/>
  </w:num>
  <w:num w:numId="14" w16cid:durableId="949166001">
    <w:abstractNumId w:val="4"/>
  </w:num>
  <w:num w:numId="15" w16cid:durableId="1979797637">
    <w:abstractNumId w:val="30"/>
  </w:num>
  <w:num w:numId="16" w16cid:durableId="1153183032">
    <w:abstractNumId w:val="24"/>
  </w:num>
  <w:num w:numId="17" w16cid:durableId="1720543661">
    <w:abstractNumId w:val="1"/>
  </w:num>
  <w:num w:numId="18" w16cid:durableId="1360084432">
    <w:abstractNumId w:val="11"/>
  </w:num>
  <w:num w:numId="19" w16cid:durableId="530264222">
    <w:abstractNumId w:val="26"/>
  </w:num>
  <w:num w:numId="20" w16cid:durableId="1714765976">
    <w:abstractNumId w:val="32"/>
  </w:num>
  <w:num w:numId="21" w16cid:durableId="948855324">
    <w:abstractNumId w:val="10"/>
  </w:num>
  <w:num w:numId="22" w16cid:durableId="88622995">
    <w:abstractNumId w:val="3"/>
  </w:num>
  <w:num w:numId="23" w16cid:durableId="202060682">
    <w:abstractNumId w:val="17"/>
  </w:num>
  <w:num w:numId="24" w16cid:durableId="1719472797">
    <w:abstractNumId w:val="5"/>
  </w:num>
  <w:num w:numId="25" w16cid:durableId="1449540847">
    <w:abstractNumId w:val="33"/>
  </w:num>
  <w:num w:numId="26" w16cid:durableId="1693258444">
    <w:abstractNumId w:val="35"/>
  </w:num>
  <w:num w:numId="27" w16cid:durableId="1268805032">
    <w:abstractNumId w:val="18"/>
  </w:num>
  <w:num w:numId="28" w16cid:durableId="36469307">
    <w:abstractNumId w:val="15"/>
  </w:num>
  <w:num w:numId="29" w16cid:durableId="1255744510">
    <w:abstractNumId w:val="14"/>
  </w:num>
  <w:num w:numId="30" w16cid:durableId="554046285">
    <w:abstractNumId w:val="8"/>
  </w:num>
  <w:num w:numId="31" w16cid:durableId="218440774">
    <w:abstractNumId w:val="9"/>
  </w:num>
  <w:num w:numId="32" w16cid:durableId="1198079930">
    <w:abstractNumId w:val="7"/>
  </w:num>
  <w:num w:numId="33" w16cid:durableId="1256983648">
    <w:abstractNumId w:val="34"/>
  </w:num>
  <w:num w:numId="34" w16cid:durableId="221059783">
    <w:abstractNumId w:val="16"/>
  </w:num>
  <w:num w:numId="35" w16cid:durableId="1440487762">
    <w:abstractNumId w:val="27"/>
  </w:num>
  <w:num w:numId="36" w16cid:durableId="19824648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D09"/>
    <w:rsid w:val="00000D7A"/>
    <w:rsid w:val="00001586"/>
    <w:rsid w:val="00003588"/>
    <w:rsid w:val="00004560"/>
    <w:rsid w:val="0000480F"/>
    <w:rsid w:val="00006964"/>
    <w:rsid w:val="00020C36"/>
    <w:rsid w:val="000264DB"/>
    <w:rsid w:val="00030E45"/>
    <w:rsid w:val="00032A4F"/>
    <w:rsid w:val="00035325"/>
    <w:rsid w:val="0003707D"/>
    <w:rsid w:val="000427F4"/>
    <w:rsid w:val="000465EE"/>
    <w:rsid w:val="00051D7D"/>
    <w:rsid w:val="00052D03"/>
    <w:rsid w:val="00055EE7"/>
    <w:rsid w:val="0007340F"/>
    <w:rsid w:val="0007443A"/>
    <w:rsid w:val="00074605"/>
    <w:rsid w:val="0008105F"/>
    <w:rsid w:val="00085F54"/>
    <w:rsid w:val="000878CC"/>
    <w:rsid w:val="000900DE"/>
    <w:rsid w:val="00094A77"/>
    <w:rsid w:val="000A10BD"/>
    <w:rsid w:val="000A1435"/>
    <w:rsid w:val="000A14FE"/>
    <w:rsid w:val="000A63D4"/>
    <w:rsid w:val="000B2D57"/>
    <w:rsid w:val="000B50DF"/>
    <w:rsid w:val="000B6A48"/>
    <w:rsid w:val="000D5499"/>
    <w:rsid w:val="000E03ED"/>
    <w:rsid w:val="000E19CB"/>
    <w:rsid w:val="000E59A0"/>
    <w:rsid w:val="000F46F5"/>
    <w:rsid w:val="000F504C"/>
    <w:rsid w:val="000F6BF0"/>
    <w:rsid w:val="0010018F"/>
    <w:rsid w:val="0010278B"/>
    <w:rsid w:val="00102A21"/>
    <w:rsid w:val="001036FF"/>
    <w:rsid w:val="0010496E"/>
    <w:rsid w:val="00111224"/>
    <w:rsid w:val="001117B8"/>
    <w:rsid w:val="00112014"/>
    <w:rsid w:val="00112F6B"/>
    <w:rsid w:val="00115839"/>
    <w:rsid w:val="00117510"/>
    <w:rsid w:val="00131AB7"/>
    <w:rsid w:val="00137BB5"/>
    <w:rsid w:val="00141ACE"/>
    <w:rsid w:val="001435DE"/>
    <w:rsid w:val="0014506E"/>
    <w:rsid w:val="0014642A"/>
    <w:rsid w:val="001508D6"/>
    <w:rsid w:val="00160A0C"/>
    <w:rsid w:val="0016554C"/>
    <w:rsid w:val="001713A9"/>
    <w:rsid w:val="00173641"/>
    <w:rsid w:val="00174440"/>
    <w:rsid w:val="00174A62"/>
    <w:rsid w:val="001803B3"/>
    <w:rsid w:val="00182775"/>
    <w:rsid w:val="001846C4"/>
    <w:rsid w:val="00186D2A"/>
    <w:rsid w:val="00187C98"/>
    <w:rsid w:val="00191429"/>
    <w:rsid w:val="00197089"/>
    <w:rsid w:val="001B3463"/>
    <w:rsid w:val="001B44D6"/>
    <w:rsid w:val="001B51DA"/>
    <w:rsid w:val="001B76E7"/>
    <w:rsid w:val="001C02E4"/>
    <w:rsid w:val="001C1A32"/>
    <w:rsid w:val="001C1AF8"/>
    <w:rsid w:val="001C1F9E"/>
    <w:rsid w:val="001C3773"/>
    <w:rsid w:val="001C5FC1"/>
    <w:rsid w:val="001D16D4"/>
    <w:rsid w:val="001D438E"/>
    <w:rsid w:val="001D7331"/>
    <w:rsid w:val="001E5E36"/>
    <w:rsid w:val="001E6226"/>
    <w:rsid w:val="001F479C"/>
    <w:rsid w:val="001F7487"/>
    <w:rsid w:val="00200F29"/>
    <w:rsid w:val="00204096"/>
    <w:rsid w:val="002076BD"/>
    <w:rsid w:val="0021121B"/>
    <w:rsid w:val="002125D8"/>
    <w:rsid w:val="002151D5"/>
    <w:rsid w:val="00225021"/>
    <w:rsid w:val="00226E48"/>
    <w:rsid w:val="0023434C"/>
    <w:rsid w:val="00235379"/>
    <w:rsid w:val="00236D09"/>
    <w:rsid w:val="00240905"/>
    <w:rsid w:val="0025454A"/>
    <w:rsid w:val="002626FC"/>
    <w:rsid w:val="002631C7"/>
    <w:rsid w:val="002661AD"/>
    <w:rsid w:val="0027091C"/>
    <w:rsid w:val="002735C5"/>
    <w:rsid w:val="002843FC"/>
    <w:rsid w:val="002857F6"/>
    <w:rsid w:val="002862F6"/>
    <w:rsid w:val="00293945"/>
    <w:rsid w:val="002952F2"/>
    <w:rsid w:val="0029694E"/>
    <w:rsid w:val="002A060E"/>
    <w:rsid w:val="002A3BB4"/>
    <w:rsid w:val="002A72D4"/>
    <w:rsid w:val="002B14B7"/>
    <w:rsid w:val="002B40B8"/>
    <w:rsid w:val="002B7395"/>
    <w:rsid w:val="002C1D03"/>
    <w:rsid w:val="002C2982"/>
    <w:rsid w:val="002C5D0E"/>
    <w:rsid w:val="002C75F4"/>
    <w:rsid w:val="002D1668"/>
    <w:rsid w:val="002D323D"/>
    <w:rsid w:val="002D3F3D"/>
    <w:rsid w:val="002D52A6"/>
    <w:rsid w:val="002D5DE2"/>
    <w:rsid w:val="002D68DC"/>
    <w:rsid w:val="002D7C63"/>
    <w:rsid w:val="002E30A4"/>
    <w:rsid w:val="002E51B1"/>
    <w:rsid w:val="002F0FB8"/>
    <w:rsid w:val="002F19CE"/>
    <w:rsid w:val="002F3653"/>
    <w:rsid w:val="0030461F"/>
    <w:rsid w:val="00304F0C"/>
    <w:rsid w:val="00307307"/>
    <w:rsid w:val="00307D78"/>
    <w:rsid w:val="00311C6E"/>
    <w:rsid w:val="00314C63"/>
    <w:rsid w:val="003157F3"/>
    <w:rsid w:val="003158F0"/>
    <w:rsid w:val="00320AD1"/>
    <w:rsid w:val="00321139"/>
    <w:rsid w:val="00322C07"/>
    <w:rsid w:val="00324FC4"/>
    <w:rsid w:val="003353A7"/>
    <w:rsid w:val="003378CF"/>
    <w:rsid w:val="00340809"/>
    <w:rsid w:val="0034263B"/>
    <w:rsid w:val="0034369E"/>
    <w:rsid w:val="00345B6D"/>
    <w:rsid w:val="0035045B"/>
    <w:rsid w:val="00350A5F"/>
    <w:rsid w:val="0035756B"/>
    <w:rsid w:val="00364596"/>
    <w:rsid w:val="00364A23"/>
    <w:rsid w:val="00366297"/>
    <w:rsid w:val="00366AC7"/>
    <w:rsid w:val="00370EB1"/>
    <w:rsid w:val="00371281"/>
    <w:rsid w:val="003752FD"/>
    <w:rsid w:val="00376B93"/>
    <w:rsid w:val="00380EBE"/>
    <w:rsid w:val="00382DB0"/>
    <w:rsid w:val="00383547"/>
    <w:rsid w:val="003841D4"/>
    <w:rsid w:val="0039589F"/>
    <w:rsid w:val="00396AC1"/>
    <w:rsid w:val="003A14AE"/>
    <w:rsid w:val="003A2234"/>
    <w:rsid w:val="003A414D"/>
    <w:rsid w:val="003B0CDD"/>
    <w:rsid w:val="003B1BC3"/>
    <w:rsid w:val="003B4905"/>
    <w:rsid w:val="003C1D7C"/>
    <w:rsid w:val="003C53F9"/>
    <w:rsid w:val="003C5A9A"/>
    <w:rsid w:val="003C67FC"/>
    <w:rsid w:val="003C7545"/>
    <w:rsid w:val="003D263B"/>
    <w:rsid w:val="003E3D05"/>
    <w:rsid w:val="003E3E80"/>
    <w:rsid w:val="003E5CF4"/>
    <w:rsid w:val="003F201C"/>
    <w:rsid w:val="004004B2"/>
    <w:rsid w:val="00404CA0"/>
    <w:rsid w:val="00411334"/>
    <w:rsid w:val="00412DE7"/>
    <w:rsid w:val="00415334"/>
    <w:rsid w:val="00416859"/>
    <w:rsid w:val="00421DCA"/>
    <w:rsid w:val="00425C5C"/>
    <w:rsid w:val="00432752"/>
    <w:rsid w:val="004339DF"/>
    <w:rsid w:val="00434378"/>
    <w:rsid w:val="00435D81"/>
    <w:rsid w:val="00443B26"/>
    <w:rsid w:val="00444F2C"/>
    <w:rsid w:val="00446146"/>
    <w:rsid w:val="004537CE"/>
    <w:rsid w:val="00460962"/>
    <w:rsid w:val="00462322"/>
    <w:rsid w:val="00463C1D"/>
    <w:rsid w:val="004711A8"/>
    <w:rsid w:val="00473134"/>
    <w:rsid w:val="00474751"/>
    <w:rsid w:val="00483B65"/>
    <w:rsid w:val="00485172"/>
    <w:rsid w:val="004941FB"/>
    <w:rsid w:val="004960B5"/>
    <w:rsid w:val="00497DBA"/>
    <w:rsid w:val="004A0A25"/>
    <w:rsid w:val="004A0C64"/>
    <w:rsid w:val="004B4A0A"/>
    <w:rsid w:val="004B4E0E"/>
    <w:rsid w:val="004B6692"/>
    <w:rsid w:val="004C11A1"/>
    <w:rsid w:val="004C279C"/>
    <w:rsid w:val="004C30C3"/>
    <w:rsid w:val="004D4999"/>
    <w:rsid w:val="004D5137"/>
    <w:rsid w:val="004E38E9"/>
    <w:rsid w:val="004E587E"/>
    <w:rsid w:val="004E6CA5"/>
    <w:rsid w:val="004F047F"/>
    <w:rsid w:val="004F29DE"/>
    <w:rsid w:val="004F362E"/>
    <w:rsid w:val="004F4BCB"/>
    <w:rsid w:val="004F7F6A"/>
    <w:rsid w:val="0050009B"/>
    <w:rsid w:val="00500D58"/>
    <w:rsid w:val="00503A0A"/>
    <w:rsid w:val="00513305"/>
    <w:rsid w:val="00513D34"/>
    <w:rsid w:val="00515CFF"/>
    <w:rsid w:val="0051600E"/>
    <w:rsid w:val="00517EFE"/>
    <w:rsid w:val="005207FA"/>
    <w:rsid w:val="005238CE"/>
    <w:rsid w:val="005337F8"/>
    <w:rsid w:val="00534346"/>
    <w:rsid w:val="0053771E"/>
    <w:rsid w:val="00537D60"/>
    <w:rsid w:val="0054081E"/>
    <w:rsid w:val="00542307"/>
    <w:rsid w:val="00550FDA"/>
    <w:rsid w:val="00551346"/>
    <w:rsid w:val="0055156D"/>
    <w:rsid w:val="005524DA"/>
    <w:rsid w:val="00555744"/>
    <w:rsid w:val="00556432"/>
    <w:rsid w:val="005625EC"/>
    <w:rsid w:val="005661F7"/>
    <w:rsid w:val="00567472"/>
    <w:rsid w:val="005711DD"/>
    <w:rsid w:val="00571E67"/>
    <w:rsid w:val="00573F8B"/>
    <w:rsid w:val="00583268"/>
    <w:rsid w:val="00590871"/>
    <w:rsid w:val="0059329A"/>
    <w:rsid w:val="00595C68"/>
    <w:rsid w:val="00596174"/>
    <w:rsid w:val="00596C6E"/>
    <w:rsid w:val="005A242A"/>
    <w:rsid w:val="005A5046"/>
    <w:rsid w:val="005A6412"/>
    <w:rsid w:val="005B04F6"/>
    <w:rsid w:val="005B4422"/>
    <w:rsid w:val="005B65B5"/>
    <w:rsid w:val="005B791E"/>
    <w:rsid w:val="005D0549"/>
    <w:rsid w:val="005D1711"/>
    <w:rsid w:val="005D756C"/>
    <w:rsid w:val="005D76E3"/>
    <w:rsid w:val="005E0220"/>
    <w:rsid w:val="005E391F"/>
    <w:rsid w:val="005E481B"/>
    <w:rsid w:val="005F76E8"/>
    <w:rsid w:val="00602B1F"/>
    <w:rsid w:val="00602E6F"/>
    <w:rsid w:val="00603C3D"/>
    <w:rsid w:val="00606A2A"/>
    <w:rsid w:val="00610EE9"/>
    <w:rsid w:val="00612477"/>
    <w:rsid w:val="006124A7"/>
    <w:rsid w:val="006250D0"/>
    <w:rsid w:val="00625AED"/>
    <w:rsid w:val="00632A9C"/>
    <w:rsid w:val="00633D98"/>
    <w:rsid w:val="006346E4"/>
    <w:rsid w:val="006379C9"/>
    <w:rsid w:val="00637A2A"/>
    <w:rsid w:val="00640319"/>
    <w:rsid w:val="00644AE3"/>
    <w:rsid w:val="00645866"/>
    <w:rsid w:val="00647BFE"/>
    <w:rsid w:val="00647DBE"/>
    <w:rsid w:val="0065106B"/>
    <w:rsid w:val="0065353A"/>
    <w:rsid w:val="00653E87"/>
    <w:rsid w:val="00655485"/>
    <w:rsid w:val="00657A38"/>
    <w:rsid w:val="006677E4"/>
    <w:rsid w:val="00681C06"/>
    <w:rsid w:val="0068308A"/>
    <w:rsid w:val="0068484A"/>
    <w:rsid w:val="00684E81"/>
    <w:rsid w:val="006966C1"/>
    <w:rsid w:val="006A3676"/>
    <w:rsid w:val="006A37FB"/>
    <w:rsid w:val="006A51AF"/>
    <w:rsid w:val="006A6F14"/>
    <w:rsid w:val="006B4086"/>
    <w:rsid w:val="006C1519"/>
    <w:rsid w:val="006C5643"/>
    <w:rsid w:val="006C578F"/>
    <w:rsid w:val="006D313A"/>
    <w:rsid w:val="006D4C8A"/>
    <w:rsid w:val="006D6078"/>
    <w:rsid w:val="006E11B4"/>
    <w:rsid w:val="006E1871"/>
    <w:rsid w:val="006E27B0"/>
    <w:rsid w:val="006E5BCB"/>
    <w:rsid w:val="006E6663"/>
    <w:rsid w:val="006E67AF"/>
    <w:rsid w:val="006F2661"/>
    <w:rsid w:val="006F2EA4"/>
    <w:rsid w:val="006F435E"/>
    <w:rsid w:val="006F4AD7"/>
    <w:rsid w:val="006F50B1"/>
    <w:rsid w:val="006F7FCB"/>
    <w:rsid w:val="00704C8C"/>
    <w:rsid w:val="007051B3"/>
    <w:rsid w:val="007072A4"/>
    <w:rsid w:val="007177D1"/>
    <w:rsid w:val="00721E13"/>
    <w:rsid w:val="00721E9C"/>
    <w:rsid w:val="0072208A"/>
    <w:rsid w:val="007328F9"/>
    <w:rsid w:val="00734C21"/>
    <w:rsid w:val="00744E7E"/>
    <w:rsid w:val="00755A33"/>
    <w:rsid w:val="0075652B"/>
    <w:rsid w:val="00760A74"/>
    <w:rsid w:val="00763CF5"/>
    <w:rsid w:val="00764B0C"/>
    <w:rsid w:val="00765290"/>
    <w:rsid w:val="00770F9F"/>
    <w:rsid w:val="00771331"/>
    <w:rsid w:val="007745ED"/>
    <w:rsid w:val="00781B10"/>
    <w:rsid w:val="0078364B"/>
    <w:rsid w:val="00783AEC"/>
    <w:rsid w:val="00787A50"/>
    <w:rsid w:val="007941BC"/>
    <w:rsid w:val="007948B2"/>
    <w:rsid w:val="00797E3E"/>
    <w:rsid w:val="007A530C"/>
    <w:rsid w:val="007A73E3"/>
    <w:rsid w:val="007B7076"/>
    <w:rsid w:val="007B7497"/>
    <w:rsid w:val="007B7BB4"/>
    <w:rsid w:val="007B7E9D"/>
    <w:rsid w:val="007C7D6E"/>
    <w:rsid w:val="007D3468"/>
    <w:rsid w:val="007D7A8A"/>
    <w:rsid w:val="007D7B2F"/>
    <w:rsid w:val="007E2FEB"/>
    <w:rsid w:val="007F38D4"/>
    <w:rsid w:val="00801BC8"/>
    <w:rsid w:val="00810B98"/>
    <w:rsid w:val="008129D3"/>
    <w:rsid w:val="00817F34"/>
    <w:rsid w:val="0082123B"/>
    <w:rsid w:val="00822F42"/>
    <w:rsid w:val="00823721"/>
    <w:rsid w:val="00824657"/>
    <w:rsid w:val="00826D47"/>
    <w:rsid w:val="008307C2"/>
    <w:rsid w:val="008314A3"/>
    <w:rsid w:val="008355EF"/>
    <w:rsid w:val="0083598D"/>
    <w:rsid w:val="00835F05"/>
    <w:rsid w:val="00841DD3"/>
    <w:rsid w:val="008522DD"/>
    <w:rsid w:val="008608AF"/>
    <w:rsid w:val="0086101D"/>
    <w:rsid w:val="0087014B"/>
    <w:rsid w:val="008717CE"/>
    <w:rsid w:val="00877B30"/>
    <w:rsid w:val="00882765"/>
    <w:rsid w:val="008915D6"/>
    <w:rsid w:val="0089229B"/>
    <w:rsid w:val="008930DA"/>
    <w:rsid w:val="008940C7"/>
    <w:rsid w:val="0089434C"/>
    <w:rsid w:val="008A4E16"/>
    <w:rsid w:val="008B6145"/>
    <w:rsid w:val="008C049B"/>
    <w:rsid w:val="008C2954"/>
    <w:rsid w:val="008C3586"/>
    <w:rsid w:val="008C4E09"/>
    <w:rsid w:val="008C5BC8"/>
    <w:rsid w:val="008D2480"/>
    <w:rsid w:val="008D401F"/>
    <w:rsid w:val="008D6A2D"/>
    <w:rsid w:val="008E47B9"/>
    <w:rsid w:val="008E5365"/>
    <w:rsid w:val="008F0ADC"/>
    <w:rsid w:val="008F4ACF"/>
    <w:rsid w:val="009046D1"/>
    <w:rsid w:val="00907759"/>
    <w:rsid w:val="00913561"/>
    <w:rsid w:val="009150B1"/>
    <w:rsid w:val="00917112"/>
    <w:rsid w:val="00932C18"/>
    <w:rsid w:val="00933410"/>
    <w:rsid w:val="00935D8E"/>
    <w:rsid w:val="0093665C"/>
    <w:rsid w:val="00942F7A"/>
    <w:rsid w:val="009450C8"/>
    <w:rsid w:val="009466BC"/>
    <w:rsid w:val="00947BC9"/>
    <w:rsid w:val="00951BBA"/>
    <w:rsid w:val="00952181"/>
    <w:rsid w:val="00957BD1"/>
    <w:rsid w:val="00966DFA"/>
    <w:rsid w:val="00967A70"/>
    <w:rsid w:val="0097150F"/>
    <w:rsid w:val="00972ADD"/>
    <w:rsid w:val="00972BB3"/>
    <w:rsid w:val="009732E6"/>
    <w:rsid w:val="009739A9"/>
    <w:rsid w:val="0097552A"/>
    <w:rsid w:val="009868B3"/>
    <w:rsid w:val="009872FA"/>
    <w:rsid w:val="00990E5E"/>
    <w:rsid w:val="0099149B"/>
    <w:rsid w:val="00991A79"/>
    <w:rsid w:val="009952DA"/>
    <w:rsid w:val="009A1FAA"/>
    <w:rsid w:val="009B1A80"/>
    <w:rsid w:val="009B4810"/>
    <w:rsid w:val="009B70FF"/>
    <w:rsid w:val="009C41E7"/>
    <w:rsid w:val="009D432F"/>
    <w:rsid w:val="009D7FB5"/>
    <w:rsid w:val="009E0ECA"/>
    <w:rsid w:val="009E1031"/>
    <w:rsid w:val="009E250E"/>
    <w:rsid w:val="009F05F1"/>
    <w:rsid w:val="009F3389"/>
    <w:rsid w:val="009F4198"/>
    <w:rsid w:val="009F461E"/>
    <w:rsid w:val="009F548A"/>
    <w:rsid w:val="009F63AC"/>
    <w:rsid w:val="00A01DB3"/>
    <w:rsid w:val="00A037D5"/>
    <w:rsid w:val="00A04051"/>
    <w:rsid w:val="00A1024B"/>
    <w:rsid w:val="00A11129"/>
    <w:rsid w:val="00A12F5A"/>
    <w:rsid w:val="00A14983"/>
    <w:rsid w:val="00A27FCE"/>
    <w:rsid w:val="00A32396"/>
    <w:rsid w:val="00A32436"/>
    <w:rsid w:val="00A400DB"/>
    <w:rsid w:val="00A45C9F"/>
    <w:rsid w:val="00A47E71"/>
    <w:rsid w:val="00A500A6"/>
    <w:rsid w:val="00A54E20"/>
    <w:rsid w:val="00A557D3"/>
    <w:rsid w:val="00A63EDA"/>
    <w:rsid w:val="00A65391"/>
    <w:rsid w:val="00A6544D"/>
    <w:rsid w:val="00A6756D"/>
    <w:rsid w:val="00A72678"/>
    <w:rsid w:val="00A72B99"/>
    <w:rsid w:val="00A7502E"/>
    <w:rsid w:val="00A7642F"/>
    <w:rsid w:val="00A84160"/>
    <w:rsid w:val="00A8518F"/>
    <w:rsid w:val="00A860F0"/>
    <w:rsid w:val="00A86F1E"/>
    <w:rsid w:val="00A8727D"/>
    <w:rsid w:val="00A939B2"/>
    <w:rsid w:val="00A95300"/>
    <w:rsid w:val="00A97D0E"/>
    <w:rsid w:val="00AA1460"/>
    <w:rsid w:val="00AB1D51"/>
    <w:rsid w:val="00AB3AFB"/>
    <w:rsid w:val="00AB428A"/>
    <w:rsid w:val="00AB4500"/>
    <w:rsid w:val="00AB50E2"/>
    <w:rsid w:val="00AB7777"/>
    <w:rsid w:val="00AC5DB0"/>
    <w:rsid w:val="00AD2C0D"/>
    <w:rsid w:val="00AD4AA9"/>
    <w:rsid w:val="00AD68D3"/>
    <w:rsid w:val="00AE0DAB"/>
    <w:rsid w:val="00AE1926"/>
    <w:rsid w:val="00AE47C6"/>
    <w:rsid w:val="00AF184E"/>
    <w:rsid w:val="00AF34C7"/>
    <w:rsid w:val="00AF64E0"/>
    <w:rsid w:val="00AF6A7E"/>
    <w:rsid w:val="00B008EF"/>
    <w:rsid w:val="00B05E3C"/>
    <w:rsid w:val="00B0623C"/>
    <w:rsid w:val="00B07C66"/>
    <w:rsid w:val="00B176A7"/>
    <w:rsid w:val="00B17E90"/>
    <w:rsid w:val="00B21331"/>
    <w:rsid w:val="00B215CC"/>
    <w:rsid w:val="00B2429A"/>
    <w:rsid w:val="00B27C00"/>
    <w:rsid w:val="00B33DF4"/>
    <w:rsid w:val="00B3767E"/>
    <w:rsid w:val="00B412DB"/>
    <w:rsid w:val="00B44700"/>
    <w:rsid w:val="00B45972"/>
    <w:rsid w:val="00B50EBE"/>
    <w:rsid w:val="00B513D6"/>
    <w:rsid w:val="00B52CD0"/>
    <w:rsid w:val="00B5578E"/>
    <w:rsid w:val="00B616DC"/>
    <w:rsid w:val="00B62DC7"/>
    <w:rsid w:val="00B65C98"/>
    <w:rsid w:val="00B75201"/>
    <w:rsid w:val="00B7755D"/>
    <w:rsid w:val="00B83425"/>
    <w:rsid w:val="00B8394E"/>
    <w:rsid w:val="00BA45DE"/>
    <w:rsid w:val="00BA6301"/>
    <w:rsid w:val="00BA6CD0"/>
    <w:rsid w:val="00BB3173"/>
    <w:rsid w:val="00BB3476"/>
    <w:rsid w:val="00BB4BC9"/>
    <w:rsid w:val="00BB7A29"/>
    <w:rsid w:val="00BC2850"/>
    <w:rsid w:val="00BC386C"/>
    <w:rsid w:val="00BC79FD"/>
    <w:rsid w:val="00BD141C"/>
    <w:rsid w:val="00BE4553"/>
    <w:rsid w:val="00BE538A"/>
    <w:rsid w:val="00BE6B53"/>
    <w:rsid w:val="00BF2CE7"/>
    <w:rsid w:val="00BF30E3"/>
    <w:rsid w:val="00C00952"/>
    <w:rsid w:val="00C01B95"/>
    <w:rsid w:val="00C04E1B"/>
    <w:rsid w:val="00C06859"/>
    <w:rsid w:val="00C075AF"/>
    <w:rsid w:val="00C07A02"/>
    <w:rsid w:val="00C20DCF"/>
    <w:rsid w:val="00C24EC6"/>
    <w:rsid w:val="00C262FB"/>
    <w:rsid w:val="00C26886"/>
    <w:rsid w:val="00C329B5"/>
    <w:rsid w:val="00C32C42"/>
    <w:rsid w:val="00C4057E"/>
    <w:rsid w:val="00C47064"/>
    <w:rsid w:val="00C5286F"/>
    <w:rsid w:val="00C541A3"/>
    <w:rsid w:val="00C547D9"/>
    <w:rsid w:val="00C54EC6"/>
    <w:rsid w:val="00C55A52"/>
    <w:rsid w:val="00C63A4E"/>
    <w:rsid w:val="00C77A68"/>
    <w:rsid w:val="00C82110"/>
    <w:rsid w:val="00C84EEB"/>
    <w:rsid w:val="00C865B4"/>
    <w:rsid w:val="00C86862"/>
    <w:rsid w:val="00C91DC3"/>
    <w:rsid w:val="00C97315"/>
    <w:rsid w:val="00CA2CCD"/>
    <w:rsid w:val="00CA3137"/>
    <w:rsid w:val="00CB0C4C"/>
    <w:rsid w:val="00CB1BEC"/>
    <w:rsid w:val="00CB2867"/>
    <w:rsid w:val="00CB2C62"/>
    <w:rsid w:val="00CB3AD9"/>
    <w:rsid w:val="00CB5511"/>
    <w:rsid w:val="00CB643E"/>
    <w:rsid w:val="00CC0256"/>
    <w:rsid w:val="00CC0476"/>
    <w:rsid w:val="00CC4759"/>
    <w:rsid w:val="00CD6071"/>
    <w:rsid w:val="00CD70E9"/>
    <w:rsid w:val="00CD7562"/>
    <w:rsid w:val="00CD7A29"/>
    <w:rsid w:val="00CE0E76"/>
    <w:rsid w:val="00CE6A9E"/>
    <w:rsid w:val="00D0300B"/>
    <w:rsid w:val="00D0361C"/>
    <w:rsid w:val="00D03FDC"/>
    <w:rsid w:val="00D04575"/>
    <w:rsid w:val="00D07134"/>
    <w:rsid w:val="00D108D2"/>
    <w:rsid w:val="00D137B4"/>
    <w:rsid w:val="00D146FC"/>
    <w:rsid w:val="00D15159"/>
    <w:rsid w:val="00D16A48"/>
    <w:rsid w:val="00D17269"/>
    <w:rsid w:val="00D22211"/>
    <w:rsid w:val="00D27168"/>
    <w:rsid w:val="00D310EC"/>
    <w:rsid w:val="00D346F4"/>
    <w:rsid w:val="00D36059"/>
    <w:rsid w:val="00D363D5"/>
    <w:rsid w:val="00D40B4E"/>
    <w:rsid w:val="00D4121D"/>
    <w:rsid w:val="00D414F7"/>
    <w:rsid w:val="00D42D6D"/>
    <w:rsid w:val="00D51DC9"/>
    <w:rsid w:val="00D52DA3"/>
    <w:rsid w:val="00D63285"/>
    <w:rsid w:val="00D653B5"/>
    <w:rsid w:val="00D65682"/>
    <w:rsid w:val="00D74E5C"/>
    <w:rsid w:val="00D75D8D"/>
    <w:rsid w:val="00D76072"/>
    <w:rsid w:val="00D80939"/>
    <w:rsid w:val="00D818C4"/>
    <w:rsid w:val="00D82B17"/>
    <w:rsid w:val="00D86E93"/>
    <w:rsid w:val="00DA32B4"/>
    <w:rsid w:val="00DA56FC"/>
    <w:rsid w:val="00DB1A65"/>
    <w:rsid w:val="00DB2095"/>
    <w:rsid w:val="00DB5C53"/>
    <w:rsid w:val="00DC0DD1"/>
    <w:rsid w:val="00DC559F"/>
    <w:rsid w:val="00DC67F9"/>
    <w:rsid w:val="00DE2957"/>
    <w:rsid w:val="00DE2A0A"/>
    <w:rsid w:val="00DE3961"/>
    <w:rsid w:val="00DE485B"/>
    <w:rsid w:val="00DF017F"/>
    <w:rsid w:val="00E00658"/>
    <w:rsid w:val="00E01A53"/>
    <w:rsid w:val="00E15054"/>
    <w:rsid w:val="00E164A6"/>
    <w:rsid w:val="00E16D4D"/>
    <w:rsid w:val="00E214DC"/>
    <w:rsid w:val="00E2754E"/>
    <w:rsid w:val="00E32C38"/>
    <w:rsid w:val="00E338F6"/>
    <w:rsid w:val="00E35690"/>
    <w:rsid w:val="00E37897"/>
    <w:rsid w:val="00E37B7B"/>
    <w:rsid w:val="00E40511"/>
    <w:rsid w:val="00E41466"/>
    <w:rsid w:val="00E50AF0"/>
    <w:rsid w:val="00E5181C"/>
    <w:rsid w:val="00E53549"/>
    <w:rsid w:val="00E5388C"/>
    <w:rsid w:val="00E57786"/>
    <w:rsid w:val="00E66E07"/>
    <w:rsid w:val="00E723A6"/>
    <w:rsid w:val="00E81A6E"/>
    <w:rsid w:val="00E8495C"/>
    <w:rsid w:val="00E9379A"/>
    <w:rsid w:val="00E95CFC"/>
    <w:rsid w:val="00EA7D7F"/>
    <w:rsid w:val="00EB2FA1"/>
    <w:rsid w:val="00EB323C"/>
    <w:rsid w:val="00EB3C04"/>
    <w:rsid w:val="00EB615F"/>
    <w:rsid w:val="00EC3C3C"/>
    <w:rsid w:val="00ED2498"/>
    <w:rsid w:val="00EF3A0A"/>
    <w:rsid w:val="00F00AA4"/>
    <w:rsid w:val="00F03FCF"/>
    <w:rsid w:val="00F1554A"/>
    <w:rsid w:val="00F26F16"/>
    <w:rsid w:val="00F30D04"/>
    <w:rsid w:val="00F30F17"/>
    <w:rsid w:val="00F310B5"/>
    <w:rsid w:val="00F31F1C"/>
    <w:rsid w:val="00F32A87"/>
    <w:rsid w:val="00F33D99"/>
    <w:rsid w:val="00F36638"/>
    <w:rsid w:val="00F42CF1"/>
    <w:rsid w:val="00F47270"/>
    <w:rsid w:val="00F5014F"/>
    <w:rsid w:val="00F5305F"/>
    <w:rsid w:val="00F5511A"/>
    <w:rsid w:val="00F57C30"/>
    <w:rsid w:val="00F57DF4"/>
    <w:rsid w:val="00F60939"/>
    <w:rsid w:val="00F60F32"/>
    <w:rsid w:val="00F618A7"/>
    <w:rsid w:val="00F622B2"/>
    <w:rsid w:val="00F637A1"/>
    <w:rsid w:val="00F640B5"/>
    <w:rsid w:val="00F72150"/>
    <w:rsid w:val="00F72C01"/>
    <w:rsid w:val="00F7479B"/>
    <w:rsid w:val="00F8236A"/>
    <w:rsid w:val="00F83893"/>
    <w:rsid w:val="00F86F7C"/>
    <w:rsid w:val="00F87D35"/>
    <w:rsid w:val="00F90984"/>
    <w:rsid w:val="00F930EB"/>
    <w:rsid w:val="00F97352"/>
    <w:rsid w:val="00FA4E90"/>
    <w:rsid w:val="00FB2330"/>
    <w:rsid w:val="00FB3571"/>
    <w:rsid w:val="00FC143E"/>
    <w:rsid w:val="00FC40EA"/>
    <w:rsid w:val="00FE0EEA"/>
    <w:rsid w:val="00FE432D"/>
    <w:rsid w:val="00FE5EB2"/>
    <w:rsid w:val="00FF203E"/>
    <w:rsid w:val="00FF228E"/>
    <w:rsid w:val="00FF7B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27EEC1"/>
  <w15:chartTrackingRefBased/>
  <w15:docId w15:val="{DB0F0F14-A27C-40B0-97AD-98EAD3D59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qFormat/>
    <w:pPr>
      <w:spacing w:before="240"/>
      <w:outlineLvl w:val="0"/>
    </w:pPr>
    <w:rPr>
      <w:rFonts w:ascii="Arial" w:hAnsi="Arial"/>
      <w:b/>
      <w:sz w:val="24"/>
      <w:u w:val="single"/>
      <w:lang w:val="es-ES_tradnl"/>
    </w:rPr>
  </w:style>
  <w:style w:type="paragraph" w:styleId="Ttulo2">
    <w:name w:val="heading 2"/>
    <w:basedOn w:val="Normal"/>
    <w:next w:val="Normal"/>
    <w:qFormat/>
    <w:pPr>
      <w:keepNext/>
      <w:spacing w:before="80"/>
      <w:jc w:val="both"/>
      <w:outlineLvl w:val="1"/>
    </w:pPr>
    <w:rPr>
      <w:rFonts w:ascii="Arial" w:hAnsi="Arial"/>
      <w:b/>
      <w:sz w:val="22"/>
      <w:lang w:val="es-ES_tradnl"/>
    </w:rPr>
  </w:style>
  <w:style w:type="paragraph" w:styleId="Ttulo3">
    <w:name w:val="heading 3"/>
    <w:basedOn w:val="Normal"/>
    <w:next w:val="Normal"/>
    <w:qFormat/>
    <w:pPr>
      <w:keepNext/>
      <w:jc w:val="both"/>
      <w:outlineLvl w:val="2"/>
    </w:pPr>
    <w:rPr>
      <w:b/>
      <w:sz w:val="24"/>
    </w:rPr>
  </w:style>
  <w:style w:type="paragraph" w:styleId="Ttulo4">
    <w:name w:val="heading 4"/>
    <w:basedOn w:val="Normal"/>
    <w:next w:val="Normal"/>
    <w:qFormat/>
    <w:pPr>
      <w:keepNext/>
      <w:outlineLvl w:val="3"/>
    </w:pPr>
    <w:rPr>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semiHidden/>
    <w:pPr>
      <w:tabs>
        <w:tab w:val="center" w:pos="4252"/>
        <w:tab w:val="right" w:pos="8504"/>
      </w:tabs>
    </w:pPr>
  </w:style>
  <w:style w:type="character" w:styleId="Nmerodepgina">
    <w:name w:val="page number"/>
    <w:basedOn w:val="Fuentedeprrafopredeter"/>
  </w:style>
  <w:style w:type="paragraph" w:styleId="Textoindependiente">
    <w:name w:val="Body Text"/>
    <w:basedOn w:val="Normal"/>
    <w:link w:val="TextoindependienteCar"/>
    <w:semiHidden/>
    <w:pPr>
      <w:tabs>
        <w:tab w:val="left" w:pos="851"/>
      </w:tabs>
      <w:spacing w:after="120"/>
      <w:jc w:val="both"/>
    </w:pPr>
    <w:rPr>
      <w:rFonts w:ascii="Arial" w:hAnsi="Arial"/>
      <w:sz w:val="26"/>
      <w:lang w:val="es-ES_tradnl"/>
    </w:rPr>
  </w:style>
  <w:style w:type="paragraph" w:customStyle="1" w:styleId="Prrafodelista1">
    <w:name w:val="Párrafo de lista1"/>
    <w:basedOn w:val="Normal"/>
    <w:pPr>
      <w:ind w:left="720"/>
      <w:jc w:val="both"/>
    </w:pPr>
    <w:rPr>
      <w:rFonts w:ascii="Arial" w:hAnsi="Arial"/>
      <w:sz w:val="22"/>
      <w:lang w:val="es-ES_tradnl"/>
    </w:rPr>
  </w:style>
  <w:style w:type="paragraph" w:styleId="Textoindependiente3">
    <w:name w:val="Body Text 3"/>
    <w:basedOn w:val="Normal"/>
    <w:semiHidden/>
    <w:pPr>
      <w:spacing w:before="80"/>
      <w:jc w:val="both"/>
    </w:pPr>
    <w:rPr>
      <w:rFonts w:ascii="Arial" w:hAnsi="Arial"/>
      <w:sz w:val="24"/>
      <w:lang w:val="es-ES_tradnl"/>
    </w:rPr>
  </w:style>
  <w:style w:type="paragraph" w:styleId="Encabezado">
    <w:name w:val="header"/>
    <w:basedOn w:val="Normal"/>
    <w:semiHidden/>
    <w:pPr>
      <w:tabs>
        <w:tab w:val="center" w:pos="4819"/>
        <w:tab w:val="right" w:pos="9071"/>
      </w:tabs>
    </w:pPr>
    <w:rPr>
      <w:rFonts w:ascii="Arial" w:hAnsi="Arial"/>
      <w:sz w:val="26"/>
      <w:lang w:val="es-ES_tradnl"/>
    </w:rPr>
  </w:style>
  <w:style w:type="paragraph" w:styleId="Textoindependiente2">
    <w:name w:val="Body Text 2"/>
    <w:basedOn w:val="Normal"/>
    <w:semiHidden/>
    <w:pPr>
      <w:jc w:val="both"/>
    </w:pPr>
    <w:rPr>
      <w:i/>
      <w:sz w:val="24"/>
    </w:rPr>
  </w:style>
  <w:style w:type="paragraph" w:styleId="Textodeglobo">
    <w:name w:val="Balloon Text"/>
    <w:basedOn w:val="Normal"/>
    <w:semiHidden/>
    <w:unhideWhenUsed/>
    <w:rPr>
      <w:rFonts w:ascii="Lucida Grande" w:hAnsi="Lucida Grande" w:cs="Wingdings"/>
      <w:sz w:val="18"/>
      <w:szCs w:val="18"/>
    </w:rPr>
  </w:style>
  <w:style w:type="character" w:customStyle="1" w:styleId="TextodegloboCar">
    <w:name w:val="Texto de globo Car"/>
    <w:semiHidden/>
    <w:rPr>
      <w:rFonts w:ascii="Lucida Grande" w:hAnsi="Lucida Grande" w:cs="Wingdings"/>
      <w:noProof w:val="0"/>
      <w:sz w:val="18"/>
      <w:szCs w:val="18"/>
      <w:lang w:val="es-ES"/>
    </w:rPr>
  </w:style>
  <w:style w:type="paragraph" w:customStyle="1" w:styleId="Default">
    <w:name w:val="Default"/>
    <w:rPr>
      <w:rFonts w:ascii="Arial" w:hAnsi="Arial"/>
      <w:snapToGrid w:val="0"/>
      <w:color w:val="000000"/>
      <w:sz w:val="24"/>
    </w:rPr>
  </w:style>
  <w:style w:type="paragraph" w:styleId="Sangradetextonormal">
    <w:name w:val="Body Text Indent"/>
    <w:basedOn w:val="Normal"/>
    <w:semiHidden/>
    <w:pPr>
      <w:spacing w:after="240"/>
      <w:ind w:left="708"/>
      <w:jc w:val="both"/>
    </w:pPr>
    <w:rPr>
      <w:sz w:val="22"/>
    </w:rPr>
  </w:style>
  <w:style w:type="character" w:styleId="Hipervnculo">
    <w:name w:val="Hyperlink"/>
    <w:semiHidden/>
    <w:rPr>
      <w:color w:val="0000FF"/>
      <w:u w:val="single"/>
    </w:rPr>
  </w:style>
  <w:style w:type="paragraph" w:customStyle="1" w:styleId="Cuerpo">
    <w:name w:val="Cuerpo"/>
    <w:rsid w:val="00A11129"/>
    <w:pPr>
      <w:pBdr>
        <w:top w:val="nil"/>
        <w:left w:val="nil"/>
        <w:bottom w:val="nil"/>
        <w:right w:val="nil"/>
        <w:between w:val="nil"/>
        <w:bar w:val="nil"/>
      </w:pBdr>
    </w:pPr>
    <w:rPr>
      <w:color w:val="000000"/>
      <w:u w:color="000000"/>
      <w:bdr w:val="nil"/>
    </w:rPr>
  </w:style>
  <w:style w:type="character" w:customStyle="1" w:styleId="TextoindependienteCar">
    <w:name w:val="Texto independiente Car"/>
    <w:link w:val="Textoindependiente"/>
    <w:semiHidden/>
    <w:rsid w:val="006E6663"/>
    <w:rPr>
      <w:rFonts w:ascii="Arial" w:hAnsi="Arial"/>
      <w:sz w:val="26"/>
      <w:lang w:val="es-ES_tradnl"/>
    </w:rPr>
  </w:style>
  <w:style w:type="paragraph" w:styleId="Prrafodelista">
    <w:name w:val="List Paragraph"/>
    <w:aliases w:val="Párrafo,Estilo párrafo Título principal sin numerar,Parrafo normal,Liste 1,Lettre d'introduction,Paragrafo elenco,List Paragraph1,1st level - Bullet List Paragraph,List Paragraph"/>
    <w:basedOn w:val="Normal"/>
    <w:link w:val="PrrafodelistaCar"/>
    <w:uiPriority w:val="34"/>
    <w:qFormat/>
    <w:rsid w:val="003A2234"/>
    <w:pPr>
      <w:ind w:left="720"/>
      <w:contextualSpacing/>
    </w:pPr>
  </w:style>
  <w:style w:type="character" w:customStyle="1" w:styleId="PrrafodelistaCar">
    <w:name w:val="Párrafo de lista Car"/>
    <w:aliases w:val="Párrafo Car,Estilo párrafo Título principal sin numerar Car,Parrafo normal Car,Liste 1 Car,Lettre d'introduction Car,Paragrafo elenco Car,List Paragraph1 Car,1st level - Bullet List Paragraph Car,List Paragraph Car"/>
    <w:basedOn w:val="Fuentedeprrafopredeter"/>
    <w:link w:val="Prrafodelista"/>
    <w:uiPriority w:val="34"/>
    <w:rsid w:val="00204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858663">
      <w:bodyDiv w:val="1"/>
      <w:marLeft w:val="0"/>
      <w:marRight w:val="0"/>
      <w:marTop w:val="0"/>
      <w:marBottom w:val="0"/>
      <w:divBdr>
        <w:top w:val="none" w:sz="0" w:space="0" w:color="auto"/>
        <w:left w:val="none" w:sz="0" w:space="0" w:color="auto"/>
        <w:bottom w:val="none" w:sz="0" w:space="0" w:color="auto"/>
        <w:right w:val="none" w:sz="0" w:space="0" w:color="auto"/>
      </w:divBdr>
      <w:divsChild>
        <w:div w:id="1176071018">
          <w:marLeft w:val="0"/>
          <w:marRight w:val="0"/>
          <w:marTop w:val="0"/>
          <w:marBottom w:val="0"/>
          <w:divBdr>
            <w:top w:val="none" w:sz="0" w:space="0" w:color="auto"/>
            <w:left w:val="none" w:sz="0" w:space="0" w:color="auto"/>
            <w:bottom w:val="none" w:sz="0" w:space="0" w:color="auto"/>
            <w:right w:val="none" w:sz="0" w:space="0" w:color="auto"/>
          </w:divBdr>
          <w:divsChild>
            <w:div w:id="360934096">
              <w:marLeft w:val="0"/>
              <w:marRight w:val="0"/>
              <w:marTop w:val="0"/>
              <w:marBottom w:val="0"/>
              <w:divBdr>
                <w:top w:val="none" w:sz="0" w:space="0" w:color="auto"/>
                <w:left w:val="none" w:sz="0" w:space="0" w:color="auto"/>
                <w:bottom w:val="none" w:sz="0" w:space="0" w:color="auto"/>
                <w:right w:val="none" w:sz="0" w:space="0" w:color="auto"/>
              </w:divBdr>
              <w:divsChild>
                <w:div w:id="1752192894">
                  <w:marLeft w:val="0"/>
                  <w:marRight w:val="0"/>
                  <w:marTop w:val="0"/>
                  <w:marBottom w:val="0"/>
                  <w:divBdr>
                    <w:top w:val="none" w:sz="0" w:space="0" w:color="auto"/>
                    <w:left w:val="none" w:sz="0" w:space="0" w:color="auto"/>
                    <w:bottom w:val="none" w:sz="0" w:space="0" w:color="auto"/>
                    <w:right w:val="none" w:sz="0" w:space="0" w:color="auto"/>
                  </w:divBdr>
                  <w:divsChild>
                    <w:div w:id="303437579">
                      <w:marLeft w:val="0"/>
                      <w:marRight w:val="0"/>
                      <w:marTop w:val="0"/>
                      <w:marBottom w:val="0"/>
                      <w:divBdr>
                        <w:top w:val="none" w:sz="0" w:space="0" w:color="auto"/>
                        <w:left w:val="none" w:sz="0" w:space="0" w:color="auto"/>
                        <w:bottom w:val="none" w:sz="0" w:space="0" w:color="auto"/>
                        <w:right w:val="none" w:sz="0" w:space="0" w:color="auto"/>
                      </w:divBdr>
                    </w:div>
                    <w:div w:id="57798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757786">
          <w:marLeft w:val="0"/>
          <w:marRight w:val="0"/>
          <w:marTop w:val="0"/>
          <w:marBottom w:val="0"/>
          <w:divBdr>
            <w:top w:val="none" w:sz="0" w:space="0" w:color="auto"/>
            <w:left w:val="none" w:sz="0" w:space="0" w:color="auto"/>
            <w:bottom w:val="none" w:sz="0" w:space="0" w:color="auto"/>
            <w:right w:val="none" w:sz="0" w:space="0" w:color="auto"/>
          </w:divBdr>
          <w:divsChild>
            <w:div w:id="681010919">
              <w:marLeft w:val="0"/>
              <w:marRight w:val="0"/>
              <w:marTop w:val="0"/>
              <w:marBottom w:val="0"/>
              <w:divBdr>
                <w:top w:val="none" w:sz="0" w:space="0" w:color="auto"/>
                <w:left w:val="none" w:sz="0" w:space="0" w:color="auto"/>
                <w:bottom w:val="none" w:sz="0" w:space="0" w:color="auto"/>
                <w:right w:val="none" w:sz="0" w:space="0" w:color="auto"/>
              </w:divBdr>
              <w:divsChild>
                <w:div w:id="1067655865">
                  <w:marLeft w:val="0"/>
                  <w:marRight w:val="0"/>
                  <w:marTop w:val="0"/>
                  <w:marBottom w:val="0"/>
                  <w:divBdr>
                    <w:top w:val="none" w:sz="0" w:space="0" w:color="auto"/>
                    <w:left w:val="none" w:sz="0" w:space="0" w:color="auto"/>
                    <w:bottom w:val="none" w:sz="0" w:space="0" w:color="auto"/>
                    <w:right w:val="none" w:sz="0" w:space="0" w:color="auto"/>
                  </w:divBdr>
                  <w:divsChild>
                    <w:div w:id="1836920625">
                      <w:marLeft w:val="0"/>
                      <w:marRight w:val="0"/>
                      <w:marTop w:val="0"/>
                      <w:marBottom w:val="0"/>
                      <w:divBdr>
                        <w:top w:val="none" w:sz="0" w:space="0" w:color="auto"/>
                        <w:left w:val="none" w:sz="0" w:space="0" w:color="auto"/>
                        <w:bottom w:val="none" w:sz="0" w:space="0" w:color="auto"/>
                        <w:right w:val="none" w:sz="0" w:space="0" w:color="auto"/>
                      </w:divBdr>
                    </w:div>
                    <w:div w:id="3863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43183">
          <w:marLeft w:val="0"/>
          <w:marRight w:val="0"/>
          <w:marTop w:val="0"/>
          <w:marBottom w:val="0"/>
          <w:divBdr>
            <w:top w:val="none" w:sz="0" w:space="0" w:color="auto"/>
            <w:left w:val="none" w:sz="0" w:space="0" w:color="auto"/>
            <w:bottom w:val="none" w:sz="0" w:space="0" w:color="auto"/>
            <w:right w:val="none" w:sz="0" w:space="0" w:color="auto"/>
          </w:divBdr>
          <w:divsChild>
            <w:div w:id="1059282625">
              <w:marLeft w:val="0"/>
              <w:marRight w:val="0"/>
              <w:marTop w:val="0"/>
              <w:marBottom w:val="0"/>
              <w:divBdr>
                <w:top w:val="none" w:sz="0" w:space="0" w:color="auto"/>
                <w:left w:val="none" w:sz="0" w:space="0" w:color="auto"/>
                <w:bottom w:val="none" w:sz="0" w:space="0" w:color="auto"/>
                <w:right w:val="none" w:sz="0" w:space="0" w:color="auto"/>
              </w:divBdr>
              <w:divsChild>
                <w:div w:id="1104034188">
                  <w:marLeft w:val="0"/>
                  <w:marRight w:val="0"/>
                  <w:marTop w:val="0"/>
                  <w:marBottom w:val="0"/>
                  <w:divBdr>
                    <w:top w:val="none" w:sz="0" w:space="0" w:color="auto"/>
                    <w:left w:val="none" w:sz="0" w:space="0" w:color="auto"/>
                    <w:bottom w:val="none" w:sz="0" w:space="0" w:color="auto"/>
                    <w:right w:val="none" w:sz="0" w:space="0" w:color="auto"/>
                  </w:divBdr>
                  <w:divsChild>
                    <w:div w:id="407002620">
                      <w:marLeft w:val="0"/>
                      <w:marRight w:val="0"/>
                      <w:marTop w:val="0"/>
                      <w:marBottom w:val="0"/>
                      <w:divBdr>
                        <w:top w:val="none" w:sz="0" w:space="0" w:color="auto"/>
                        <w:left w:val="none" w:sz="0" w:space="0" w:color="auto"/>
                        <w:bottom w:val="none" w:sz="0" w:space="0" w:color="auto"/>
                        <w:right w:val="none" w:sz="0" w:space="0" w:color="auto"/>
                      </w:divBdr>
                    </w:div>
                    <w:div w:id="110083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620606">
      <w:bodyDiv w:val="1"/>
      <w:marLeft w:val="0"/>
      <w:marRight w:val="0"/>
      <w:marTop w:val="0"/>
      <w:marBottom w:val="0"/>
      <w:divBdr>
        <w:top w:val="none" w:sz="0" w:space="0" w:color="auto"/>
        <w:left w:val="none" w:sz="0" w:space="0" w:color="auto"/>
        <w:bottom w:val="none" w:sz="0" w:space="0" w:color="auto"/>
        <w:right w:val="none" w:sz="0" w:space="0" w:color="auto"/>
      </w:divBdr>
      <w:divsChild>
        <w:div w:id="1563250612">
          <w:marLeft w:val="0"/>
          <w:marRight w:val="0"/>
          <w:marTop w:val="0"/>
          <w:marBottom w:val="0"/>
          <w:divBdr>
            <w:top w:val="none" w:sz="0" w:space="0" w:color="auto"/>
            <w:left w:val="none" w:sz="0" w:space="0" w:color="auto"/>
            <w:bottom w:val="none" w:sz="0" w:space="0" w:color="auto"/>
            <w:right w:val="none" w:sz="0" w:space="0" w:color="auto"/>
          </w:divBdr>
          <w:divsChild>
            <w:div w:id="2038776295">
              <w:marLeft w:val="0"/>
              <w:marRight w:val="0"/>
              <w:marTop w:val="0"/>
              <w:marBottom w:val="0"/>
              <w:divBdr>
                <w:top w:val="none" w:sz="0" w:space="0" w:color="auto"/>
                <w:left w:val="none" w:sz="0" w:space="0" w:color="auto"/>
                <w:bottom w:val="none" w:sz="0" w:space="0" w:color="auto"/>
                <w:right w:val="none" w:sz="0" w:space="0" w:color="auto"/>
              </w:divBdr>
              <w:divsChild>
                <w:div w:id="821775465">
                  <w:marLeft w:val="0"/>
                  <w:marRight w:val="0"/>
                  <w:marTop w:val="0"/>
                  <w:marBottom w:val="0"/>
                  <w:divBdr>
                    <w:top w:val="none" w:sz="0" w:space="0" w:color="auto"/>
                    <w:left w:val="none" w:sz="0" w:space="0" w:color="auto"/>
                    <w:bottom w:val="none" w:sz="0" w:space="0" w:color="auto"/>
                    <w:right w:val="none" w:sz="0" w:space="0" w:color="auto"/>
                  </w:divBdr>
                  <w:divsChild>
                    <w:div w:id="1206943446">
                      <w:marLeft w:val="0"/>
                      <w:marRight w:val="0"/>
                      <w:marTop w:val="0"/>
                      <w:marBottom w:val="0"/>
                      <w:divBdr>
                        <w:top w:val="none" w:sz="0" w:space="0" w:color="auto"/>
                        <w:left w:val="none" w:sz="0" w:space="0" w:color="auto"/>
                        <w:bottom w:val="none" w:sz="0" w:space="0" w:color="auto"/>
                        <w:right w:val="none" w:sz="0" w:space="0" w:color="auto"/>
                      </w:divBdr>
                    </w:div>
                    <w:div w:id="20475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682875">
          <w:marLeft w:val="0"/>
          <w:marRight w:val="0"/>
          <w:marTop w:val="0"/>
          <w:marBottom w:val="0"/>
          <w:divBdr>
            <w:top w:val="none" w:sz="0" w:space="0" w:color="auto"/>
            <w:left w:val="none" w:sz="0" w:space="0" w:color="auto"/>
            <w:bottom w:val="none" w:sz="0" w:space="0" w:color="auto"/>
            <w:right w:val="none" w:sz="0" w:space="0" w:color="auto"/>
          </w:divBdr>
          <w:divsChild>
            <w:div w:id="1643777992">
              <w:marLeft w:val="0"/>
              <w:marRight w:val="0"/>
              <w:marTop w:val="0"/>
              <w:marBottom w:val="0"/>
              <w:divBdr>
                <w:top w:val="none" w:sz="0" w:space="0" w:color="auto"/>
                <w:left w:val="none" w:sz="0" w:space="0" w:color="auto"/>
                <w:bottom w:val="none" w:sz="0" w:space="0" w:color="auto"/>
                <w:right w:val="none" w:sz="0" w:space="0" w:color="auto"/>
              </w:divBdr>
              <w:divsChild>
                <w:div w:id="1350523436">
                  <w:marLeft w:val="0"/>
                  <w:marRight w:val="0"/>
                  <w:marTop w:val="0"/>
                  <w:marBottom w:val="0"/>
                  <w:divBdr>
                    <w:top w:val="none" w:sz="0" w:space="0" w:color="auto"/>
                    <w:left w:val="none" w:sz="0" w:space="0" w:color="auto"/>
                    <w:bottom w:val="none" w:sz="0" w:space="0" w:color="auto"/>
                    <w:right w:val="none" w:sz="0" w:space="0" w:color="auto"/>
                  </w:divBdr>
                  <w:divsChild>
                    <w:div w:id="1593128166">
                      <w:marLeft w:val="0"/>
                      <w:marRight w:val="0"/>
                      <w:marTop w:val="0"/>
                      <w:marBottom w:val="0"/>
                      <w:divBdr>
                        <w:top w:val="none" w:sz="0" w:space="0" w:color="auto"/>
                        <w:left w:val="none" w:sz="0" w:space="0" w:color="auto"/>
                        <w:bottom w:val="none" w:sz="0" w:space="0" w:color="auto"/>
                        <w:right w:val="none" w:sz="0" w:space="0" w:color="auto"/>
                      </w:divBdr>
                    </w:div>
                    <w:div w:id="175408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579491">
          <w:marLeft w:val="0"/>
          <w:marRight w:val="0"/>
          <w:marTop w:val="0"/>
          <w:marBottom w:val="0"/>
          <w:divBdr>
            <w:top w:val="none" w:sz="0" w:space="0" w:color="auto"/>
            <w:left w:val="none" w:sz="0" w:space="0" w:color="auto"/>
            <w:bottom w:val="none" w:sz="0" w:space="0" w:color="auto"/>
            <w:right w:val="none" w:sz="0" w:space="0" w:color="auto"/>
          </w:divBdr>
          <w:divsChild>
            <w:div w:id="796415392">
              <w:marLeft w:val="0"/>
              <w:marRight w:val="0"/>
              <w:marTop w:val="0"/>
              <w:marBottom w:val="0"/>
              <w:divBdr>
                <w:top w:val="none" w:sz="0" w:space="0" w:color="auto"/>
                <w:left w:val="none" w:sz="0" w:space="0" w:color="auto"/>
                <w:bottom w:val="none" w:sz="0" w:space="0" w:color="auto"/>
                <w:right w:val="none" w:sz="0" w:space="0" w:color="auto"/>
              </w:divBdr>
              <w:divsChild>
                <w:div w:id="1677489859">
                  <w:marLeft w:val="0"/>
                  <w:marRight w:val="0"/>
                  <w:marTop w:val="0"/>
                  <w:marBottom w:val="0"/>
                  <w:divBdr>
                    <w:top w:val="none" w:sz="0" w:space="0" w:color="auto"/>
                    <w:left w:val="none" w:sz="0" w:space="0" w:color="auto"/>
                    <w:bottom w:val="none" w:sz="0" w:space="0" w:color="auto"/>
                    <w:right w:val="none" w:sz="0" w:space="0" w:color="auto"/>
                  </w:divBdr>
                  <w:divsChild>
                    <w:div w:id="1280452586">
                      <w:marLeft w:val="0"/>
                      <w:marRight w:val="0"/>
                      <w:marTop w:val="0"/>
                      <w:marBottom w:val="0"/>
                      <w:divBdr>
                        <w:top w:val="none" w:sz="0" w:space="0" w:color="auto"/>
                        <w:left w:val="none" w:sz="0" w:space="0" w:color="auto"/>
                        <w:bottom w:val="none" w:sz="0" w:space="0" w:color="auto"/>
                        <w:right w:val="none" w:sz="0" w:space="0" w:color="auto"/>
                      </w:divBdr>
                    </w:div>
                    <w:div w:id="123458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7040F-664D-41C8-AC13-D7E3FEF06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5172</Words>
  <Characters>28450</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Erref / Ref: Recurso Especial TRACASA</vt:lpstr>
    </vt:vector>
  </TitlesOfParts>
  <Company>DFA</Company>
  <LinksUpToDate>false</LinksUpToDate>
  <CharactersWithSpaces>33555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Erref / Ref: Recurso Especial TRACASA</dc:title>
  <dc:subject/>
  <dc:creator>OPITURRIAG_MJES</dc:creator>
  <cp:keywords/>
  <cp:lastModifiedBy>Achotegui Martinez de Arenaza, Fernando</cp:lastModifiedBy>
  <cp:revision>3</cp:revision>
  <cp:lastPrinted>2026-02-27T07:45:00Z</cp:lastPrinted>
  <dcterms:created xsi:type="dcterms:W3CDTF">2026-10-01T07:41:00Z</dcterms:created>
  <dcterms:modified xsi:type="dcterms:W3CDTF">2026-10-01T07:42:00Z</dcterms:modified>
</cp:coreProperties>
</file>