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375"/>
        <w:gridCol w:w="20"/>
        <w:gridCol w:w="4677"/>
      </w:tblGrid>
      <w:tr w:rsidR="00020C36" w:rsidRPr="0010018F" w14:paraId="6EE5C813" w14:textId="77777777">
        <w:trPr>
          <w:trHeight w:val="2093"/>
        </w:trPr>
        <w:tc>
          <w:tcPr>
            <w:tcW w:w="4375" w:type="dxa"/>
          </w:tcPr>
          <w:p w14:paraId="73804CC3" w14:textId="506E8602" w:rsidR="00763CF5" w:rsidRPr="00763CF5" w:rsidRDefault="00763CF5" w:rsidP="00763CF5">
            <w:pPr>
              <w:pStyle w:val="Ttulo1"/>
              <w:spacing w:after="240"/>
              <w:jc w:val="both"/>
              <w:rPr>
                <w:rFonts w:ascii="Times New Roman" w:hAnsi="Times New Roman"/>
                <w:b w:val="0"/>
                <w:bCs/>
                <w:sz w:val="22"/>
                <w:szCs w:val="22"/>
                <w:u w:val="none"/>
              </w:rPr>
            </w:pPr>
            <w:proofErr w:type="spellStart"/>
            <w:r w:rsidRPr="00763CF5">
              <w:rPr>
                <w:rFonts w:ascii="Times New Roman" w:hAnsi="Times New Roman"/>
                <w:sz w:val="22"/>
                <w:szCs w:val="22"/>
              </w:rPr>
              <w:t>Erref</w:t>
            </w:r>
            <w:proofErr w:type="spellEnd"/>
            <w:r w:rsidRPr="00763CF5">
              <w:rPr>
                <w:rFonts w:ascii="Times New Roman" w:hAnsi="Times New Roman"/>
                <w:sz w:val="22"/>
                <w:szCs w:val="22"/>
              </w:rPr>
              <w:t>/</w:t>
            </w:r>
            <w:proofErr w:type="spellStart"/>
            <w:r w:rsidRPr="00763CF5">
              <w:rPr>
                <w:rFonts w:ascii="Times New Roman" w:hAnsi="Times New Roman"/>
                <w:sz w:val="22"/>
                <w:szCs w:val="22"/>
              </w:rPr>
              <w:t>Ref</w:t>
            </w:r>
            <w:proofErr w:type="spellEnd"/>
            <w:r w:rsidRPr="00763CF5">
              <w:rPr>
                <w:rFonts w:ascii="Times New Roman" w:hAnsi="Times New Roman"/>
                <w:sz w:val="22"/>
                <w:szCs w:val="22"/>
              </w:rPr>
              <w:t>:</w:t>
            </w:r>
            <w:r>
              <w:rPr>
                <w:rFonts w:ascii="Times New Roman" w:hAnsi="Times New Roman"/>
                <w:sz w:val="22"/>
                <w:szCs w:val="22"/>
                <w:u w:val="none"/>
              </w:rPr>
              <w:t xml:space="preserve"> </w:t>
            </w:r>
            <w:bookmarkStart w:id="0" w:name="_Hlk207360911"/>
            <w:r w:rsidR="00913561" w:rsidRPr="00913561">
              <w:rPr>
                <w:rFonts w:ascii="Times New Roman" w:hAnsi="Times New Roman"/>
                <w:b w:val="0"/>
                <w:bCs/>
                <w:sz w:val="22"/>
                <w:szCs w:val="22"/>
                <w:u w:val="none"/>
              </w:rPr>
              <w:t>Recurso Especial de IPAR LOCATION SERVICE, S.L. contra los pliegos del contrato de la “Asistencia Técnica a la Dirección de Desarrollo Económico e Innovación de la Diputación Foral de Álava en materia de promoción de la industria audiovisual en el Territorio” (</w:t>
            </w:r>
            <w:proofErr w:type="spellStart"/>
            <w:r w:rsidR="00913561" w:rsidRPr="00913561">
              <w:rPr>
                <w:rFonts w:ascii="Times New Roman" w:hAnsi="Times New Roman"/>
                <w:b w:val="0"/>
                <w:bCs/>
                <w:sz w:val="22"/>
                <w:szCs w:val="22"/>
                <w:u w:val="none"/>
              </w:rPr>
              <w:t>expte</w:t>
            </w:r>
            <w:proofErr w:type="spellEnd"/>
            <w:r w:rsidR="00913561" w:rsidRPr="00913561">
              <w:rPr>
                <w:rFonts w:ascii="Times New Roman" w:hAnsi="Times New Roman"/>
                <w:b w:val="0"/>
                <w:bCs/>
                <w:sz w:val="22"/>
                <w:szCs w:val="22"/>
                <w:u w:val="none"/>
              </w:rPr>
              <w:t xml:space="preserve"> ADM1-2026-0000001578)</w:t>
            </w:r>
            <w:r w:rsidRPr="00763CF5">
              <w:rPr>
                <w:rFonts w:ascii="Times New Roman" w:hAnsi="Times New Roman"/>
                <w:b w:val="0"/>
                <w:bCs/>
                <w:sz w:val="22"/>
                <w:szCs w:val="22"/>
                <w:u w:val="none"/>
              </w:rPr>
              <w:t>.</w:t>
            </w:r>
            <w:bookmarkEnd w:id="0"/>
          </w:p>
          <w:p w14:paraId="1C0DBBA5" w14:textId="691D9D43" w:rsidR="00200F29" w:rsidRPr="0010018F" w:rsidRDefault="00763CF5" w:rsidP="00763CF5">
            <w:pPr>
              <w:rPr>
                <w:sz w:val="22"/>
                <w:szCs w:val="22"/>
                <w:lang w:val="es-ES_tradnl"/>
              </w:rPr>
            </w:pPr>
            <w:r w:rsidRPr="00763CF5">
              <w:rPr>
                <w:sz w:val="22"/>
                <w:szCs w:val="22"/>
              </w:rPr>
              <w:t xml:space="preserve">Esp </w:t>
            </w:r>
            <w:proofErr w:type="spellStart"/>
            <w:r w:rsidRPr="00763CF5">
              <w:rPr>
                <w:sz w:val="22"/>
                <w:szCs w:val="22"/>
              </w:rPr>
              <w:t>Zenb</w:t>
            </w:r>
            <w:proofErr w:type="spellEnd"/>
            <w:r w:rsidRPr="00763CF5">
              <w:rPr>
                <w:sz w:val="22"/>
                <w:szCs w:val="22"/>
              </w:rPr>
              <w:t>/</w:t>
            </w:r>
            <w:proofErr w:type="spellStart"/>
            <w:r w:rsidRPr="00763CF5">
              <w:rPr>
                <w:sz w:val="22"/>
                <w:szCs w:val="22"/>
              </w:rPr>
              <w:t>Nº</w:t>
            </w:r>
            <w:proofErr w:type="spellEnd"/>
            <w:r w:rsidRPr="00763CF5">
              <w:rPr>
                <w:sz w:val="22"/>
                <w:szCs w:val="22"/>
              </w:rPr>
              <w:t xml:space="preserve"> </w:t>
            </w:r>
            <w:proofErr w:type="spellStart"/>
            <w:r w:rsidRPr="00763CF5">
              <w:rPr>
                <w:sz w:val="22"/>
                <w:szCs w:val="22"/>
              </w:rPr>
              <w:t>exp</w:t>
            </w:r>
            <w:proofErr w:type="spellEnd"/>
            <w:r w:rsidRPr="00322C07">
              <w:rPr>
                <w:sz w:val="22"/>
                <w:szCs w:val="22"/>
              </w:rPr>
              <w:t xml:space="preserve">: </w:t>
            </w:r>
            <w:r w:rsidR="00913561">
              <w:rPr>
                <w:sz w:val="22"/>
                <w:szCs w:val="22"/>
              </w:rPr>
              <w:t>7</w:t>
            </w:r>
            <w:r w:rsidR="00366AC7" w:rsidRPr="00366AC7">
              <w:rPr>
                <w:sz w:val="22"/>
                <w:szCs w:val="22"/>
              </w:rPr>
              <w:t>/2</w:t>
            </w:r>
            <w:r w:rsidR="00913561">
              <w:rPr>
                <w:sz w:val="22"/>
                <w:szCs w:val="22"/>
              </w:rPr>
              <w:t>6</w:t>
            </w:r>
            <w:r w:rsidR="00366AC7" w:rsidRPr="00366AC7">
              <w:rPr>
                <w:sz w:val="22"/>
                <w:szCs w:val="22"/>
              </w:rPr>
              <w:t>- RE</w:t>
            </w:r>
          </w:p>
        </w:tc>
        <w:tc>
          <w:tcPr>
            <w:tcW w:w="20" w:type="dxa"/>
          </w:tcPr>
          <w:p w14:paraId="55E46482" w14:textId="77777777" w:rsidR="00020C36" w:rsidRPr="0010018F" w:rsidRDefault="00020C36">
            <w:pPr>
              <w:rPr>
                <w:sz w:val="22"/>
                <w:szCs w:val="22"/>
              </w:rPr>
            </w:pPr>
            <w:r w:rsidRPr="0010018F">
              <w:rPr>
                <w:sz w:val="22"/>
                <w:szCs w:val="22"/>
              </w:rPr>
              <w:t xml:space="preserve"> </w:t>
            </w:r>
          </w:p>
        </w:tc>
        <w:tc>
          <w:tcPr>
            <w:tcW w:w="4677" w:type="dxa"/>
          </w:tcPr>
          <w:p w14:paraId="35F0B894" w14:textId="77777777" w:rsidR="00020C36" w:rsidRPr="0010018F" w:rsidRDefault="00020C36">
            <w:pPr>
              <w:pStyle w:val="Piedepgina"/>
              <w:tabs>
                <w:tab w:val="clear" w:pos="4252"/>
                <w:tab w:val="clear" w:pos="8504"/>
                <w:tab w:val="right" w:pos="4677"/>
              </w:tabs>
              <w:spacing w:after="240"/>
              <w:rPr>
                <w:sz w:val="22"/>
                <w:szCs w:val="22"/>
              </w:rPr>
            </w:pPr>
          </w:p>
        </w:tc>
      </w:tr>
    </w:tbl>
    <w:p w14:paraId="00397798" w14:textId="77777777" w:rsidR="00763CF5" w:rsidRDefault="00763CF5">
      <w:pPr>
        <w:pStyle w:val="Textoindependiente"/>
        <w:spacing w:after="480"/>
        <w:jc w:val="center"/>
        <w:rPr>
          <w:rFonts w:ascii="Times New Roman" w:hAnsi="Times New Roman"/>
          <w:b/>
          <w:sz w:val="22"/>
          <w:szCs w:val="22"/>
          <w:u w:val="single"/>
        </w:rPr>
      </w:pPr>
    </w:p>
    <w:p w14:paraId="37ADAAE8" w14:textId="596A3A33" w:rsidR="00020C36" w:rsidRPr="002A6A72" w:rsidRDefault="00020C36">
      <w:pPr>
        <w:pStyle w:val="Textoindependiente"/>
        <w:spacing w:after="480"/>
        <w:jc w:val="center"/>
        <w:rPr>
          <w:rFonts w:ascii="Times New Roman" w:hAnsi="Times New Roman"/>
          <w:b/>
          <w:sz w:val="24"/>
          <w:szCs w:val="24"/>
          <w:u w:val="single"/>
        </w:rPr>
      </w:pPr>
      <w:r w:rsidRPr="002A6A72">
        <w:rPr>
          <w:rFonts w:ascii="Times New Roman" w:hAnsi="Times New Roman"/>
          <w:b/>
          <w:sz w:val="24"/>
          <w:szCs w:val="24"/>
          <w:u w:val="single"/>
        </w:rPr>
        <w:t xml:space="preserve">RESOLUCIÓN </w:t>
      </w:r>
      <w:r w:rsidR="002A6A72" w:rsidRPr="002A6A72">
        <w:rPr>
          <w:rFonts w:ascii="Times New Roman" w:hAnsi="Times New Roman"/>
          <w:b/>
          <w:sz w:val="24"/>
          <w:szCs w:val="24"/>
          <w:u w:val="single"/>
        </w:rPr>
        <w:t>16</w:t>
      </w:r>
      <w:r w:rsidR="00763CF5" w:rsidRPr="002A6A72">
        <w:rPr>
          <w:rFonts w:ascii="Times New Roman" w:hAnsi="Times New Roman"/>
          <w:b/>
          <w:sz w:val="24"/>
          <w:szCs w:val="24"/>
          <w:u w:val="single"/>
        </w:rPr>
        <w:t>/</w:t>
      </w:r>
      <w:r w:rsidR="0075652B" w:rsidRPr="002A6A72">
        <w:rPr>
          <w:rFonts w:ascii="Times New Roman" w:hAnsi="Times New Roman"/>
          <w:b/>
          <w:sz w:val="24"/>
          <w:szCs w:val="24"/>
          <w:u w:val="single"/>
        </w:rPr>
        <w:t>20</w:t>
      </w:r>
      <w:r w:rsidR="00E95CFC" w:rsidRPr="002A6A72">
        <w:rPr>
          <w:rFonts w:ascii="Times New Roman" w:hAnsi="Times New Roman"/>
          <w:b/>
          <w:sz w:val="24"/>
          <w:szCs w:val="24"/>
          <w:u w:val="single"/>
        </w:rPr>
        <w:t>2</w:t>
      </w:r>
      <w:r w:rsidR="0029694E" w:rsidRPr="002A6A72">
        <w:rPr>
          <w:rFonts w:ascii="Times New Roman" w:hAnsi="Times New Roman"/>
          <w:b/>
          <w:sz w:val="24"/>
          <w:szCs w:val="24"/>
          <w:u w:val="single"/>
        </w:rPr>
        <w:t>6</w:t>
      </w:r>
    </w:p>
    <w:p w14:paraId="1C8251F6" w14:textId="01852B3E" w:rsidR="00020C36" w:rsidRPr="00AB428A" w:rsidRDefault="00020C36" w:rsidP="0016554C">
      <w:pPr>
        <w:tabs>
          <w:tab w:val="left" w:pos="3261"/>
        </w:tabs>
        <w:spacing w:after="240"/>
        <w:jc w:val="both"/>
        <w:rPr>
          <w:sz w:val="22"/>
          <w:szCs w:val="22"/>
        </w:rPr>
      </w:pPr>
      <w:r w:rsidRPr="00AB428A">
        <w:rPr>
          <w:sz w:val="22"/>
          <w:szCs w:val="22"/>
        </w:rPr>
        <w:t>En Vitoria-Gasteiz, a</w:t>
      </w:r>
      <w:r w:rsidR="006E6663" w:rsidRPr="00AB428A">
        <w:rPr>
          <w:sz w:val="22"/>
          <w:szCs w:val="22"/>
        </w:rPr>
        <w:t xml:space="preserve"> </w:t>
      </w:r>
      <w:r w:rsidR="002A6A72">
        <w:rPr>
          <w:sz w:val="22"/>
          <w:szCs w:val="22"/>
        </w:rPr>
        <w:t>27</w:t>
      </w:r>
      <w:r w:rsidR="00513D34" w:rsidRPr="00AB428A">
        <w:rPr>
          <w:sz w:val="22"/>
          <w:szCs w:val="22"/>
        </w:rPr>
        <w:t xml:space="preserve"> de </w:t>
      </w:r>
      <w:r w:rsidR="00913561">
        <w:rPr>
          <w:sz w:val="22"/>
          <w:szCs w:val="22"/>
        </w:rPr>
        <w:t>julio</w:t>
      </w:r>
      <w:r w:rsidR="00513D34" w:rsidRPr="00AB428A">
        <w:rPr>
          <w:sz w:val="22"/>
          <w:szCs w:val="22"/>
        </w:rPr>
        <w:t xml:space="preserve"> de 202</w:t>
      </w:r>
      <w:r w:rsidR="0029694E" w:rsidRPr="00AB428A">
        <w:rPr>
          <w:sz w:val="22"/>
          <w:szCs w:val="22"/>
        </w:rPr>
        <w:t>6</w:t>
      </w:r>
      <w:r w:rsidR="00200F29" w:rsidRPr="00AB428A">
        <w:rPr>
          <w:sz w:val="22"/>
          <w:szCs w:val="22"/>
        </w:rPr>
        <w:t>.</w:t>
      </w:r>
    </w:p>
    <w:p w14:paraId="71C58C04" w14:textId="539EDFE0" w:rsidR="00913561" w:rsidRPr="00913561" w:rsidRDefault="00763CF5" w:rsidP="00913561">
      <w:pPr>
        <w:tabs>
          <w:tab w:val="left" w:pos="3261"/>
        </w:tabs>
        <w:spacing w:after="240"/>
        <w:jc w:val="both"/>
        <w:rPr>
          <w:sz w:val="22"/>
        </w:rPr>
      </w:pPr>
      <w:r w:rsidRPr="005661F7">
        <w:rPr>
          <w:sz w:val="22"/>
        </w:rPr>
        <w:t xml:space="preserve">El </w:t>
      </w:r>
      <w:r w:rsidRPr="006F2661">
        <w:rPr>
          <w:sz w:val="22"/>
        </w:rPr>
        <w:t>Órgano Administrativo</w:t>
      </w:r>
      <w:r w:rsidRPr="005661F7">
        <w:rPr>
          <w:sz w:val="22"/>
        </w:rPr>
        <w:t xml:space="preserve"> Foral de Recursos Contractuales de la Diputación Foral de Álava ha dictado la siguiente RESOLUCIÓN en </w:t>
      </w:r>
      <w:r w:rsidR="005D756C">
        <w:rPr>
          <w:sz w:val="22"/>
        </w:rPr>
        <w:t>el</w:t>
      </w:r>
      <w:r w:rsidRPr="005661F7">
        <w:rPr>
          <w:sz w:val="22"/>
        </w:rPr>
        <w:t xml:space="preserve"> </w:t>
      </w:r>
      <w:bookmarkStart w:id="1" w:name="_Hlk191369236"/>
      <w:r w:rsidR="00882765" w:rsidRPr="00882765">
        <w:rPr>
          <w:sz w:val="22"/>
        </w:rPr>
        <w:t xml:space="preserve">Recurso Especial en materia de contratación </w:t>
      </w:r>
      <w:r w:rsidR="00913561">
        <w:rPr>
          <w:sz w:val="22"/>
        </w:rPr>
        <w:t>7</w:t>
      </w:r>
      <w:r w:rsidR="00882765" w:rsidRPr="00882765">
        <w:rPr>
          <w:sz w:val="22"/>
        </w:rPr>
        <w:t>/2</w:t>
      </w:r>
      <w:bookmarkEnd w:id="1"/>
      <w:r w:rsidR="00913561">
        <w:rPr>
          <w:sz w:val="22"/>
        </w:rPr>
        <w:t xml:space="preserve">6 – RE </w:t>
      </w:r>
      <w:r w:rsidR="00913561" w:rsidRPr="00913561">
        <w:rPr>
          <w:sz w:val="22"/>
        </w:rPr>
        <w:t xml:space="preserve">interpuesto por </w:t>
      </w:r>
      <w:r w:rsidR="00902FB2">
        <w:rPr>
          <w:sz w:val="22"/>
        </w:rPr>
        <w:t xml:space="preserve">XXXXXXXXXXXXXXXXXXXX </w:t>
      </w:r>
      <w:r w:rsidR="00913561" w:rsidRPr="00913561">
        <w:rPr>
          <w:sz w:val="22"/>
        </w:rPr>
        <w:t>en nombre de IPAR LOCATION SERVICE, S.L. contra los pliegos del contrato de la “Asistencia Técnica a la Dirección de Desarrollo Económico e Innovación de la Diputación Foral de Álava en materia de promoción de la industria audiovisual en el Territorio” (</w:t>
      </w:r>
      <w:proofErr w:type="spellStart"/>
      <w:r w:rsidR="00913561" w:rsidRPr="00913561">
        <w:rPr>
          <w:sz w:val="22"/>
        </w:rPr>
        <w:t>expte</w:t>
      </w:r>
      <w:proofErr w:type="spellEnd"/>
      <w:r w:rsidR="00913561" w:rsidRPr="00913561">
        <w:rPr>
          <w:sz w:val="22"/>
        </w:rPr>
        <w:t xml:space="preserve"> ADM1-2026-0000001578).</w:t>
      </w:r>
    </w:p>
    <w:p w14:paraId="6375A20C" w14:textId="7FAE8A1A" w:rsidR="00763CF5" w:rsidRPr="004C0B12" w:rsidRDefault="00913561" w:rsidP="00913561">
      <w:pPr>
        <w:tabs>
          <w:tab w:val="left" w:pos="3261"/>
        </w:tabs>
        <w:spacing w:after="240"/>
        <w:jc w:val="both"/>
        <w:rPr>
          <w:sz w:val="24"/>
          <w:szCs w:val="24"/>
        </w:rPr>
      </w:pPr>
      <w:r w:rsidRPr="00913561">
        <w:rPr>
          <w:sz w:val="22"/>
        </w:rPr>
        <w:t>Son partes en dicho recurso: como recurrente la mercantil IPAR LOCATION SERVICE, S.L., siendo el órgano de contratación la Diputada de Desarrollo Económico y Sostenibilidad (en adelante OC) y el tramitador del expediente el Servicio de Desarrollo Económico e Innovación.</w:t>
      </w:r>
    </w:p>
    <w:p w14:paraId="32D688E4" w14:textId="77777777" w:rsidR="00822F42" w:rsidRPr="0010018F" w:rsidRDefault="00822F42" w:rsidP="0016554C">
      <w:pPr>
        <w:spacing w:after="240"/>
        <w:jc w:val="both"/>
        <w:rPr>
          <w:sz w:val="22"/>
          <w:szCs w:val="22"/>
        </w:rPr>
      </w:pPr>
    </w:p>
    <w:p w14:paraId="6B4E6732" w14:textId="77777777" w:rsidR="00822F42" w:rsidRPr="0010018F" w:rsidRDefault="00822F42" w:rsidP="0016554C">
      <w:pPr>
        <w:spacing w:after="240"/>
        <w:jc w:val="center"/>
        <w:rPr>
          <w:b/>
          <w:sz w:val="22"/>
          <w:szCs w:val="22"/>
        </w:rPr>
      </w:pPr>
      <w:r w:rsidRPr="0010018F">
        <w:rPr>
          <w:b/>
          <w:sz w:val="22"/>
          <w:szCs w:val="22"/>
        </w:rPr>
        <w:t>ANTECEDENTES DE HECHO</w:t>
      </w:r>
    </w:p>
    <w:p w14:paraId="2967AA54" w14:textId="77777777" w:rsidR="00913561" w:rsidRDefault="00913561" w:rsidP="00913561">
      <w:pPr>
        <w:spacing w:after="240"/>
        <w:jc w:val="both"/>
        <w:rPr>
          <w:sz w:val="22"/>
        </w:rPr>
      </w:pPr>
      <w:r>
        <w:rPr>
          <w:b/>
          <w:sz w:val="22"/>
        </w:rPr>
        <w:t xml:space="preserve">1º. </w:t>
      </w:r>
      <w:r w:rsidRPr="00F1134B">
        <w:rPr>
          <w:bCs/>
          <w:sz w:val="22"/>
        </w:rPr>
        <w:t>-</w:t>
      </w:r>
      <w:r w:rsidRPr="003E3E80">
        <w:rPr>
          <w:sz w:val="22"/>
        </w:rPr>
        <w:t xml:space="preserve"> </w:t>
      </w:r>
      <w:r w:rsidRPr="005E26A6">
        <w:rPr>
          <w:sz w:val="22"/>
        </w:rPr>
        <w:t xml:space="preserve">Mediante </w:t>
      </w:r>
      <w:r>
        <w:rPr>
          <w:sz w:val="22"/>
        </w:rPr>
        <w:t>Orden Foral</w:t>
      </w:r>
      <w:r w:rsidRPr="005E26A6">
        <w:rPr>
          <w:sz w:val="22"/>
        </w:rPr>
        <w:t xml:space="preserve"> de </w:t>
      </w:r>
      <w:bookmarkStart w:id="2" w:name="_Hlk192098240"/>
      <w:r>
        <w:rPr>
          <w:sz w:val="22"/>
        </w:rPr>
        <w:t xml:space="preserve">OC número </w:t>
      </w:r>
      <w:bookmarkEnd w:id="2"/>
      <w:r w:rsidRPr="00DC2884">
        <w:rPr>
          <w:sz w:val="22"/>
        </w:rPr>
        <w:t>232/2026, de 29 de junio</w:t>
      </w:r>
      <w:r w:rsidRPr="005E26A6">
        <w:rPr>
          <w:sz w:val="22"/>
        </w:rPr>
        <w:t xml:space="preserve">, </w:t>
      </w:r>
      <w:r>
        <w:rPr>
          <w:sz w:val="22"/>
        </w:rPr>
        <w:t>fue aprobado el expediente de contratación d</w:t>
      </w:r>
      <w:r w:rsidRPr="005E26A6">
        <w:rPr>
          <w:sz w:val="22"/>
        </w:rPr>
        <w:t>el servicio de</w:t>
      </w:r>
      <w:r>
        <w:rPr>
          <w:sz w:val="22"/>
        </w:rPr>
        <w:t xml:space="preserve"> “Asistencia Técnica a la Dirección de Desarrollo Económico e Innovación de la Diputación Foral de Álava en materia de promoción de la industria audiovisual en el Territorio”.</w:t>
      </w:r>
    </w:p>
    <w:p w14:paraId="08FE180F" w14:textId="77777777" w:rsidR="00913561" w:rsidRPr="00257915" w:rsidRDefault="00913561" w:rsidP="00913561">
      <w:pPr>
        <w:spacing w:after="240"/>
        <w:jc w:val="both"/>
        <w:rPr>
          <w:sz w:val="22"/>
        </w:rPr>
      </w:pPr>
      <w:r w:rsidRPr="003E5D0D">
        <w:rPr>
          <w:b/>
          <w:bCs/>
          <w:sz w:val="22"/>
        </w:rPr>
        <w:t>2</w:t>
      </w:r>
      <w:r w:rsidRPr="004D3822">
        <w:rPr>
          <w:b/>
          <w:bCs/>
          <w:sz w:val="22"/>
        </w:rPr>
        <w:t>º.</w:t>
      </w:r>
      <w:r w:rsidRPr="004D3822">
        <w:rPr>
          <w:sz w:val="22"/>
        </w:rPr>
        <w:t xml:space="preserve">- El expediente fue instruido </w:t>
      </w:r>
      <w:r>
        <w:rPr>
          <w:sz w:val="22"/>
        </w:rPr>
        <w:t>por</w:t>
      </w:r>
      <w:r w:rsidRPr="004D3822">
        <w:rPr>
          <w:sz w:val="22"/>
        </w:rPr>
        <w:t xml:space="preserve"> tramitación ordinaria y procedimiento abierto, según lo dispuesto en la LCSP.</w:t>
      </w:r>
      <w:r>
        <w:rPr>
          <w:sz w:val="22"/>
        </w:rPr>
        <w:t xml:space="preserve"> </w:t>
      </w:r>
      <w:r w:rsidRPr="006656FC">
        <w:rPr>
          <w:sz w:val="22"/>
        </w:rPr>
        <w:t xml:space="preserve">La licitación fue publicada en el perfil de contratante el </w:t>
      </w:r>
      <w:r>
        <w:rPr>
          <w:sz w:val="22"/>
        </w:rPr>
        <w:t>1</w:t>
      </w:r>
      <w:r w:rsidRPr="006656FC">
        <w:rPr>
          <w:sz w:val="22"/>
        </w:rPr>
        <w:t xml:space="preserve"> de </w:t>
      </w:r>
      <w:r>
        <w:rPr>
          <w:sz w:val="22"/>
        </w:rPr>
        <w:t>julio</w:t>
      </w:r>
      <w:r w:rsidRPr="006656FC">
        <w:rPr>
          <w:sz w:val="22"/>
        </w:rPr>
        <w:t xml:space="preserve"> de 202</w:t>
      </w:r>
      <w:r>
        <w:rPr>
          <w:sz w:val="22"/>
        </w:rPr>
        <w:t>6</w:t>
      </w:r>
      <w:r w:rsidRPr="006656FC">
        <w:rPr>
          <w:sz w:val="22"/>
        </w:rPr>
        <w:t>, de forma que el plazo</w:t>
      </w:r>
      <w:r>
        <w:rPr>
          <w:sz w:val="22"/>
        </w:rPr>
        <w:t xml:space="preserve"> </w:t>
      </w:r>
      <w:r w:rsidRPr="006656FC">
        <w:rPr>
          <w:sz w:val="22"/>
        </w:rPr>
        <w:t>de presentación de ofertas finaliz</w:t>
      </w:r>
      <w:r>
        <w:rPr>
          <w:sz w:val="22"/>
        </w:rPr>
        <w:t>aría</w:t>
      </w:r>
      <w:r w:rsidRPr="006656FC">
        <w:rPr>
          <w:sz w:val="22"/>
        </w:rPr>
        <w:t xml:space="preserve"> el </w:t>
      </w:r>
      <w:r>
        <w:rPr>
          <w:sz w:val="22"/>
        </w:rPr>
        <w:t>22</w:t>
      </w:r>
      <w:r w:rsidRPr="006656FC">
        <w:rPr>
          <w:sz w:val="22"/>
        </w:rPr>
        <w:t xml:space="preserve"> de </w:t>
      </w:r>
      <w:r>
        <w:rPr>
          <w:sz w:val="22"/>
        </w:rPr>
        <w:t>julio.</w:t>
      </w:r>
    </w:p>
    <w:p w14:paraId="16EDAC20" w14:textId="77777777" w:rsidR="00913561" w:rsidRPr="000C5221" w:rsidRDefault="00913561" w:rsidP="00913561">
      <w:pPr>
        <w:spacing w:after="240"/>
        <w:jc w:val="both"/>
        <w:rPr>
          <w:sz w:val="22"/>
        </w:rPr>
      </w:pPr>
      <w:r>
        <w:rPr>
          <w:b/>
          <w:bCs/>
          <w:sz w:val="22"/>
        </w:rPr>
        <w:t>3</w:t>
      </w:r>
      <w:r w:rsidRPr="00E667F0">
        <w:rPr>
          <w:b/>
          <w:bCs/>
          <w:sz w:val="22"/>
        </w:rPr>
        <w:t>º.-</w:t>
      </w:r>
      <w:r w:rsidRPr="00E667F0">
        <w:rPr>
          <w:sz w:val="22"/>
        </w:rPr>
        <w:t xml:space="preserve"> El </w:t>
      </w:r>
      <w:r>
        <w:rPr>
          <w:sz w:val="22"/>
        </w:rPr>
        <w:t>3</w:t>
      </w:r>
      <w:r w:rsidRPr="00E667F0">
        <w:rPr>
          <w:sz w:val="22"/>
        </w:rPr>
        <w:t xml:space="preserve"> de </w:t>
      </w:r>
      <w:r>
        <w:rPr>
          <w:sz w:val="22"/>
        </w:rPr>
        <w:t>julio</w:t>
      </w:r>
      <w:r w:rsidRPr="00E667F0">
        <w:rPr>
          <w:sz w:val="22"/>
        </w:rPr>
        <w:t xml:space="preserve"> de 2025 tuvo entrada en el Registro Electrónico Común de la Diputación Foral de Álava el </w:t>
      </w:r>
      <w:r>
        <w:rPr>
          <w:sz w:val="22"/>
        </w:rPr>
        <w:t xml:space="preserve">anuncio del </w:t>
      </w:r>
      <w:r w:rsidRPr="00E667F0">
        <w:rPr>
          <w:sz w:val="22"/>
        </w:rPr>
        <w:t>recurso especial en materia de contratación (</w:t>
      </w:r>
      <w:r>
        <w:rPr>
          <w:sz w:val="22"/>
        </w:rPr>
        <w:t>7</w:t>
      </w:r>
      <w:r w:rsidRPr="00E667F0">
        <w:rPr>
          <w:sz w:val="22"/>
        </w:rPr>
        <w:t>/</w:t>
      </w:r>
      <w:r>
        <w:rPr>
          <w:sz w:val="22"/>
        </w:rPr>
        <w:t>26</w:t>
      </w:r>
      <w:r w:rsidRPr="00E667F0">
        <w:rPr>
          <w:sz w:val="22"/>
        </w:rPr>
        <w:t xml:space="preserve">-RE) señalado </w:t>
      </w:r>
      <w:r w:rsidRPr="00E667F0">
        <w:rPr>
          <w:i/>
          <w:iCs/>
          <w:sz w:val="22"/>
        </w:rPr>
        <w:t>ut supra</w:t>
      </w:r>
      <w:r w:rsidRPr="00E667F0">
        <w:rPr>
          <w:sz w:val="22"/>
        </w:rPr>
        <w:t xml:space="preserve">, </w:t>
      </w:r>
      <w:r>
        <w:rPr>
          <w:sz w:val="22"/>
        </w:rPr>
        <w:t>siendo formalizado en esa misma fecha. En el recurso</w:t>
      </w:r>
      <w:r w:rsidRPr="00E667F0">
        <w:rPr>
          <w:sz w:val="22"/>
        </w:rPr>
        <w:t xml:space="preserve"> solicita, la adopción de la medida cautelar consistente en </w:t>
      </w:r>
      <w:r w:rsidRPr="000C5221">
        <w:rPr>
          <w:sz w:val="22"/>
        </w:rPr>
        <w:t xml:space="preserve">la suspensión </w:t>
      </w:r>
      <w:r>
        <w:rPr>
          <w:sz w:val="22"/>
        </w:rPr>
        <w:t xml:space="preserve">de la presentación de ofertas, así como la suspensión </w:t>
      </w:r>
      <w:r w:rsidRPr="000C5221">
        <w:rPr>
          <w:sz w:val="22"/>
        </w:rPr>
        <w:t>del procedimiento de contratación.</w:t>
      </w:r>
    </w:p>
    <w:p w14:paraId="732B0DBF" w14:textId="77777777" w:rsidR="00BB3476" w:rsidRDefault="00BB3476" w:rsidP="002C5D0E">
      <w:pPr>
        <w:spacing w:after="240"/>
        <w:jc w:val="both"/>
        <w:rPr>
          <w:b/>
          <w:bCs/>
          <w:sz w:val="22"/>
        </w:rPr>
      </w:pPr>
    </w:p>
    <w:p w14:paraId="36F0B7BC" w14:textId="03C3EF30" w:rsidR="00BB3476" w:rsidRPr="002735C5" w:rsidRDefault="00BB3476" w:rsidP="00BB3476">
      <w:pPr>
        <w:spacing w:after="240"/>
        <w:jc w:val="both"/>
        <w:rPr>
          <w:sz w:val="22"/>
        </w:rPr>
      </w:pPr>
      <w:r>
        <w:rPr>
          <w:b/>
          <w:sz w:val="22"/>
        </w:rPr>
        <w:lastRenderedPageBreak/>
        <w:t>4º. -</w:t>
      </w:r>
      <w:r>
        <w:rPr>
          <w:sz w:val="22"/>
        </w:rPr>
        <w:t xml:space="preserve"> </w:t>
      </w:r>
      <w:r w:rsidRPr="002735C5">
        <w:rPr>
          <w:sz w:val="22"/>
        </w:rPr>
        <w:t>En cumplimiento de lo previsto en el artículo 56.2 de la LCSP, se solicitó al OC el expediente administrativo y su informe sobre el RE</w:t>
      </w:r>
      <w:r>
        <w:rPr>
          <w:sz w:val="22"/>
        </w:rPr>
        <w:t>, que fue remitido con fecha 7 de julio de 2026</w:t>
      </w:r>
      <w:r w:rsidRPr="002735C5">
        <w:rPr>
          <w:sz w:val="22"/>
        </w:rPr>
        <w:t>.</w:t>
      </w:r>
    </w:p>
    <w:p w14:paraId="44C43A34" w14:textId="7B02664F" w:rsidR="002C5D0E" w:rsidRPr="002C5D0E" w:rsidRDefault="00BB3476" w:rsidP="002C5D0E">
      <w:pPr>
        <w:spacing w:after="240"/>
        <w:jc w:val="both"/>
        <w:rPr>
          <w:bCs/>
          <w:sz w:val="22"/>
        </w:rPr>
      </w:pPr>
      <w:r>
        <w:rPr>
          <w:b/>
          <w:bCs/>
          <w:sz w:val="22"/>
        </w:rPr>
        <w:t>5</w:t>
      </w:r>
      <w:r w:rsidR="00913561">
        <w:rPr>
          <w:b/>
          <w:bCs/>
          <w:sz w:val="22"/>
        </w:rPr>
        <w:t>º</w:t>
      </w:r>
      <w:r w:rsidR="00913561" w:rsidRPr="00DE13BB">
        <w:rPr>
          <w:b/>
          <w:bCs/>
          <w:sz w:val="22"/>
        </w:rPr>
        <w:t>.-</w:t>
      </w:r>
      <w:r w:rsidR="002C5D0E">
        <w:rPr>
          <w:b/>
          <w:sz w:val="22"/>
        </w:rPr>
        <w:t xml:space="preserve"> </w:t>
      </w:r>
      <w:r w:rsidR="002C5D0E" w:rsidRPr="002C5D0E">
        <w:rPr>
          <w:bCs/>
          <w:sz w:val="22"/>
        </w:rPr>
        <w:t xml:space="preserve">Posteriormente, </w:t>
      </w:r>
      <w:r w:rsidR="002C5D0E">
        <w:rPr>
          <w:bCs/>
          <w:sz w:val="22"/>
        </w:rPr>
        <w:t>e</w:t>
      </w:r>
      <w:r w:rsidR="002A6A72">
        <w:rPr>
          <w:bCs/>
          <w:sz w:val="22"/>
        </w:rPr>
        <w:t>ste</w:t>
      </w:r>
      <w:r w:rsidR="002C5D0E">
        <w:rPr>
          <w:bCs/>
          <w:sz w:val="22"/>
        </w:rPr>
        <w:t xml:space="preserve"> OAFRC procedió a dictar la Resolución </w:t>
      </w:r>
      <w:r w:rsidR="00913561">
        <w:rPr>
          <w:bCs/>
          <w:sz w:val="22"/>
        </w:rPr>
        <w:t>13</w:t>
      </w:r>
      <w:r w:rsidR="002C5D0E">
        <w:rPr>
          <w:bCs/>
          <w:sz w:val="22"/>
        </w:rPr>
        <w:t>/2</w:t>
      </w:r>
      <w:r w:rsidR="00913561">
        <w:rPr>
          <w:bCs/>
          <w:sz w:val="22"/>
        </w:rPr>
        <w:t>6</w:t>
      </w:r>
      <w:r w:rsidR="002C5D0E">
        <w:rPr>
          <w:bCs/>
          <w:sz w:val="22"/>
        </w:rPr>
        <w:t xml:space="preserve">, de </w:t>
      </w:r>
      <w:r w:rsidR="00EB615F">
        <w:rPr>
          <w:bCs/>
          <w:sz w:val="22"/>
        </w:rPr>
        <w:t>8</w:t>
      </w:r>
      <w:r w:rsidR="002C5D0E">
        <w:rPr>
          <w:bCs/>
          <w:sz w:val="22"/>
        </w:rPr>
        <w:t xml:space="preserve"> de </w:t>
      </w:r>
      <w:r w:rsidR="00913561">
        <w:rPr>
          <w:bCs/>
          <w:sz w:val="22"/>
        </w:rPr>
        <w:t>julio</w:t>
      </w:r>
      <w:r w:rsidR="002C5D0E">
        <w:rPr>
          <w:bCs/>
          <w:sz w:val="22"/>
        </w:rPr>
        <w:t>, en la que se estimó</w:t>
      </w:r>
      <w:r w:rsidR="002C5D0E" w:rsidRPr="002C5D0E">
        <w:rPr>
          <w:bCs/>
          <w:sz w:val="22"/>
        </w:rPr>
        <w:t xml:space="preserve"> la medida provisional </w:t>
      </w:r>
      <w:r>
        <w:rPr>
          <w:bCs/>
          <w:sz w:val="22"/>
        </w:rPr>
        <w:t>de</w:t>
      </w:r>
      <w:r w:rsidRPr="00BB3476">
        <w:rPr>
          <w:bCs/>
          <w:sz w:val="22"/>
        </w:rPr>
        <w:t xml:space="preserve"> suspensión </w:t>
      </w:r>
      <w:r w:rsidR="002A6A72">
        <w:rPr>
          <w:bCs/>
          <w:sz w:val="22"/>
        </w:rPr>
        <w:t xml:space="preserve">del procedimiento y </w:t>
      </w:r>
      <w:r w:rsidRPr="00BB3476">
        <w:rPr>
          <w:bCs/>
          <w:sz w:val="22"/>
        </w:rPr>
        <w:t>del plazo concedido para la presentación de ofertas o proposiciones por los interesados</w:t>
      </w:r>
      <w:r w:rsidR="002C5D0E">
        <w:rPr>
          <w:bCs/>
          <w:sz w:val="22"/>
        </w:rPr>
        <w:t xml:space="preserve">. </w:t>
      </w:r>
    </w:p>
    <w:p w14:paraId="22D37AA3" w14:textId="77777777" w:rsidR="008C4E09" w:rsidRDefault="008C4E09" w:rsidP="0016554C">
      <w:pPr>
        <w:spacing w:after="240"/>
        <w:jc w:val="center"/>
        <w:rPr>
          <w:b/>
          <w:sz w:val="22"/>
          <w:szCs w:val="22"/>
        </w:rPr>
      </w:pPr>
    </w:p>
    <w:p w14:paraId="74EDD52D" w14:textId="0109C0C3" w:rsidR="00DA56FC" w:rsidRDefault="00DA56FC" w:rsidP="0016554C">
      <w:pPr>
        <w:spacing w:after="240"/>
        <w:jc w:val="center"/>
        <w:rPr>
          <w:b/>
          <w:sz w:val="22"/>
          <w:szCs w:val="22"/>
        </w:rPr>
      </w:pPr>
      <w:r w:rsidRPr="0010018F">
        <w:rPr>
          <w:b/>
          <w:sz w:val="22"/>
          <w:szCs w:val="22"/>
        </w:rPr>
        <w:t>FUNDAMENTOS DE DERECHO</w:t>
      </w:r>
    </w:p>
    <w:p w14:paraId="631823E5" w14:textId="77777777" w:rsidR="0016554C" w:rsidRPr="0010018F" w:rsidRDefault="0016554C" w:rsidP="0016554C">
      <w:pPr>
        <w:spacing w:after="240"/>
        <w:jc w:val="center"/>
        <w:rPr>
          <w:b/>
          <w:sz w:val="22"/>
          <w:szCs w:val="22"/>
        </w:rPr>
      </w:pPr>
    </w:p>
    <w:p w14:paraId="3025EE78" w14:textId="497BD0DC" w:rsidR="00783AEC" w:rsidRPr="00942F7A" w:rsidRDefault="001803B3" w:rsidP="00783AEC">
      <w:pPr>
        <w:spacing w:after="240"/>
        <w:jc w:val="both"/>
        <w:rPr>
          <w:sz w:val="22"/>
        </w:rPr>
      </w:pPr>
      <w:r w:rsidRPr="00783AEC">
        <w:rPr>
          <w:b/>
          <w:sz w:val="22"/>
          <w:szCs w:val="22"/>
        </w:rPr>
        <w:t>PRIMERO. -</w:t>
      </w:r>
      <w:r w:rsidR="00020C36" w:rsidRPr="00783AEC">
        <w:rPr>
          <w:b/>
          <w:sz w:val="22"/>
          <w:szCs w:val="22"/>
        </w:rPr>
        <w:t xml:space="preserve"> </w:t>
      </w:r>
      <w:r w:rsidR="00783AEC" w:rsidRPr="00783AEC">
        <w:rPr>
          <w:sz w:val="22"/>
        </w:rPr>
        <w:t xml:space="preserve">Tratándose de un contrato de servicios cuyo valor estimado (precio del contrato más posibles prórrogas previstas) asciende a </w:t>
      </w:r>
      <w:r w:rsidR="008C4E09" w:rsidRPr="00BB3476">
        <w:rPr>
          <w:b/>
          <w:bCs/>
          <w:sz w:val="22"/>
        </w:rPr>
        <w:t>2</w:t>
      </w:r>
      <w:r w:rsidR="00BB3476" w:rsidRPr="00BB3476">
        <w:rPr>
          <w:b/>
          <w:bCs/>
          <w:sz w:val="22"/>
        </w:rPr>
        <w:t>0</w:t>
      </w:r>
      <w:r w:rsidR="002C5D0E" w:rsidRPr="00BB3476">
        <w:rPr>
          <w:b/>
          <w:bCs/>
          <w:sz w:val="22"/>
        </w:rPr>
        <w:t>0</w:t>
      </w:r>
      <w:r w:rsidR="002C5D0E">
        <w:rPr>
          <w:b/>
          <w:bCs/>
          <w:sz w:val="22"/>
        </w:rPr>
        <w:t>.000,00</w:t>
      </w:r>
      <w:r w:rsidR="00783AEC" w:rsidRPr="00783AEC">
        <w:rPr>
          <w:b/>
          <w:bCs/>
          <w:sz w:val="22"/>
        </w:rPr>
        <w:t xml:space="preserve"> euros (IVA excluido),</w:t>
      </w:r>
      <w:r w:rsidR="00783AEC" w:rsidRPr="00783AEC">
        <w:rPr>
          <w:sz w:val="22"/>
        </w:rPr>
        <w:t xml:space="preserve"> se cumplen los requisitos exigidos en el </w:t>
      </w:r>
      <w:r w:rsidR="00783AEC" w:rsidRPr="00942F7A">
        <w:rPr>
          <w:sz w:val="22"/>
        </w:rPr>
        <w:t>artículo 44</w:t>
      </w:r>
      <w:r w:rsidR="005A5046" w:rsidRPr="00942F7A">
        <w:rPr>
          <w:sz w:val="22"/>
        </w:rPr>
        <w:t>.1.a)</w:t>
      </w:r>
      <w:r w:rsidR="00783AEC" w:rsidRPr="00942F7A">
        <w:rPr>
          <w:sz w:val="22"/>
        </w:rPr>
        <w:t xml:space="preserve"> de la LCSP para poder considerar el acto impugnado susceptible de recurso especial en materia de contratación. En concreto, son susceptibles de recurso especial los actos y decisiones relacionados en el apartado 2 del citado artículo</w:t>
      </w:r>
      <w:r w:rsidR="008C2954" w:rsidRPr="00942F7A">
        <w:rPr>
          <w:sz w:val="22"/>
        </w:rPr>
        <w:t xml:space="preserve">, </w:t>
      </w:r>
      <w:r w:rsidR="00783AEC" w:rsidRPr="00942F7A">
        <w:rPr>
          <w:sz w:val="22"/>
        </w:rPr>
        <w:t xml:space="preserve">como </w:t>
      </w:r>
      <w:r w:rsidR="005A5046" w:rsidRPr="00942F7A">
        <w:rPr>
          <w:sz w:val="22"/>
        </w:rPr>
        <w:t xml:space="preserve"> los anuncios de licitación, los pliegos y los documentos contractuales que establezcan las condiciones que deban regir la contratación.</w:t>
      </w:r>
      <w:r w:rsidR="00783AEC" w:rsidRPr="00942F7A">
        <w:rPr>
          <w:sz w:val="22"/>
        </w:rPr>
        <w:t xml:space="preserve"> (art. 44.2.</w:t>
      </w:r>
      <w:r w:rsidR="005A5046" w:rsidRPr="00942F7A">
        <w:rPr>
          <w:sz w:val="22"/>
        </w:rPr>
        <w:t>a)</w:t>
      </w:r>
      <w:r w:rsidR="00783AEC" w:rsidRPr="00942F7A">
        <w:rPr>
          <w:sz w:val="22"/>
        </w:rPr>
        <w:t>.</w:t>
      </w:r>
    </w:p>
    <w:p w14:paraId="69139701" w14:textId="77777777" w:rsidR="00583268" w:rsidRPr="00783AEC" w:rsidRDefault="00345B6D" w:rsidP="00783AEC">
      <w:pPr>
        <w:spacing w:after="240"/>
        <w:jc w:val="both"/>
        <w:rPr>
          <w:sz w:val="22"/>
          <w:szCs w:val="22"/>
          <w:lang w:val="es-ES_tradnl"/>
        </w:rPr>
      </w:pPr>
      <w:r w:rsidRPr="00783AEC">
        <w:rPr>
          <w:b/>
          <w:sz w:val="22"/>
          <w:szCs w:val="22"/>
        </w:rPr>
        <w:t xml:space="preserve">SEGUNDO. </w:t>
      </w:r>
      <w:r w:rsidR="00FE432D" w:rsidRPr="00783AEC">
        <w:rPr>
          <w:b/>
          <w:sz w:val="22"/>
          <w:szCs w:val="22"/>
        </w:rPr>
        <w:t>–</w:t>
      </w:r>
      <w:r w:rsidR="00E16D4D" w:rsidRPr="00783AEC">
        <w:rPr>
          <w:sz w:val="22"/>
          <w:szCs w:val="22"/>
        </w:rPr>
        <w:t xml:space="preserve"> </w:t>
      </w:r>
      <w:r w:rsidR="00583268" w:rsidRPr="00783AEC">
        <w:rPr>
          <w:sz w:val="22"/>
          <w:szCs w:val="22"/>
          <w:lang w:val="es-ES_tradnl"/>
        </w:rPr>
        <w:t xml:space="preserve">La competencia para resolver </w:t>
      </w:r>
      <w:r w:rsidR="00783AEC">
        <w:rPr>
          <w:sz w:val="22"/>
          <w:szCs w:val="22"/>
          <w:lang w:val="es-ES_tradnl"/>
        </w:rPr>
        <w:t>el</w:t>
      </w:r>
      <w:r w:rsidR="00583268" w:rsidRPr="00783AEC">
        <w:rPr>
          <w:sz w:val="22"/>
          <w:szCs w:val="22"/>
          <w:lang w:val="es-ES_tradnl"/>
        </w:rPr>
        <w:t xml:space="preserve"> presente recurso especial corresponde a este Órgano conforme a lo establecido en el art. 46.5 LCSP, y en el Decreto Foral del Consejo de Diputados 44/2010, de 28 de septiembre, cuyo apartado 2.1, relativo a las competencias, establece que “</w:t>
      </w:r>
      <w:r w:rsidR="00583268" w:rsidRPr="00783AEC">
        <w:rPr>
          <w:i/>
          <w:iCs/>
          <w:sz w:val="22"/>
          <w:szCs w:val="22"/>
          <w:lang w:val="es-ES_tradnl"/>
        </w:rPr>
        <w:t xml:space="preserve">Corresponde al Órgano Administrativo Foral de Recursos Contractuales el conocimiento y resolución de los recursos relativos a los contratos del sector público en los que sea parte la Diputación Foral de Álava o alguno de los órganos dependientes o vinculados a la misma y, en particular, los Organismos Autónomos </w:t>
      </w:r>
      <w:r w:rsidR="00583268" w:rsidRPr="002C5D0E">
        <w:rPr>
          <w:i/>
          <w:iCs/>
          <w:sz w:val="22"/>
          <w:szCs w:val="22"/>
          <w:lang w:val="es-ES_tradnl"/>
        </w:rPr>
        <w:t>Forales</w:t>
      </w:r>
      <w:r w:rsidR="00583268" w:rsidRPr="002C5D0E">
        <w:rPr>
          <w:b/>
          <w:bCs/>
          <w:i/>
          <w:iCs/>
          <w:sz w:val="22"/>
          <w:szCs w:val="22"/>
          <w:lang w:val="es-ES_tradnl"/>
        </w:rPr>
        <w:t xml:space="preserve">, </w:t>
      </w:r>
      <w:r w:rsidR="00583268" w:rsidRPr="0029694E">
        <w:rPr>
          <w:i/>
          <w:iCs/>
          <w:sz w:val="22"/>
          <w:szCs w:val="22"/>
          <w:lang w:val="es-ES_tradnl"/>
        </w:rPr>
        <w:t>las Sociedades Públicas Forales</w:t>
      </w:r>
      <w:r w:rsidR="00583268" w:rsidRPr="00783AEC">
        <w:rPr>
          <w:i/>
          <w:iCs/>
          <w:sz w:val="22"/>
          <w:szCs w:val="22"/>
          <w:lang w:val="es-ES_tradnl"/>
        </w:rPr>
        <w:t xml:space="preserve"> y todos aquellos poderes adjudicadores que estén bajo su control</w:t>
      </w:r>
      <w:r w:rsidR="00583268" w:rsidRPr="00783AEC">
        <w:rPr>
          <w:sz w:val="22"/>
          <w:szCs w:val="22"/>
          <w:lang w:val="es-ES_tradnl"/>
        </w:rPr>
        <w:t xml:space="preserve">.” </w:t>
      </w:r>
    </w:p>
    <w:p w14:paraId="2F94E76B" w14:textId="5EA24787" w:rsidR="004D5137" w:rsidRPr="007D7A8A" w:rsidRDefault="00345B6D" w:rsidP="00D04575">
      <w:pPr>
        <w:spacing w:after="240"/>
        <w:jc w:val="both"/>
        <w:rPr>
          <w:i/>
          <w:iCs/>
          <w:sz w:val="22"/>
          <w:szCs w:val="22"/>
        </w:rPr>
      </w:pPr>
      <w:r w:rsidRPr="00783AEC">
        <w:rPr>
          <w:b/>
          <w:sz w:val="22"/>
          <w:szCs w:val="22"/>
        </w:rPr>
        <w:t>TERCERO. -</w:t>
      </w:r>
      <w:r w:rsidR="004C30C3" w:rsidRPr="00783AEC">
        <w:rPr>
          <w:b/>
          <w:sz w:val="22"/>
          <w:szCs w:val="22"/>
        </w:rPr>
        <w:t xml:space="preserve"> </w:t>
      </w:r>
      <w:r w:rsidR="004C279C" w:rsidRPr="004C279C">
        <w:rPr>
          <w:bCs/>
          <w:sz w:val="22"/>
          <w:szCs w:val="22"/>
        </w:rPr>
        <w:t>E</w:t>
      </w:r>
      <w:r w:rsidR="00583268" w:rsidRPr="00783AEC">
        <w:rPr>
          <w:sz w:val="22"/>
          <w:szCs w:val="22"/>
          <w:lang w:val="es-ES_tradnl"/>
        </w:rPr>
        <w:t xml:space="preserve">l artículo 50 de la LCSP, establece que </w:t>
      </w:r>
      <w:r w:rsidR="004C279C">
        <w:rPr>
          <w:sz w:val="22"/>
          <w:szCs w:val="22"/>
          <w:lang w:val="es-ES_tradnl"/>
        </w:rPr>
        <w:t>e</w:t>
      </w:r>
      <w:r w:rsidR="004C279C" w:rsidRPr="004C279C">
        <w:rPr>
          <w:sz w:val="22"/>
          <w:szCs w:val="22"/>
          <w:lang w:val="es-ES_tradnl"/>
        </w:rPr>
        <w:t>l procedimiento de recurso se iniciará mediante escrito que deberá presentarse en el plazo de quince días hábiles</w:t>
      </w:r>
      <w:r w:rsidR="004C279C">
        <w:rPr>
          <w:sz w:val="22"/>
          <w:szCs w:val="22"/>
          <w:lang w:val="es-ES_tradnl"/>
        </w:rPr>
        <w:t xml:space="preserve">. En cuanto al inicio del citado plazo, se está al apartado 1 de este mismo </w:t>
      </w:r>
      <w:proofErr w:type="spellStart"/>
      <w:proofErr w:type="gramStart"/>
      <w:r w:rsidR="004C279C">
        <w:rPr>
          <w:sz w:val="22"/>
          <w:szCs w:val="22"/>
          <w:lang w:val="es-ES_tradnl"/>
        </w:rPr>
        <w:t>artículo:</w:t>
      </w:r>
      <w:r w:rsidR="00583268" w:rsidRPr="007D7A8A">
        <w:rPr>
          <w:i/>
          <w:iCs/>
          <w:sz w:val="22"/>
          <w:szCs w:val="22"/>
          <w:lang w:val="es-ES_tradnl"/>
        </w:rPr>
        <w:t>“</w:t>
      </w:r>
      <w:proofErr w:type="gramEnd"/>
      <w:r w:rsidR="007D7A8A" w:rsidRPr="007D7A8A">
        <w:rPr>
          <w:i/>
          <w:iCs/>
          <w:sz w:val="22"/>
          <w:szCs w:val="22"/>
          <w:lang w:val="es-ES_tradnl"/>
        </w:rPr>
        <w:t>a</w:t>
      </w:r>
      <w:proofErr w:type="spellEnd"/>
      <w:r w:rsidR="007D7A8A" w:rsidRPr="007D7A8A">
        <w:rPr>
          <w:i/>
          <w:iCs/>
          <w:sz w:val="22"/>
          <w:szCs w:val="22"/>
          <w:lang w:val="es-ES_tradnl"/>
        </w:rPr>
        <w:t>) Cuando se interponga contra el anuncio de licitación, el plazo comenzará a contarse a partir del día siguiente al de su publicación en el perfil de contratante</w:t>
      </w:r>
      <w:r w:rsidR="00D04575" w:rsidRPr="007D7A8A">
        <w:rPr>
          <w:i/>
          <w:iCs/>
          <w:sz w:val="22"/>
          <w:szCs w:val="22"/>
          <w:lang w:val="es-ES_tradnl"/>
        </w:rPr>
        <w:t>”</w:t>
      </w:r>
      <w:r w:rsidR="00583268" w:rsidRPr="007D7A8A">
        <w:rPr>
          <w:i/>
          <w:iCs/>
          <w:sz w:val="22"/>
          <w:szCs w:val="22"/>
        </w:rPr>
        <w:t>.</w:t>
      </w:r>
    </w:p>
    <w:p w14:paraId="20D45001" w14:textId="38CCF545" w:rsidR="00F87D35" w:rsidRPr="00F87D35" w:rsidRDefault="00F87D35" w:rsidP="00F87D35">
      <w:pPr>
        <w:pStyle w:val="Cuerpo"/>
        <w:spacing w:after="240"/>
        <w:jc w:val="both"/>
        <w:rPr>
          <w:color w:val="auto"/>
          <w:sz w:val="22"/>
          <w:szCs w:val="22"/>
        </w:rPr>
      </w:pPr>
      <w:r w:rsidRPr="00F87D35">
        <w:rPr>
          <w:color w:val="auto"/>
          <w:sz w:val="22"/>
          <w:szCs w:val="22"/>
        </w:rPr>
        <w:t xml:space="preserve">Con fecha </w:t>
      </w:r>
      <w:r w:rsidR="00366297">
        <w:rPr>
          <w:color w:val="auto"/>
          <w:sz w:val="22"/>
          <w:szCs w:val="22"/>
        </w:rPr>
        <w:t>1</w:t>
      </w:r>
      <w:r w:rsidRPr="00957BD1">
        <w:rPr>
          <w:color w:val="FF0000"/>
          <w:sz w:val="22"/>
          <w:szCs w:val="22"/>
        </w:rPr>
        <w:t xml:space="preserve"> </w:t>
      </w:r>
      <w:r w:rsidRPr="00D04575">
        <w:rPr>
          <w:color w:val="auto"/>
          <w:sz w:val="22"/>
          <w:szCs w:val="22"/>
        </w:rPr>
        <w:t xml:space="preserve">de </w:t>
      </w:r>
      <w:r w:rsidR="00366297">
        <w:rPr>
          <w:color w:val="auto"/>
          <w:sz w:val="22"/>
          <w:szCs w:val="22"/>
        </w:rPr>
        <w:t>julio</w:t>
      </w:r>
      <w:r w:rsidRPr="00D04575">
        <w:rPr>
          <w:color w:val="auto"/>
          <w:sz w:val="22"/>
          <w:szCs w:val="22"/>
        </w:rPr>
        <w:t xml:space="preserve"> de 202</w:t>
      </w:r>
      <w:r w:rsidR="00366297">
        <w:rPr>
          <w:color w:val="auto"/>
          <w:sz w:val="22"/>
          <w:szCs w:val="22"/>
        </w:rPr>
        <w:t>6</w:t>
      </w:r>
      <w:r w:rsidRPr="00D04575">
        <w:rPr>
          <w:color w:val="auto"/>
          <w:sz w:val="22"/>
          <w:szCs w:val="22"/>
        </w:rPr>
        <w:t xml:space="preserve"> </w:t>
      </w:r>
      <w:r w:rsidR="00D04575">
        <w:rPr>
          <w:color w:val="auto"/>
          <w:sz w:val="22"/>
          <w:szCs w:val="22"/>
        </w:rPr>
        <w:t xml:space="preserve">el OC procedió a </w:t>
      </w:r>
      <w:r w:rsidR="00366297">
        <w:rPr>
          <w:color w:val="auto"/>
          <w:sz w:val="22"/>
          <w:szCs w:val="22"/>
        </w:rPr>
        <w:t>publicar en el perfil del contratante el anuncio de licitación del presente contrato</w:t>
      </w:r>
      <w:r w:rsidRPr="00F87D35">
        <w:rPr>
          <w:color w:val="auto"/>
          <w:sz w:val="22"/>
          <w:szCs w:val="22"/>
        </w:rPr>
        <w:t xml:space="preserve">. </w:t>
      </w:r>
      <w:r>
        <w:rPr>
          <w:color w:val="auto"/>
          <w:sz w:val="22"/>
          <w:szCs w:val="22"/>
        </w:rPr>
        <w:t xml:space="preserve">Por lo tanto, </w:t>
      </w:r>
      <w:r w:rsidR="00D04575">
        <w:rPr>
          <w:color w:val="auto"/>
          <w:sz w:val="22"/>
          <w:szCs w:val="22"/>
        </w:rPr>
        <w:t>el</w:t>
      </w:r>
      <w:r>
        <w:rPr>
          <w:color w:val="auto"/>
          <w:sz w:val="22"/>
          <w:szCs w:val="22"/>
        </w:rPr>
        <w:t xml:space="preserve"> recurso se encuentra </w:t>
      </w:r>
      <w:r w:rsidR="000900DE">
        <w:rPr>
          <w:color w:val="auto"/>
          <w:sz w:val="22"/>
          <w:szCs w:val="22"/>
        </w:rPr>
        <w:t xml:space="preserve">presentado </w:t>
      </w:r>
      <w:r w:rsidRPr="00F87D35">
        <w:rPr>
          <w:color w:val="auto"/>
          <w:sz w:val="22"/>
          <w:szCs w:val="22"/>
        </w:rPr>
        <w:t>dentro del plazo de 15 días</w:t>
      </w:r>
      <w:r>
        <w:rPr>
          <w:color w:val="auto"/>
          <w:sz w:val="22"/>
          <w:szCs w:val="22"/>
        </w:rPr>
        <w:t xml:space="preserve"> legalmente establecido.</w:t>
      </w:r>
    </w:p>
    <w:p w14:paraId="7E7EB67B" w14:textId="77777777" w:rsidR="00B412DB" w:rsidRPr="00C00952" w:rsidRDefault="0010018F" w:rsidP="0016554C">
      <w:pPr>
        <w:pStyle w:val="Cuerpo"/>
        <w:spacing w:after="240"/>
        <w:jc w:val="both"/>
        <w:rPr>
          <w:color w:val="auto"/>
          <w:sz w:val="22"/>
          <w:szCs w:val="22"/>
        </w:rPr>
      </w:pPr>
      <w:r w:rsidRPr="00C00952">
        <w:rPr>
          <w:b/>
          <w:color w:val="auto"/>
          <w:sz w:val="22"/>
          <w:szCs w:val="22"/>
        </w:rPr>
        <w:t>CUARTO. -</w:t>
      </w:r>
      <w:r w:rsidR="00B83425" w:rsidRPr="00C00952">
        <w:rPr>
          <w:b/>
          <w:color w:val="auto"/>
          <w:sz w:val="22"/>
          <w:szCs w:val="22"/>
        </w:rPr>
        <w:t xml:space="preserve"> </w:t>
      </w:r>
      <w:r w:rsidR="00B412DB" w:rsidRPr="00C00952">
        <w:rPr>
          <w:color w:val="auto"/>
          <w:sz w:val="22"/>
          <w:szCs w:val="22"/>
        </w:rPr>
        <w:t xml:space="preserve">En lo que respecta a la legitimación concurre en </w:t>
      </w:r>
      <w:r w:rsidR="00C00952" w:rsidRPr="00C00952">
        <w:rPr>
          <w:color w:val="auto"/>
          <w:sz w:val="22"/>
          <w:szCs w:val="22"/>
        </w:rPr>
        <w:t>el</w:t>
      </w:r>
      <w:r w:rsidR="00B412DB" w:rsidRPr="00C00952">
        <w:rPr>
          <w:color w:val="auto"/>
          <w:sz w:val="22"/>
          <w:szCs w:val="22"/>
        </w:rPr>
        <w:t xml:space="preserve"> recurrente el interés recogido en el artículo 48 de la LCSP, según el cual “podrá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p>
    <w:p w14:paraId="5E2B78E1" w14:textId="24E46C5B" w:rsidR="002D7C63" w:rsidRPr="00637A2A" w:rsidRDefault="00D51DC9" w:rsidP="0016554C">
      <w:pPr>
        <w:autoSpaceDE w:val="0"/>
        <w:autoSpaceDN w:val="0"/>
        <w:adjustRightInd w:val="0"/>
        <w:spacing w:after="240"/>
        <w:jc w:val="both"/>
        <w:rPr>
          <w:sz w:val="22"/>
          <w:szCs w:val="22"/>
        </w:rPr>
      </w:pPr>
      <w:r w:rsidRPr="00637A2A">
        <w:rPr>
          <w:b/>
          <w:bCs/>
          <w:sz w:val="22"/>
          <w:szCs w:val="22"/>
        </w:rPr>
        <w:t>QUINTO</w:t>
      </w:r>
      <w:r w:rsidRPr="00637A2A">
        <w:rPr>
          <w:sz w:val="22"/>
          <w:szCs w:val="22"/>
        </w:rPr>
        <w:t>.</w:t>
      </w:r>
      <w:r w:rsidR="00B513D6" w:rsidRPr="00637A2A">
        <w:rPr>
          <w:sz w:val="22"/>
          <w:szCs w:val="22"/>
        </w:rPr>
        <w:t xml:space="preserve"> – </w:t>
      </w:r>
      <w:r w:rsidR="00C00952" w:rsidRPr="00637A2A">
        <w:rPr>
          <w:sz w:val="22"/>
          <w:szCs w:val="22"/>
        </w:rPr>
        <w:t>La</w:t>
      </w:r>
      <w:r w:rsidR="00B513D6" w:rsidRPr="00637A2A">
        <w:rPr>
          <w:sz w:val="22"/>
          <w:szCs w:val="22"/>
        </w:rPr>
        <w:t xml:space="preserve"> </w:t>
      </w:r>
      <w:r w:rsidR="00B513D6" w:rsidRPr="002661AD">
        <w:rPr>
          <w:sz w:val="22"/>
          <w:szCs w:val="22"/>
        </w:rPr>
        <w:t>recurrente</w:t>
      </w:r>
      <w:r w:rsidR="00A32396" w:rsidRPr="002661AD">
        <w:t xml:space="preserve"> </w:t>
      </w:r>
      <w:r w:rsidR="002661AD" w:rsidRPr="002661AD">
        <w:rPr>
          <w:sz w:val="22"/>
          <w:szCs w:val="22"/>
        </w:rPr>
        <w:t>IPAR LOCATION SERVICE, S.L.</w:t>
      </w:r>
      <w:r w:rsidR="00B513D6" w:rsidRPr="002661AD">
        <w:rPr>
          <w:sz w:val="22"/>
          <w:szCs w:val="22"/>
        </w:rPr>
        <w:t xml:space="preserve">, </w:t>
      </w:r>
      <w:r w:rsidR="007D7A8A">
        <w:rPr>
          <w:sz w:val="22"/>
          <w:szCs w:val="22"/>
        </w:rPr>
        <w:t>explica que está interesada y en disposición de presentar oferta en el procedimiento de contratación de referencia</w:t>
      </w:r>
      <w:r w:rsidR="00A12F5A">
        <w:rPr>
          <w:sz w:val="22"/>
          <w:szCs w:val="22"/>
        </w:rPr>
        <w:t>.</w:t>
      </w:r>
      <w:r w:rsidR="007D7A8A">
        <w:rPr>
          <w:sz w:val="22"/>
          <w:szCs w:val="22"/>
        </w:rPr>
        <w:t xml:space="preserve"> Sin embargo, opina que los pliegos infringen los principios de libertad de acceso, proporcionalidad y no discriminación de la LCSP, por los siguientes motivos</w:t>
      </w:r>
      <w:r w:rsidR="002D7C63" w:rsidRPr="00637A2A">
        <w:rPr>
          <w:sz w:val="22"/>
          <w:szCs w:val="22"/>
        </w:rPr>
        <w:t>:</w:t>
      </w:r>
    </w:p>
    <w:p w14:paraId="6944E235" w14:textId="7E82863A" w:rsidR="00637A2A" w:rsidRPr="003158F0" w:rsidRDefault="007D7A8A" w:rsidP="00776712">
      <w:pPr>
        <w:numPr>
          <w:ilvl w:val="0"/>
          <w:numId w:val="22"/>
        </w:numPr>
        <w:autoSpaceDE w:val="0"/>
        <w:autoSpaceDN w:val="0"/>
        <w:adjustRightInd w:val="0"/>
        <w:spacing w:after="240"/>
        <w:jc w:val="both"/>
        <w:rPr>
          <w:sz w:val="22"/>
          <w:szCs w:val="22"/>
        </w:rPr>
      </w:pPr>
      <w:r>
        <w:rPr>
          <w:sz w:val="22"/>
          <w:szCs w:val="22"/>
        </w:rPr>
        <w:t>Discute la legalidad de</w:t>
      </w:r>
      <w:r w:rsidRPr="007D7A8A">
        <w:rPr>
          <w:sz w:val="22"/>
          <w:szCs w:val="22"/>
        </w:rPr>
        <w:t xml:space="preserve">l subcriterio </w:t>
      </w:r>
      <w:r>
        <w:rPr>
          <w:sz w:val="22"/>
          <w:szCs w:val="22"/>
        </w:rPr>
        <w:t xml:space="preserve">de adjudicación marcado con el ordinal </w:t>
      </w:r>
      <w:r w:rsidRPr="007D7A8A">
        <w:rPr>
          <w:sz w:val="22"/>
          <w:szCs w:val="22"/>
        </w:rPr>
        <w:t xml:space="preserve">2.1 ("Equipo de trabajo"), otorga hasta 20 puntos (de un máximo de 35 del </w:t>
      </w:r>
      <w:r>
        <w:rPr>
          <w:sz w:val="22"/>
          <w:szCs w:val="22"/>
        </w:rPr>
        <w:t>criterio 2</w:t>
      </w:r>
      <w:r w:rsidRPr="007D7A8A">
        <w:rPr>
          <w:sz w:val="22"/>
          <w:szCs w:val="22"/>
        </w:rPr>
        <w:t xml:space="preserve"> y 50 de</w:t>
      </w:r>
      <w:r>
        <w:rPr>
          <w:sz w:val="22"/>
          <w:szCs w:val="22"/>
        </w:rPr>
        <w:t>l total de no evaluables mediante fórmula</w:t>
      </w:r>
      <w:r w:rsidRPr="007D7A8A">
        <w:rPr>
          <w:sz w:val="22"/>
          <w:szCs w:val="22"/>
        </w:rPr>
        <w:t xml:space="preserve">) a la "Experiencia trabajando con el sector local". </w:t>
      </w:r>
      <w:r w:rsidR="00E2754E">
        <w:rPr>
          <w:sz w:val="22"/>
          <w:szCs w:val="22"/>
        </w:rPr>
        <w:t>Los pliegos</w:t>
      </w:r>
      <w:r w:rsidRPr="007D7A8A">
        <w:rPr>
          <w:sz w:val="22"/>
          <w:szCs w:val="22"/>
        </w:rPr>
        <w:t xml:space="preserve"> especifica</w:t>
      </w:r>
      <w:r w:rsidR="00E2754E">
        <w:rPr>
          <w:sz w:val="22"/>
          <w:szCs w:val="22"/>
        </w:rPr>
        <w:t>n</w:t>
      </w:r>
      <w:r w:rsidRPr="007D7A8A">
        <w:rPr>
          <w:sz w:val="22"/>
          <w:szCs w:val="22"/>
        </w:rPr>
        <w:t xml:space="preserve"> que se valorará haber participado en </w:t>
      </w:r>
      <w:r w:rsidRPr="007D7A8A">
        <w:rPr>
          <w:sz w:val="22"/>
          <w:szCs w:val="22"/>
        </w:rPr>
        <w:lastRenderedPageBreak/>
        <w:t>rodajes producidos por "productoras locales", acreditar experiencia en productoras que hayan desarrollado proyectos "en el Territorio Histórico de Álava" o con "asociaciones o agentes del sector a nivel local".</w:t>
      </w:r>
    </w:p>
    <w:p w14:paraId="44C934AB" w14:textId="0778115A" w:rsidR="002D7C63" w:rsidRPr="007D7A8A" w:rsidRDefault="007D7A8A" w:rsidP="00E03005">
      <w:pPr>
        <w:numPr>
          <w:ilvl w:val="0"/>
          <w:numId w:val="22"/>
        </w:numPr>
        <w:autoSpaceDE w:val="0"/>
        <w:autoSpaceDN w:val="0"/>
        <w:adjustRightInd w:val="0"/>
        <w:spacing w:after="240"/>
        <w:jc w:val="both"/>
        <w:rPr>
          <w:sz w:val="22"/>
          <w:szCs w:val="22"/>
        </w:rPr>
      </w:pPr>
      <w:r w:rsidRPr="007D7A8A">
        <w:rPr>
          <w:sz w:val="22"/>
          <w:szCs w:val="22"/>
        </w:rPr>
        <w:t>En relación con lo anterior, los pliegos establecen un umbral técnico de eliminación, determinando que "</w:t>
      </w:r>
      <w:r w:rsidRPr="007D7A8A">
        <w:rPr>
          <w:i/>
          <w:iCs/>
          <w:sz w:val="22"/>
          <w:szCs w:val="22"/>
        </w:rPr>
        <w:t>es necesaria la obtención en el apartado de criterios de adjudicación no evaluables mediante fórmulas de, al menos, 25 puntos para ser considerada la propuesta y pasar al análisis del apartado de criterios de adjudicación evaluable mediante fórmulas. En caso contrario, la propuesta será descartada</w:t>
      </w:r>
      <w:r w:rsidRPr="007D7A8A">
        <w:rPr>
          <w:sz w:val="22"/>
          <w:szCs w:val="22"/>
        </w:rPr>
        <w:t>."</w:t>
      </w:r>
      <w:r w:rsidR="00314C63" w:rsidRPr="007D7A8A">
        <w:rPr>
          <w:sz w:val="22"/>
          <w:szCs w:val="22"/>
        </w:rPr>
        <w:t>.</w:t>
      </w:r>
    </w:p>
    <w:p w14:paraId="214BE3A2" w14:textId="0A9CD9E8" w:rsidR="00A32396" w:rsidRPr="00771331" w:rsidRDefault="007D7A8A" w:rsidP="00E74197">
      <w:pPr>
        <w:numPr>
          <w:ilvl w:val="0"/>
          <w:numId w:val="22"/>
        </w:numPr>
        <w:autoSpaceDE w:val="0"/>
        <w:autoSpaceDN w:val="0"/>
        <w:adjustRightInd w:val="0"/>
        <w:spacing w:after="240"/>
        <w:jc w:val="both"/>
        <w:rPr>
          <w:sz w:val="22"/>
          <w:szCs w:val="22"/>
        </w:rPr>
      </w:pPr>
      <w:r>
        <w:rPr>
          <w:sz w:val="22"/>
          <w:szCs w:val="22"/>
        </w:rPr>
        <w:t>E</w:t>
      </w:r>
      <w:r w:rsidRPr="007D7A8A">
        <w:rPr>
          <w:sz w:val="22"/>
          <w:szCs w:val="22"/>
        </w:rPr>
        <w:t>n el apartado Y) del Cuadro de Características, relativo a la subcontratación, se fija un "Porcentaje máximo de subcontratación" del 80%, a pesar de que el propio pliego indica expresamente en el mismo apartado que "No" existen tareas críticas reservadas a la ejecución directa del contratista principal</w:t>
      </w:r>
      <w:r w:rsidR="00A32396" w:rsidRPr="00771331">
        <w:rPr>
          <w:sz w:val="22"/>
          <w:szCs w:val="22"/>
        </w:rPr>
        <w:t>.</w:t>
      </w:r>
      <w:r w:rsidR="00240905">
        <w:rPr>
          <w:sz w:val="22"/>
          <w:szCs w:val="22"/>
        </w:rPr>
        <w:t xml:space="preserve"> Ello va en contra del artículo 215 LCSP.</w:t>
      </w:r>
    </w:p>
    <w:p w14:paraId="0599ADE6" w14:textId="77687DD6" w:rsidR="00473134" w:rsidRPr="001E5E36" w:rsidRDefault="0086101D" w:rsidP="00E32C38">
      <w:pPr>
        <w:autoSpaceDE w:val="0"/>
        <w:autoSpaceDN w:val="0"/>
        <w:adjustRightInd w:val="0"/>
        <w:spacing w:after="240"/>
        <w:jc w:val="both"/>
        <w:rPr>
          <w:sz w:val="22"/>
          <w:szCs w:val="22"/>
        </w:rPr>
      </w:pPr>
      <w:r w:rsidRPr="00824657">
        <w:rPr>
          <w:b/>
          <w:bCs/>
          <w:sz w:val="22"/>
          <w:szCs w:val="22"/>
        </w:rPr>
        <w:t>SEXT</w:t>
      </w:r>
      <w:r w:rsidRPr="001E5E36">
        <w:rPr>
          <w:b/>
          <w:bCs/>
          <w:sz w:val="22"/>
          <w:szCs w:val="22"/>
        </w:rPr>
        <w:t>O</w:t>
      </w:r>
      <w:r w:rsidRPr="001E5E36">
        <w:rPr>
          <w:sz w:val="22"/>
          <w:szCs w:val="22"/>
        </w:rPr>
        <w:t xml:space="preserve">. </w:t>
      </w:r>
      <w:r w:rsidR="00823721" w:rsidRPr="001E5E36">
        <w:rPr>
          <w:sz w:val="22"/>
          <w:szCs w:val="22"/>
        </w:rPr>
        <w:t>–</w:t>
      </w:r>
      <w:r w:rsidR="00307307" w:rsidRPr="001E5E36">
        <w:rPr>
          <w:sz w:val="22"/>
          <w:szCs w:val="22"/>
        </w:rPr>
        <w:t xml:space="preserve"> En </w:t>
      </w:r>
      <w:r w:rsidR="00824657" w:rsidRPr="001E5E36">
        <w:rPr>
          <w:sz w:val="22"/>
          <w:szCs w:val="22"/>
        </w:rPr>
        <w:t>el</w:t>
      </w:r>
      <w:r w:rsidR="00307307" w:rsidRPr="001E5E36">
        <w:rPr>
          <w:sz w:val="22"/>
          <w:szCs w:val="22"/>
        </w:rPr>
        <w:t xml:space="preserve"> informe elaborado al efecto, el órgano tramitador manifiesta que:</w:t>
      </w:r>
    </w:p>
    <w:p w14:paraId="15DA27B2" w14:textId="36AD25A5" w:rsidR="00FE0EEA" w:rsidRPr="001E5E36" w:rsidRDefault="00235379" w:rsidP="00473134">
      <w:pPr>
        <w:numPr>
          <w:ilvl w:val="0"/>
          <w:numId w:val="24"/>
        </w:numPr>
        <w:autoSpaceDE w:val="0"/>
        <w:autoSpaceDN w:val="0"/>
        <w:adjustRightInd w:val="0"/>
        <w:spacing w:after="240"/>
        <w:jc w:val="both"/>
        <w:rPr>
          <w:sz w:val="22"/>
          <w:szCs w:val="22"/>
        </w:rPr>
      </w:pPr>
      <w:r>
        <w:rPr>
          <w:sz w:val="22"/>
          <w:szCs w:val="22"/>
        </w:rPr>
        <w:t>El subcriterio 2.1 hace referencia a la oferta, no a la empresa, y la valoración hace referencia a las personas adscritas a la ejecución del contrato, no a la empresa licitadora, por lo que no se requiere de implantación territorial previa</w:t>
      </w:r>
      <w:r w:rsidR="00307307" w:rsidRPr="001E5E36">
        <w:rPr>
          <w:sz w:val="22"/>
          <w:szCs w:val="22"/>
        </w:rPr>
        <w:t>;</w:t>
      </w:r>
    </w:p>
    <w:p w14:paraId="07B60AB5" w14:textId="4DFF9447" w:rsidR="00FE0EEA" w:rsidRPr="001E5E36" w:rsidRDefault="00235379" w:rsidP="00473134">
      <w:pPr>
        <w:numPr>
          <w:ilvl w:val="0"/>
          <w:numId w:val="24"/>
        </w:numPr>
        <w:autoSpaceDE w:val="0"/>
        <w:autoSpaceDN w:val="0"/>
        <w:adjustRightInd w:val="0"/>
        <w:spacing w:after="240"/>
        <w:jc w:val="both"/>
        <w:rPr>
          <w:sz w:val="22"/>
          <w:szCs w:val="22"/>
        </w:rPr>
      </w:pPr>
      <w:r>
        <w:rPr>
          <w:sz w:val="22"/>
          <w:szCs w:val="22"/>
        </w:rPr>
        <w:t>N</w:t>
      </w:r>
      <w:r w:rsidRPr="00235379">
        <w:rPr>
          <w:sz w:val="22"/>
          <w:szCs w:val="22"/>
        </w:rPr>
        <w:t>o se valora únicamente haber desarrollado proyectos dentro de los límites del Territorio Histórico de Álava, sino que la puntuación a otorgar se basará en el análisis de diferentes posibilidades</w:t>
      </w:r>
      <w:r w:rsidR="00FE0EEA" w:rsidRPr="001E5E36">
        <w:rPr>
          <w:sz w:val="22"/>
          <w:szCs w:val="22"/>
        </w:rPr>
        <w:t>;</w:t>
      </w:r>
    </w:p>
    <w:p w14:paraId="73B10993" w14:textId="0ABCF1F0" w:rsidR="00473134" w:rsidRDefault="00235379" w:rsidP="00473134">
      <w:pPr>
        <w:numPr>
          <w:ilvl w:val="0"/>
          <w:numId w:val="24"/>
        </w:numPr>
        <w:autoSpaceDE w:val="0"/>
        <w:autoSpaceDN w:val="0"/>
        <w:adjustRightInd w:val="0"/>
        <w:spacing w:after="240"/>
        <w:jc w:val="both"/>
        <w:rPr>
          <w:sz w:val="22"/>
          <w:szCs w:val="22"/>
        </w:rPr>
      </w:pPr>
      <w:r>
        <w:rPr>
          <w:sz w:val="22"/>
          <w:szCs w:val="22"/>
        </w:rPr>
        <w:t xml:space="preserve">Una </w:t>
      </w:r>
      <w:r w:rsidRPr="00235379">
        <w:rPr>
          <w:sz w:val="22"/>
          <w:szCs w:val="22"/>
        </w:rPr>
        <w:t>de las tareas fundamentales del servicio consiste en mantener y desarrollar relaciones con el sector audiovisual local, además de facilitar la incorporación de profesionales locales a las producciones que se desarrollan en Álava, se estima este como un criterio relevante a valorar.</w:t>
      </w:r>
    </w:p>
    <w:p w14:paraId="4F0290C4" w14:textId="06C0EAD8" w:rsidR="00235379" w:rsidRPr="001E5E36" w:rsidRDefault="00235379" w:rsidP="00235379">
      <w:pPr>
        <w:autoSpaceDE w:val="0"/>
        <w:autoSpaceDN w:val="0"/>
        <w:adjustRightInd w:val="0"/>
        <w:spacing w:after="240"/>
        <w:jc w:val="both"/>
        <w:rPr>
          <w:sz w:val="22"/>
          <w:szCs w:val="22"/>
        </w:rPr>
      </w:pPr>
      <w:r>
        <w:rPr>
          <w:sz w:val="22"/>
          <w:szCs w:val="22"/>
        </w:rPr>
        <w:t xml:space="preserve">Por otra parte, no discute la alegación de la recurrente referente a la </w:t>
      </w:r>
      <w:r w:rsidR="00D15159">
        <w:rPr>
          <w:sz w:val="22"/>
          <w:szCs w:val="22"/>
        </w:rPr>
        <w:t>cláusula</w:t>
      </w:r>
      <w:r>
        <w:rPr>
          <w:sz w:val="22"/>
          <w:szCs w:val="22"/>
        </w:rPr>
        <w:t xml:space="preserve"> de subcontratación máxima.</w:t>
      </w:r>
    </w:p>
    <w:p w14:paraId="4BA5F8D4" w14:textId="033F094C" w:rsidR="00935D8E" w:rsidRDefault="00935D8E" w:rsidP="00935D8E">
      <w:pPr>
        <w:autoSpaceDE w:val="0"/>
        <w:autoSpaceDN w:val="0"/>
        <w:adjustRightInd w:val="0"/>
        <w:spacing w:after="240"/>
        <w:jc w:val="both"/>
        <w:rPr>
          <w:sz w:val="22"/>
          <w:szCs w:val="22"/>
        </w:rPr>
      </w:pPr>
      <w:r w:rsidRPr="00D63285">
        <w:rPr>
          <w:b/>
          <w:bCs/>
          <w:sz w:val="22"/>
          <w:szCs w:val="22"/>
        </w:rPr>
        <w:t>SÉPTIMO. –</w:t>
      </w:r>
      <w:r>
        <w:rPr>
          <w:b/>
          <w:bCs/>
          <w:sz w:val="22"/>
          <w:szCs w:val="22"/>
        </w:rPr>
        <w:t xml:space="preserve"> </w:t>
      </w:r>
      <w:r w:rsidR="00D15159" w:rsidRPr="00D15159">
        <w:rPr>
          <w:sz w:val="22"/>
          <w:szCs w:val="22"/>
        </w:rPr>
        <w:t xml:space="preserve">Expuestas las posturas de las partes, la cuestión se centra en dilucidar si </w:t>
      </w:r>
      <w:r w:rsidR="00D15159">
        <w:rPr>
          <w:sz w:val="22"/>
          <w:szCs w:val="22"/>
        </w:rPr>
        <w:t>ambas cláusulas del cuadro de características son conformes a derecho. Comenzaremos analizando el subcriterio co</w:t>
      </w:r>
      <w:r w:rsidR="00204096">
        <w:rPr>
          <w:sz w:val="22"/>
          <w:szCs w:val="22"/>
        </w:rPr>
        <w:t>rrespondiente al subcriterio de valoración 2.1, cuyo tenor literal es:</w:t>
      </w:r>
    </w:p>
    <w:p w14:paraId="49A86767" w14:textId="6DD8BB10" w:rsidR="00204096" w:rsidRPr="00204096" w:rsidRDefault="00204096" w:rsidP="00204096">
      <w:pPr>
        <w:jc w:val="both"/>
        <w:rPr>
          <w:i/>
          <w:iCs/>
          <w:sz w:val="22"/>
          <w:szCs w:val="22"/>
        </w:rPr>
      </w:pPr>
      <w:r w:rsidRPr="00204096">
        <w:rPr>
          <w:i/>
          <w:iCs/>
          <w:sz w:val="22"/>
          <w:szCs w:val="22"/>
        </w:rPr>
        <w:t>“2.1. Equipo de trabajo</w:t>
      </w:r>
      <w:r w:rsidRPr="00204096">
        <w:rPr>
          <w:i/>
          <w:iCs/>
          <w:sz w:val="22"/>
          <w:szCs w:val="22"/>
        </w:rPr>
        <w:tab/>
      </w:r>
      <w:r w:rsidRPr="00204096">
        <w:rPr>
          <w:i/>
          <w:iCs/>
          <w:sz w:val="22"/>
          <w:szCs w:val="22"/>
        </w:rPr>
        <w:tab/>
      </w:r>
      <w:r w:rsidRPr="00204096">
        <w:rPr>
          <w:i/>
          <w:iCs/>
          <w:sz w:val="22"/>
          <w:szCs w:val="22"/>
        </w:rPr>
        <w:tab/>
      </w:r>
      <w:r w:rsidRPr="00204096">
        <w:rPr>
          <w:i/>
          <w:iCs/>
          <w:sz w:val="22"/>
          <w:szCs w:val="22"/>
        </w:rPr>
        <w:tab/>
        <w:t xml:space="preserve">                   </w:t>
      </w:r>
      <w:r w:rsidRPr="00204096">
        <w:rPr>
          <w:i/>
          <w:iCs/>
          <w:sz w:val="22"/>
          <w:szCs w:val="22"/>
        </w:rPr>
        <w:tab/>
      </w:r>
      <w:r w:rsidRPr="00204096">
        <w:rPr>
          <w:i/>
          <w:iCs/>
          <w:sz w:val="22"/>
          <w:szCs w:val="22"/>
        </w:rPr>
        <w:tab/>
        <w:t xml:space="preserve"> Máximo 35 puntos. </w:t>
      </w:r>
    </w:p>
    <w:p w14:paraId="5C93C99C" w14:textId="77777777" w:rsidR="00204096" w:rsidRPr="00204096" w:rsidRDefault="00204096" w:rsidP="00204096">
      <w:pPr>
        <w:jc w:val="both"/>
        <w:rPr>
          <w:i/>
          <w:iCs/>
          <w:sz w:val="22"/>
          <w:szCs w:val="22"/>
        </w:rPr>
      </w:pPr>
      <w:r w:rsidRPr="00204096">
        <w:rPr>
          <w:i/>
          <w:iCs/>
          <w:sz w:val="22"/>
          <w:szCs w:val="22"/>
        </w:rPr>
        <w:t>Se valorará el equipo propuesto para la prestación del servicio, en base a los siguientes criterios:</w:t>
      </w:r>
    </w:p>
    <w:p w14:paraId="2CAA54CB" w14:textId="77777777" w:rsidR="00204096" w:rsidRPr="00204096" w:rsidRDefault="00204096" w:rsidP="00204096">
      <w:pPr>
        <w:pStyle w:val="Prrafodelista"/>
        <w:numPr>
          <w:ilvl w:val="0"/>
          <w:numId w:val="29"/>
        </w:numPr>
        <w:jc w:val="both"/>
        <w:rPr>
          <w:i/>
          <w:iCs/>
          <w:sz w:val="22"/>
          <w:szCs w:val="22"/>
        </w:rPr>
      </w:pPr>
      <w:r w:rsidRPr="002A6A72">
        <w:rPr>
          <w:b/>
          <w:bCs/>
          <w:i/>
          <w:iCs/>
          <w:sz w:val="22"/>
          <w:szCs w:val="22"/>
        </w:rPr>
        <w:t>Experiencia trabajando con el sector local: hasta 20 puntos</w:t>
      </w:r>
      <w:r w:rsidRPr="00204096">
        <w:rPr>
          <w:i/>
          <w:iCs/>
          <w:sz w:val="22"/>
          <w:szCs w:val="22"/>
        </w:rPr>
        <w:t xml:space="preserve">. Se valorará haber participado en rodajes de largometrajes, series de televisión o documentales producidos por productoras locales, contar con experiencia trabajando directamente en productoras audiovisuales que hayan desarrollado largometrajes, </w:t>
      </w:r>
      <w:r w:rsidRPr="002A6A72">
        <w:rPr>
          <w:i/>
          <w:iCs/>
          <w:sz w:val="22"/>
          <w:szCs w:val="22"/>
          <w:u w:val="single"/>
        </w:rPr>
        <w:t xml:space="preserve">series de televisión o documentales en el Territorio Histórico de Álava, </w:t>
      </w:r>
      <w:r w:rsidRPr="00204096">
        <w:rPr>
          <w:i/>
          <w:iCs/>
          <w:sz w:val="22"/>
          <w:szCs w:val="22"/>
        </w:rPr>
        <w:t>experiencia trabajando con asociaciones o agentes del sector a nivel local, etc.</w:t>
      </w:r>
    </w:p>
    <w:p w14:paraId="1D83B189" w14:textId="77777777" w:rsidR="00204096" w:rsidRPr="00204096" w:rsidRDefault="00204096" w:rsidP="00204096">
      <w:pPr>
        <w:pStyle w:val="Prrafodelista"/>
        <w:numPr>
          <w:ilvl w:val="0"/>
          <w:numId w:val="29"/>
        </w:numPr>
        <w:jc w:val="both"/>
        <w:rPr>
          <w:i/>
          <w:iCs/>
          <w:sz w:val="22"/>
          <w:szCs w:val="22"/>
        </w:rPr>
      </w:pPr>
      <w:r w:rsidRPr="00204096">
        <w:rPr>
          <w:i/>
          <w:iCs/>
          <w:sz w:val="22"/>
          <w:szCs w:val="22"/>
        </w:rPr>
        <w:t>Experiencia estatal e internacional y red de contactos: hasta 10 puntos. Se valorará haber participado en rodajes de largometrajes, series de televisión o documentales a nivel estatal o internacional o la red de contactos que aporte al proyecto (para ello, se indicará en la memoria el compromiso que la licitadora asume para poner en contacto a estos contactos con la Diputación Foral de Álava, indicando la relación concreta de agentes y/o contactos).</w:t>
      </w:r>
    </w:p>
    <w:p w14:paraId="603E9AAD" w14:textId="77777777" w:rsidR="00204096" w:rsidRPr="00204096" w:rsidRDefault="00204096" w:rsidP="00204096">
      <w:pPr>
        <w:pStyle w:val="Prrafodelista"/>
        <w:numPr>
          <w:ilvl w:val="0"/>
          <w:numId w:val="29"/>
        </w:numPr>
        <w:jc w:val="both"/>
        <w:rPr>
          <w:i/>
          <w:iCs/>
          <w:sz w:val="22"/>
          <w:szCs w:val="22"/>
        </w:rPr>
      </w:pPr>
      <w:r w:rsidRPr="00204096">
        <w:rPr>
          <w:i/>
          <w:iCs/>
          <w:sz w:val="22"/>
          <w:szCs w:val="22"/>
        </w:rPr>
        <w:t>Otros criterios: hasta 5 puntos. Se valorarán otras cuestiones como la formación adecuada a las funciones a realizar, el conocimiento de idiomas u otras cuestiones de interés para el proyecto.</w:t>
      </w:r>
    </w:p>
    <w:p w14:paraId="5CC0CABE" w14:textId="79FB47A0" w:rsidR="00204096" w:rsidRPr="00204096" w:rsidRDefault="00204096" w:rsidP="00483B65">
      <w:pPr>
        <w:spacing w:after="100" w:afterAutospacing="1"/>
        <w:jc w:val="both"/>
        <w:rPr>
          <w:i/>
          <w:iCs/>
          <w:sz w:val="22"/>
          <w:szCs w:val="22"/>
        </w:rPr>
      </w:pPr>
      <w:r w:rsidRPr="00204096">
        <w:rPr>
          <w:i/>
          <w:iCs/>
          <w:sz w:val="22"/>
          <w:szCs w:val="22"/>
        </w:rPr>
        <w:lastRenderedPageBreak/>
        <w:t>Por ello, se facilitará en la Memoria toda la información necesaria para realizar una correcta valoración de la adecuación del perfil de la persona o personas propuestas a las necesidades expresadas en los Pliegos (experiencia previa, CV de la persona o personas, relación de rodajes en los que ha participado, identificación de contactos que se ponen a disposición del proyecto, etc.)”.</w:t>
      </w:r>
    </w:p>
    <w:p w14:paraId="1800770A" w14:textId="3C5AB53F" w:rsidR="00483B65" w:rsidRDefault="00483B65" w:rsidP="00483B65">
      <w:pPr>
        <w:autoSpaceDE w:val="0"/>
        <w:autoSpaceDN w:val="0"/>
        <w:adjustRightInd w:val="0"/>
        <w:spacing w:after="240"/>
        <w:jc w:val="both"/>
        <w:rPr>
          <w:sz w:val="22"/>
          <w:szCs w:val="22"/>
        </w:rPr>
      </w:pPr>
      <w:r>
        <w:rPr>
          <w:sz w:val="22"/>
          <w:szCs w:val="22"/>
        </w:rPr>
        <w:t>Este tipo de cláusulas, denominadas doctrinalmente como “de arraigo”, han sido analizadas por</w:t>
      </w:r>
      <w:r w:rsidRPr="00483B65">
        <w:rPr>
          <w:sz w:val="22"/>
          <w:szCs w:val="22"/>
        </w:rPr>
        <w:t xml:space="preserve"> la sentencia del Tribunal de Justicia de la Unión Europea (TJUE), de 27 de octubre de 2005, asunto C-234/03, ECLI:EU:C:2005:589 (apartado 25)</w:t>
      </w:r>
      <w:r>
        <w:rPr>
          <w:sz w:val="22"/>
          <w:szCs w:val="22"/>
        </w:rPr>
        <w:t xml:space="preserve">. Para la validación de </w:t>
      </w:r>
      <w:proofErr w:type="gramStart"/>
      <w:r>
        <w:rPr>
          <w:sz w:val="22"/>
          <w:szCs w:val="22"/>
        </w:rPr>
        <w:t>los mismos</w:t>
      </w:r>
      <w:proofErr w:type="gramEnd"/>
      <w:r>
        <w:rPr>
          <w:sz w:val="22"/>
          <w:szCs w:val="22"/>
        </w:rPr>
        <w:t>, se han de verificar cuatro requisitos simultáneamente:</w:t>
      </w:r>
    </w:p>
    <w:p w14:paraId="159CDC8A" w14:textId="3DC54CB6" w:rsidR="00483B65" w:rsidRPr="00483B65" w:rsidRDefault="00483B65" w:rsidP="00483B65">
      <w:pPr>
        <w:pStyle w:val="Prrafodelista"/>
        <w:numPr>
          <w:ilvl w:val="0"/>
          <w:numId w:val="30"/>
        </w:numPr>
        <w:autoSpaceDE w:val="0"/>
        <w:autoSpaceDN w:val="0"/>
        <w:adjustRightInd w:val="0"/>
        <w:spacing w:after="240"/>
        <w:jc w:val="both"/>
        <w:rPr>
          <w:sz w:val="22"/>
          <w:szCs w:val="22"/>
        </w:rPr>
      </w:pPr>
      <w:r w:rsidRPr="00483B65">
        <w:rPr>
          <w:sz w:val="22"/>
          <w:szCs w:val="22"/>
        </w:rPr>
        <w:t xml:space="preserve">que se apliquen de manera no discriminatoria, </w:t>
      </w:r>
    </w:p>
    <w:p w14:paraId="2DC8C7B4" w14:textId="77777777" w:rsidR="00483B65" w:rsidRDefault="00483B65" w:rsidP="004E346E">
      <w:pPr>
        <w:pStyle w:val="Prrafodelista"/>
        <w:numPr>
          <w:ilvl w:val="0"/>
          <w:numId w:val="30"/>
        </w:numPr>
        <w:autoSpaceDE w:val="0"/>
        <w:autoSpaceDN w:val="0"/>
        <w:adjustRightInd w:val="0"/>
        <w:spacing w:after="240"/>
        <w:jc w:val="both"/>
        <w:rPr>
          <w:sz w:val="22"/>
          <w:szCs w:val="22"/>
        </w:rPr>
      </w:pPr>
      <w:r w:rsidRPr="00483B65">
        <w:rPr>
          <w:sz w:val="22"/>
          <w:szCs w:val="22"/>
        </w:rPr>
        <w:t>que estén justificadas por razones imperiosas de interés general,</w:t>
      </w:r>
    </w:p>
    <w:p w14:paraId="24C411A4" w14:textId="77777777" w:rsidR="00483B65" w:rsidRDefault="00483B65" w:rsidP="004E346E">
      <w:pPr>
        <w:pStyle w:val="Prrafodelista"/>
        <w:numPr>
          <w:ilvl w:val="0"/>
          <w:numId w:val="30"/>
        </w:numPr>
        <w:autoSpaceDE w:val="0"/>
        <w:autoSpaceDN w:val="0"/>
        <w:adjustRightInd w:val="0"/>
        <w:spacing w:after="240"/>
        <w:jc w:val="both"/>
        <w:rPr>
          <w:sz w:val="22"/>
          <w:szCs w:val="22"/>
        </w:rPr>
      </w:pPr>
      <w:r w:rsidRPr="00483B65">
        <w:rPr>
          <w:sz w:val="22"/>
          <w:szCs w:val="22"/>
        </w:rPr>
        <w:t>que sean adecuadas para</w:t>
      </w:r>
      <w:r>
        <w:rPr>
          <w:sz w:val="22"/>
          <w:szCs w:val="22"/>
        </w:rPr>
        <w:t xml:space="preserve"> </w:t>
      </w:r>
      <w:r w:rsidRPr="00483B65">
        <w:rPr>
          <w:sz w:val="22"/>
          <w:szCs w:val="22"/>
        </w:rPr>
        <w:t xml:space="preserve">garantizar la realización del objetivo que persiguen y </w:t>
      </w:r>
    </w:p>
    <w:p w14:paraId="53BEE821" w14:textId="3D8F5A09" w:rsidR="00204096" w:rsidRDefault="00483B65" w:rsidP="00337CCC">
      <w:pPr>
        <w:pStyle w:val="Prrafodelista"/>
        <w:numPr>
          <w:ilvl w:val="0"/>
          <w:numId w:val="30"/>
        </w:numPr>
        <w:autoSpaceDE w:val="0"/>
        <w:autoSpaceDN w:val="0"/>
        <w:adjustRightInd w:val="0"/>
        <w:spacing w:after="240"/>
        <w:jc w:val="both"/>
        <w:rPr>
          <w:sz w:val="22"/>
          <w:szCs w:val="22"/>
        </w:rPr>
      </w:pPr>
      <w:r w:rsidRPr="00483B65">
        <w:rPr>
          <w:sz w:val="22"/>
          <w:szCs w:val="22"/>
        </w:rPr>
        <w:t xml:space="preserve">que </w:t>
      </w:r>
      <w:r w:rsidRPr="00942F7A">
        <w:rPr>
          <w:sz w:val="22"/>
          <w:szCs w:val="22"/>
        </w:rPr>
        <w:t>no vayan más allá de lo necesario para alcanzar dicho objetiv</w:t>
      </w:r>
      <w:r w:rsidR="005A5046" w:rsidRPr="00942F7A">
        <w:rPr>
          <w:sz w:val="22"/>
          <w:szCs w:val="22"/>
        </w:rPr>
        <w:t>o,</w:t>
      </w:r>
      <w:r w:rsidR="00942F7A" w:rsidRPr="00942F7A">
        <w:rPr>
          <w:sz w:val="22"/>
          <w:szCs w:val="22"/>
        </w:rPr>
        <w:t xml:space="preserve"> </w:t>
      </w:r>
      <w:r w:rsidR="005A5046" w:rsidRPr="00942F7A">
        <w:rPr>
          <w:sz w:val="22"/>
          <w:szCs w:val="22"/>
        </w:rPr>
        <w:t>es decir, respetar el principio de proporcionalidad</w:t>
      </w:r>
      <w:r w:rsidRPr="00942F7A">
        <w:rPr>
          <w:sz w:val="22"/>
          <w:szCs w:val="22"/>
        </w:rPr>
        <w:t>.</w:t>
      </w:r>
    </w:p>
    <w:p w14:paraId="0A0FB04A" w14:textId="0E4074E7" w:rsidR="00483B65" w:rsidRDefault="00483B65" w:rsidP="006966C1">
      <w:pPr>
        <w:autoSpaceDE w:val="0"/>
        <w:autoSpaceDN w:val="0"/>
        <w:adjustRightInd w:val="0"/>
        <w:spacing w:after="240"/>
        <w:jc w:val="both"/>
        <w:rPr>
          <w:sz w:val="22"/>
          <w:szCs w:val="22"/>
        </w:rPr>
      </w:pPr>
      <w:r>
        <w:rPr>
          <w:sz w:val="22"/>
          <w:szCs w:val="22"/>
        </w:rPr>
        <w:t>En cuanto a la primera de ellas, se verifica que la cláusula no es discriminatoria por cuanto</w:t>
      </w:r>
      <w:r w:rsidR="006966C1" w:rsidRPr="006966C1">
        <w:rPr>
          <w:sz w:val="22"/>
          <w:szCs w:val="22"/>
        </w:rPr>
        <w:t xml:space="preserve"> no diferencia </w:t>
      </w:r>
      <w:r w:rsidR="006966C1">
        <w:rPr>
          <w:sz w:val="22"/>
          <w:szCs w:val="22"/>
        </w:rPr>
        <w:t>por</w:t>
      </w:r>
      <w:r w:rsidR="006966C1" w:rsidRPr="006966C1">
        <w:rPr>
          <w:sz w:val="22"/>
          <w:szCs w:val="22"/>
        </w:rPr>
        <w:t xml:space="preserve"> razón de circunstancias personales de los licitadores, tales como su nacionalidad o su domicilio social</w:t>
      </w:r>
      <w:r w:rsidR="006966C1">
        <w:rPr>
          <w:sz w:val="22"/>
          <w:szCs w:val="22"/>
        </w:rPr>
        <w:t>. Ello es así, como bien indica el OC, porque el criterio valida la composición del equipo de trabajo adscrito al contrato y no a la empresa.</w:t>
      </w:r>
    </w:p>
    <w:p w14:paraId="09A2E660" w14:textId="790AA8F5" w:rsidR="003B0CDD" w:rsidRDefault="006966C1" w:rsidP="003B0CDD">
      <w:pPr>
        <w:autoSpaceDE w:val="0"/>
        <w:autoSpaceDN w:val="0"/>
        <w:adjustRightInd w:val="0"/>
        <w:spacing w:after="240"/>
        <w:jc w:val="both"/>
        <w:rPr>
          <w:sz w:val="22"/>
          <w:szCs w:val="22"/>
        </w:rPr>
      </w:pPr>
      <w:r>
        <w:rPr>
          <w:sz w:val="22"/>
          <w:szCs w:val="22"/>
        </w:rPr>
        <w:t xml:space="preserve">En cuanto a su justificación, adecuación y proporcionalidad, se ha de estar a la necesidad que el OC pretende cubrir. Por una parte, el </w:t>
      </w:r>
      <w:r w:rsidR="003B0CDD" w:rsidRPr="003B0CDD">
        <w:rPr>
          <w:sz w:val="22"/>
          <w:szCs w:val="22"/>
        </w:rPr>
        <w:t>artículo 116.4 de la LCSP impone la obligación de justificar en el expediente los criterios de adjudicación y su relación directa, clara y proporcional con el objeto del contrato</w:t>
      </w:r>
      <w:r w:rsidR="003B0CDD">
        <w:rPr>
          <w:sz w:val="22"/>
          <w:szCs w:val="22"/>
        </w:rPr>
        <w:t>, constituyendo la falta de motivación un vicio insubsanable (Resolución TACRC 1425/2025).</w:t>
      </w:r>
    </w:p>
    <w:p w14:paraId="1A3BC274" w14:textId="59F32301" w:rsidR="003B0CDD" w:rsidRDefault="003B0CDD" w:rsidP="003B0CDD">
      <w:pPr>
        <w:autoSpaceDE w:val="0"/>
        <w:autoSpaceDN w:val="0"/>
        <w:adjustRightInd w:val="0"/>
        <w:spacing w:after="240"/>
        <w:jc w:val="both"/>
        <w:rPr>
          <w:sz w:val="22"/>
          <w:szCs w:val="22"/>
        </w:rPr>
      </w:pPr>
      <w:r>
        <w:rPr>
          <w:sz w:val="22"/>
          <w:szCs w:val="22"/>
        </w:rPr>
        <w:t>El OC, en el informe propuesta de inicio de expediente consigna de manera sucinta: “</w:t>
      </w:r>
      <w:r w:rsidRPr="003B0CDD">
        <w:rPr>
          <w:i/>
          <w:iCs/>
          <w:sz w:val="22"/>
          <w:szCs w:val="22"/>
        </w:rPr>
        <w:t>Los criterios de adjudicación elegidos señalados en el apartado M del Cuadro de Características, ponderan los criterios que se consideran más importantes de cara a que resulte elegida la oferta con mejor relación calidad-precio</w:t>
      </w:r>
      <w:r>
        <w:rPr>
          <w:sz w:val="22"/>
          <w:szCs w:val="22"/>
        </w:rPr>
        <w:t>”, sin que se justifique</w:t>
      </w:r>
      <w:r w:rsidR="00721E9C">
        <w:rPr>
          <w:sz w:val="22"/>
          <w:szCs w:val="22"/>
        </w:rPr>
        <w:t xml:space="preserve"> totalmente</w:t>
      </w:r>
      <w:r>
        <w:rPr>
          <w:sz w:val="22"/>
          <w:szCs w:val="22"/>
        </w:rPr>
        <w:t xml:space="preserve"> la necesidad de vincular el criterio al territorio.</w:t>
      </w:r>
    </w:p>
    <w:p w14:paraId="212A64D4" w14:textId="6B6AEF05" w:rsidR="00000D7A" w:rsidRDefault="003B0CDD" w:rsidP="00000D7A">
      <w:pPr>
        <w:autoSpaceDE w:val="0"/>
        <w:autoSpaceDN w:val="0"/>
        <w:adjustRightInd w:val="0"/>
        <w:spacing w:after="240"/>
        <w:jc w:val="both"/>
        <w:rPr>
          <w:sz w:val="22"/>
          <w:szCs w:val="22"/>
        </w:rPr>
      </w:pPr>
      <w:r>
        <w:rPr>
          <w:sz w:val="22"/>
          <w:szCs w:val="22"/>
        </w:rPr>
        <w:t>Por otra parte, e</w:t>
      </w:r>
      <w:r w:rsidRPr="003B0CDD">
        <w:rPr>
          <w:sz w:val="22"/>
          <w:szCs w:val="22"/>
        </w:rPr>
        <w:t>l artículo 145.5 de la LCSP dispone que los criterios de adjudicación deben estar íntimamente ligados al objeto del contrato y permitir evaluar la mejor relación calidad</w:t>
      </w:r>
      <w:r>
        <w:rPr>
          <w:sz w:val="22"/>
          <w:szCs w:val="22"/>
        </w:rPr>
        <w:t xml:space="preserve"> </w:t>
      </w:r>
      <w:r w:rsidRPr="003B0CDD">
        <w:rPr>
          <w:sz w:val="22"/>
          <w:szCs w:val="22"/>
        </w:rPr>
        <w:t>precio</w:t>
      </w:r>
      <w:r>
        <w:rPr>
          <w:sz w:val="22"/>
          <w:szCs w:val="22"/>
        </w:rPr>
        <w:t xml:space="preserve">. </w:t>
      </w:r>
      <w:r w:rsidR="00000D7A" w:rsidRPr="00000D7A">
        <w:rPr>
          <w:sz w:val="22"/>
          <w:szCs w:val="22"/>
        </w:rPr>
        <w:t>La Sentencia de TJUE de 17 de septiembre de 2002, Concordia Bus Finland, tras señalar que, a juicio de la Comisión, los criterios de adjudicación “</w:t>
      </w:r>
      <w:r w:rsidR="00000D7A" w:rsidRPr="00000D7A">
        <w:rPr>
          <w:i/>
          <w:iCs/>
          <w:sz w:val="22"/>
          <w:szCs w:val="22"/>
        </w:rPr>
        <w:t>deben ser objetivos, aplicables a todas las ofertas, estrictamente relacionados con el objeto del contrato de que se trate y suponer una ventaja económica que redunde en beneficio directo de la entidad adjudicadora</w:t>
      </w:r>
      <w:r w:rsidR="00000D7A">
        <w:rPr>
          <w:sz w:val="22"/>
          <w:szCs w:val="22"/>
        </w:rPr>
        <w:t>”</w:t>
      </w:r>
    </w:p>
    <w:p w14:paraId="42D7B308" w14:textId="5F6FBB3B" w:rsidR="00483B65" w:rsidRDefault="003B0CDD" w:rsidP="003B0CDD">
      <w:pPr>
        <w:autoSpaceDE w:val="0"/>
        <w:autoSpaceDN w:val="0"/>
        <w:adjustRightInd w:val="0"/>
        <w:spacing w:after="240"/>
        <w:jc w:val="both"/>
        <w:rPr>
          <w:sz w:val="22"/>
          <w:szCs w:val="22"/>
        </w:rPr>
      </w:pPr>
      <w:r>
        <w:rPr>
          <w:sz w:val="22"/>
          <w:szCs w:val="22"/>
        </w:rPr>
        <w:t>Revisados los pliegos técnicos de la licitación, se verifica que</w:t>
      </w:r>
      <w:r w:rsidR="00E37B7B">
        <w:rPr>
          <w:sz w:val="22"/>
          <w:szCs w:val="22"/>
        </w:rPr>
        <w:t xml:space="preserve"> las líneas de actuación del objeto del contrato son las siguientes</w:t>
      </w:r>
      <w:r>
        <w:rPr>
          <w:sz w:val="22"/>
          <w:szCs w:val="22"/>
        </w:rPr>
        <w:t>:</w:t>
      </w:r>
    </w:p>
    <w:p w14:paraId="6E99B2CB" w14:textId="7C112068" w:rsidR="00E37B7B" w:rsidRPr="00E37B7B" w:rsidRDefault="00E37B7B" w:rsidP="00E37B7B">
      <w:pPr>
        <w:autoSpaceDE w:val="0"/>
        <w:autoSpaceDN w:val="0"/>
        <w:adjustRightInd w:val="0"/>
        <w:spacing w:after="240"/>
        <w:jc w:val="both"/>
        <w:rPr>
          <w:i/>
          <w:iCs/>
          <w:sz w:val="22"/>
          <w:szCs w:val="22"/>
        </w:rPr>
      </w:pPr>
      <w:r>
        <w:rPr>
          <w:sz w:val="22"/>
          <w:szCs w:val="22"/>
        </w:rPr>
        <w:t>“</w:t>
      </w:r>
      <w:r w:rsidRPr="00E37B7B">
        <w:rPr>
          <w:i/>
          <w:iCs/>
          <w:sz w:val="22"/>
          <w:szCs w:val="22"/>
        </w:rPr>
        <w:t>1. Asistir a la Diputación Foral de Álava en la prestación de los servicios habituales de atención a grupos de interés y acompañamiento a proyectos audiovisuales que se desarrollen en el territorio (Acompañamiento).</w:t>
      </w:r>
    </w:p>
    <w:p w14:paraId="196D0132" w14:textId="77777777" w:rsidR="00E37B7B" w:rsidRPr="00E37B7B" w:rsidRDefault="00E37B7B" w:rsidP="00E37B7B">
      <w:pPr>
        <w:autoSpaceDE w:val="0"/>
        <w:autoSpaceDN w:val="0"/>
        <w:adjustRightInd w:val="0"/>
        <w:spacing w:after="240"/>
        <w:jc w:val="both"/>
        <w:rPr>
          <w:i/>
          <w:iCs/>
          <w:sz w:val="22"/>
          <w:szCs w:val="22"/>
        </w:rPr>
      </w:pPr>
      <w:r w:rsidRPr="00E37B7B">
        <w:rPr>
          <w:i/>
          <w:iCs/>
          <w:sz w:val="22"/>
          <w:szCs w:val="22"/>
        </w:rPr>
        <w:t>2. Realizar la promoción del territorio alavés como espacio para el desarrollo de proyectos audiovisuales, a través de campañas y eventos de promoción y comunicación, presencia en redes y foros, etc. (Promoción).</w:t>
      </w:r>
    </w:p>
    <w:p w14:paraId="05D3A0ED" w14:textId="26DC7E8A" w:rsidR="00E37B7B" w:rsidRDefault="00E37B7B" w:rsidP="00E37B7B">
      <w:pPr>
        <w:autoSpaceDE w:val="0"/>
        <w:autoSpaceDN w:val="0"/>
        <w:adjustRightInd w:val="0"/>
        <w:spacing w:after="240"/>
        <w:jc w:val="both"/>
        <w:rPr>
          <w:sz w:val="22"/>
          <w:szCs w:val="22"/>
        </w:rPr>
      </w:pPr>
      <w:r w:rsidRPr="00E37B7B">
        <w:rPr>
          <w:i/>
          <w:iCs/>
          <w:sz w:val="22"/>
          <w:szCs w:val="22"/>
        </w:rPr>
        <w:t>3. Colaborar y apoyar a la Diputación Foral de Álava en la relación con diferentes agentes sectoriales en la identificación de necesidades, retos e iniciativas para fortalecer el sector y talento local asociado a la actividad audiovisual (Industria)</w:t>
      </w:r>
      <w:r>
        <w:rPr>
          <w:sz w:val="22"/>
          <w:szCs w:val="22"/>
        </w:rPr>
        <w:t>”</w:t>
      </w:r>
      <w:r w:rsidRPr="00E37B7B">
        <w:rPr>
          <w:sz w:val="22"/>
          <w:szCs w:val="22"/>
        </w:rPr>
        <w:t>.</w:t>
      </w:r>
    </w:p>
    <w:p w14:paraId="78DCE8F5" w14:textId="77777777" w:rsidR="00721E9C" w:rsidRDefault="004F29DE" w:rsidP="003B0CDD">
      <w:pPr>
        <w:autoSpaceDE w:val="0"/>
        <w:autoSpaceDN w:val="0"/>
        <w:adjustRightInd w:val="0"/>
        <w:spacing w:after="240"/>
        <w:jc w:val="both"/>
        <w:rPr>
          <w:sz w:val="22"/>
          <w:szCs w:val="22"/>
        </w:rPr>
      </w:pPr>
      <w:r>
        <w:rPr>
          <w:sz w:val="22"/>
          <w:szCs w:val="22"/>
        </w:rPr>
        <w:lastRenderedPageBreak/>
        <w:t xml:space="preserve">El OC en su informe de contestación al recurso dice que </w:t>
      </w:r>
      <w:r w:rsidRPr="004F29DE">
        <w:rPr>
          <w:sz w:val="22"/>
          <w:szCs w:val="22"/>
        </w:rPr>
        <w:t>una de las tareas fundamentales del servicio consiste en mantener y desarrollar relaciones con el sector audiovisual local, además de facilitar la incorporación de profesionales locales a las producciones que se desarrollan en Álava, se estima este como un criterio relevante a valorar</w:t>
      </w:r>
      <w:r>
        <w:rPr>
          <w:sz w:val="22"/>
          <w:szCs w:val="22"/>
        </w:rPr>
        <w:t>.</w:t>
      </w:r>
    </w:p>
    <w:p w14:paraId="52D0A84A" w14:textId="78CD4B3C" w:rsidR="00000D7A" w:rsidRDefault="00721E9C" w:rsidP="00000D7A">
      <w:pPr>
        <w:autoSpaceDE w:val="0"/>
        <w:autoSpaceDN w:val="0"/>
        <w:adjustRightInd w:val="0"/>
        <w:spacing w:after="240"/>
        <w:jc w:val="both"/>
        <w:rPr>
          <w:sz w:val="22"/>
          <w:szCs w:val="22"/>
        </w:rPr>
      </w:pPr>
      <w:r>
        <w:rPr>
          <w:sz w:val="22"/>
          <w:szCs w:val="22"/>
        </w:rPr>
        <w:t>A pesar de la consideración de</w:t>
      </w:r>
      <w:r w:rsidR="00000D7A">
        <w:rPr>
          <w:sz w:val="22"/>
          <w:szCs w:val="22"/>
        </w:rPr>
        <w:t xml:space="preserve">l OC, el TACRC considera en su resolución </w:t>
      </w:r>
      <w:r w:rsidR="00000D7A" w:rsidRPr="00000D7A">
        <w:rPr>
          <w:sz w:val="22"/>
          <w:szCs w:val="22"/>
        </w:rPr>
        <w:t>910/2023 de 6 de julio</w:t>
      </w:r>
      <w:r w:rsidR="00000D7A">
        <w:rPr>
          <w:sz w:val="22"/>
          <w:szCs w:val="22"/>
        </w:rPr>
        <w:t xml:space="preserve"> </w:t>
      </w:r>
      <w:proofErr w:type="gramStart"/>
      <w:r w:rsidR="00000D7A">
        <w:rPr>
          <w:sz w:val="22"/>
          <w:szCs w:val="22"/>
        </w:rPr>
        <w:t>que:</w:t>
      </w:r>
      <w:r w:rsidR="00000D7A" w:rsidRPr="00000D7A">
        <w:rPr>
          <w:sz w:val="22"/>
          <w:szCs w:val="22"/>
        </w:rPr>
        <w:t>“</w:t>
      </w:r>
      <w:proofErr w:type="gramEnd"/>
      <w:r w:rsidR="005A5046">
        <w:rPr>
          <w:sz w:val="22"/>
          <w:szCs w:val="22"/>
        </w:rPr>
        <w:t xml:space="preserve"> s</w:t>
      </w:r>
      <w:r w:rsidR="00000D7A" w:rsidRPr="00000D7A">
        <w:rPr>
          <w:i/>
          <w:iCs/>
          <w:sz w:val="22"/>
          <w:szCs w:val="22"/>
        </w:rPr>
        <w:t xml:space="preserve">obre las cláusulas de arraigo territorial este Tribunal se ha pronunciado en repetidas ocasiones y las ha declarado ilegales </w:t>
      </w:r>
      <w:r w:rsidR="00000D7A" w:rsidRPr="00000D7A">
        <w:rPr>
          <w:b/>
          <w:bCs/>
          <w:i/>
          <w:iCs/>
          <w:sz w:val="22"/>
          <w:szCs w:val="22"/>
        </w:rPr>
        <w:t>siempre que se hayan impuesto</w:t>
      </w:r>
      <w:r w:rsidR="00000D7A" w:rsidRPr="00000D7A">
        <w:rPr>
          <w:i/>
          <w:iCs/>
          <w:sz w:val="22"/>
          <w:szCs w:val="22"/>
        </w:rPr>
        <w:t xml:space="preserve"> como condiciones de solvencia técnica o </w:t>
      </w:r>
      <w:r w:rsidR="00000D7A" w:rsidRPr="00000D7A">
        <w:rPr>
          <w:b/>
          <w:bCs/>
          <w:i/>
          <w:iCs/>
          <w:sz w:val="22"/>
          <w:szCs w:val="22"/>
        </w:rPr>
        <w:t>como criterios de adjudicación</w:t>
      </w:r>
      <w:r w:rsidR="00000D7A" w:rsidRPr="00000D7A">
        <w:rPr>
          <w:i/>
          <w:iCs/>
          <w:sz w:val="22"/>
          <w:szCs w:val="22"/>
        </w:rPr>
        <w:t xml:space="preserve"> (...)</w:t>
      </w:r>
      <w:r w:rsidR="00000D7A">
        <w:rPr>
          <w:sz w:val="22"/>
          <w:szCs w:val="22"/>
        </w:rPr>
        <w:t>”.</w:t>
      </w:r>
    </w:p>
    <w:p w14:paraId="7BB57BCE" w14:textId="5BA8B665" w:rsidR="002661AD" w:rsidRDefault="002661AD" w:rsidP="002661AD">
      <w:pPr>
        <w:autoSpaceDE w:val="0"/>
        <w:autoSpaceDN w:val="0"/>
        <w:adjustRightInd w:val="0"/>
        <w:spacing w:after="240"/>
        <w:jc w:val="both"/>
        <w:rPr>
          <w:sz w:val="22"/>
          <w:szCs w:val="22"/>
        </w:rPr>
      </w:pPr>
      <w:r>
        <w:rPr>
          <w:sz w:val="22"/>
          <w:szCs w:val="22"/>
        </w:rPr>
        <w:t>En cuanto a la proporcionalidad, el propio TACRC, en su resolución 1425/2025, de 9 de octubre señala en un supuesto similar:</w:t>
      </w:r>
      <w:r w:rsidR="00942F7A">
        <w:rPr>
          <w:sz w:val="22"/>
          <w:szCs w:val="22"/>
        </w:rPr>
        <w:t xml:space="preserve"> </w:t>
      </w:r>
      <w:r>
        <w:rPr>
          <w:sz w:val="22"/>
          <w:szCs w:val="22"/>
        </w:rPr>
        <w:t>“</w:t>
      </w:r>
      <w:r w:rsidRPr="002661AD">
        <w:rPr>
          <w:i/>
          <w:iCs/>
          <w:sz w:val="22"/>
          <w:szCs w:val="22"/>
        </w:rPr>
        <w:t>si así fuera (...) tendría que haberse configurado como compromiso de adscripción de medios y no como criterio de valoración</w:t>
      </w:r>
      <w:r>
        <w:rPr>
          <w:sz w:val="22"/>
          <w:szCs w:val="22"/>
        </w:rPr>
        <w:t>”.</w:t>
      </w:r>
    </w:p>
    <w:p w14:paraId="1834124B" w14:textId="3F7DE436" w:rsidR="00721E9C" w:rsidRPr="00942F7A" w:rsidRDefault="00721E9C" w:rsidP="002661AD">
      <w:pPr>
        <w:autoSpaceDE w:val="0"/>
        <w:autoSpaceDN w:val="0"/>
        <w:adjustRightInd w:val="0"/>
        <w:spacing w:after="240"/>
        <w:jc w:val="both"/>
        <w:rPr>
          <w:sz w:val="22"/>
          <w:szCs w:val="22"/>
        </w:rPr>
      </w:pPr>
      <w:r>
        <w:rPr>
          <w:sz w:val="22"/>
          <w:szCs w:val="22"/>
        </w:rPr>
        <w:t xml:space="preserve">Por todo lo anterior, procede estimar la alegación realizada por </w:t>
      </w:r>
      <w:r w:rsidR="005A5046">
        <w:rPr>
          <w:sz w:val="22"/>
          <w:szCs w:val="22"/>
        </w:rPr>
        <w:t>la</w:t>
      </w:r>
      <w:r>
        <w:rPr>
          <w:sz w:val="22"/>
          <w:szCs w:val="22"/>
        </w:rPr>
        <w:t xml:space="preserve"> </w:t>
      </w:r>
      <w:r w:rsidRPr="00942F7A">
        <w:rPr>
          <w:sz w:val="22"/>
          <w:szCs w:val="22"/>
        </w:rPr>
        <w:t>recurrente</w:t>
      </w:r>
      <w:r w:rsidR="005A5046" w:rsidRPr="00942F7A">
        <w:rPr>
          <w:sz w:val="22"/>
          <w:szCs w:val="22"/>
        </w:rPr>
        <w:t xml:space="preserve"> por cuanto consideramos que el criterio “experiencia trabajando en el sector local” es un criterio de arraigo territorial encubierto que no se justifica por razones de interés general ni respeta el principio de proporcionalidad, excediendo de lo necesario para lograr el objetivo perseguido.</w:t>
      </w:r>
    </w:p>
    <w:p w14:paraId="1AF4EB77" w14:textId="1BB7D6D5" w:rsidR="004B4E0E" w:rsidRDefault="00935D8E" w:rsidP="003A2234">
      <w:pPr>
        <w:autoSpaceDE w:val="0"/>
        <w:autoSpaceDN w:val="0"/>
        <w:adjustRightInd w:val="0"/>
        <w:spacing w:after="120"/>
        <w:jc w:val="both"/>
        <w:rPr>
          <w:sz w:val="22"/>
          <w:szCs w:val="22"/>
        </w:rPr>
      </w:pPr>
      <w:r w:rsidRPr="00AB428A">
        <w:rPr>
          <w:b/>
          <w:bCs/>
          <w:sz w:val="22"/>
          <w:szCs w:val="22"/>
        </w:rPr>
        <w:t>OCTAVO</w:t>
      </w:r>
      <w:r w:rsidR="008C5BC8" w:rsidRPr="00AB428A">
        <w:rPr>
          <w:b/>
          <w:bCs/>
          <w:sz w:val="22"/>
          <w:szCs w:val="22"/>
        </w:rPr>
        <w:t>. –</w:t>
      </w:r>
      <w:r w:rsidR="00721E9C">
        <w:rPr>
          <w:b/>
          <w:bCs/>
          <w:sz w:val="22"/>
          <w:szCs w:val="22"/>
        </w:rPr>
        <w:t xml:space="preserve"> </w:t>
      </w:r>
      <w:r w:rsidR="00721E9C" w:rsidRPr="00721E9C">
        <w:rPr>
          <w:sz w:val="22"/>
          <w:szCs w:val="22"/>
        </w:rPr>
        <w:t xml:space="preserve">En </w:t>
      </w:r>
      <w:r w:rsidR="00721E9C">
        <w:rPr>
          <w:sz w:val="22"/>
          <w:szCs w:val="22"/>
        </w:rPr>
        <w:t>lo que res</w:t>
      </w:r>
      <w:r w:rsidR="00364596">
        <w:rPr>
          <w:sz w:val="22"/>
          <w:szCs w:val="22"/>
        </w:rPr>
        <w:t xml:space="preserve">pecta a la alegación </w:t>
      </w:r>
      <w:r w:rsidR="000427F4">
        <w:rPr>
          <w:sz w:val="22"/>
          <w:szCs w:val="22"/>
        </w:rPr>
        <w:t xml:space="preserve">referente al porcentaje de subcontratación máximo consignado en la carátula de los pliegos del contrato, </w:t>
      </w:r>
      <w:r w:rsidR="004B4E0E">
        <w:rPr>
          <w:sz w:val="22"/>
          <w:szCs w:val="22"/>
        </w:rPr>
        <w:t>lo primero que hay que reseñar es que la sentencia invocada por la recurrente (</w:t>
      </w:r>
      <w:r w:rsidR="00E57786">
        <w:rPr>
          <w:sz w:val="22"/>
          <w:szCs w:val="22"/>
        </w:rPr>
        <w:t xml:space="preserve">Asunto </w:t>
      </w:r>
      <w:r w:rsidR="00E57786" w:rsidRPr="00E57786">
        <w:rPr>
          <w:sz w:val="22"/>
          <w:szCs w:val="22"/>
        </w:rPr>
        <w:t>C-63/18</w:t>
      </w:r>
      <w:r w:rsidR="00E57786">
        <w:rPr>
          <w:sz w:val="22"/>
          <w:szCs w:val="22"/>
        </w:rPr>
        <w:t xml:space="preserve">, Vitali </w:t>
      </w:r>
      <w:proofErr w:type="spellStart"/>
      <w:r w:rsidR="00E57786">
        <w:rPr>
          <w:sz w:val="22"/>
          <w:szCs w:val="22"/>
        </w:rPr>
        <w:t>SpA</w:t>
      </w:r>
      <w:proofErr w:type="spellEnd"/>
      <w:r w:rsidR="00E57786">
        <w:rPr>
          <w:sz w:val="22"/>
          <w:szCs w:val="22"/>
        </w:rPr>
        <w:t>) no se refiere a un supuesto análogo, sino que se trata de una cuestión referente a una Ley nacional, no a una decisión tomada por un poder adjudicador concreto.</w:t>
      </w:r>
    </w:p>
    <w:p w14:paraId="45A35A95" w14:textId="30271503" w:rsidR="003A2234" w:rsidRDefault="00E57786" w:rsidP="003A2234">
      <w:pPr>
        <w:autoSpaceDE w:val="0"/>
        <w:autoSpaceDN w:val="0"/>
        <w:adjustRightInd w:val="0"/>
        <w:spacing w:after="120"/>
        <w:jc w:val="both"/>
        <w:rPr>
          <w:sz w:val="22"/>
          <w:szCs w:val="22"/>
        </w:rPr>
      </w:pPr>
      <w:r>
        <w:rPr>
          <w:sz w:val="22"/>
          <w:szCs w:val="22"/>
        </w:rPr>
        <w:t xml:space="preserve">Por ello, </w:t>
      </w:r>
      <w:r w:rsidR="000427F4">
        <w:rPr>
          <w:sz w:val="22"/>
          <w:szCs w:val="22"/>
        </w:rPr>
        <w:t>hemos de ir primero a la literalidad de la LCSP, en concreto a su artículo 215</w:t>
      </w:r>
      <w:r>
        <w:rPr>
          <w:sz w:val="22"/>
          <w:szCs w:val="22"/>
        </w:rPr>
        <w:t xml:space="preserve">, que prohíbe, por un lado, que </w:t>
      </w:r>
      <w:r w:rsidRPr="00E57786">
        <w:rPr>
          <w:sz w:val="22"/>
          <w:szCs w:val="22"/>
        </w:rPr>
        <w:t>de la subcontratación se produzca una restricción efectiva de la competencia</w:t>
      </w:r>
      <w:r>
        <w:rPr>
          <w:sz w:val="22"/>
          <w:szCs w:val="22"/>
        </w:rPr>
        <w:t xml:space="preserve"> y, por otro, de forma independiente, permite que </w:t>
      </w:r>
      <w:r w:rsidRPr="00E57786">
        <w:rPr>
          <w:sz w:val="22"/>
          <w:szCs w:val="22"/>
        </w:rPr>
        <w:t>en los pliegos determinadas tareas críticas no puedan ser objeto de subcontratación, debiendo ser estas ejecutadas directamente por el contratista principal</w:t>
      </w:r>
      <w:r>
        <w:rPr>
          <w:sz w:val="22"/>
          <w:szCs w:val="22"/>
        </w:rPr>
        <w:t>.</w:t>
      </w:r>
    </w:p>
    <w:p w14:paraId="7ED6C257" w14:textId="7F413422" w:rsidR="00E57786" w:rsidRPr="00721E9C" w:rsidRDefault="00E57786" w:rsidP="00E57786">
      <w:pPr>
        <w:autoSpaceDE w:val="0"/>
        <w:autoSpaceDN w:val="0"/>
        <w:adjustRightInd w:val="0"/>
        <w:spacing w:after="120"/>
        <w:jc w:val="both"/>
        <w:rPr>
          <w:sz w:val="22"/>
          <w:szCs w:val="22"/>
        </w:rPr>
      </w:pPr>
      <w:r>
        <w:rPr>
          <w:sz w:val="22"/>
          <w:szCs w:val="22"/>
        </w:rPr>
        <w:t>Así, el TACRC considera en su r</w:t>
      </w:r>
      <w:r w:rsidRPr="00E57786">
        <w:rPr>
          <w:sz w:val="22"/>
          <w:szCs w:val="22"/>
        </w:rPr>
        <w:t xml:space="preserve">esolución </w:t>
      </w:r>
      <w:r>
        <w:rPr>
          <w:sz w:val="22"/>
          <w:szCs w:val="22"/>
        </w:rPr>
        <w:t>número</w:t>
      </w:r>
      <w:r w:rsidRPr="00E57786">
        <w:rPr>
          <w:sz w:val="22"/>
          <w:szCs w:val="22"/>
        </w:rPr>
        <w:t xml:space="preserve"> 734/2020</w:t>
      </w:r>
      <w:r>
        <w:rPr>
          <w:sz w:val="22"/>
          <w:szCs w:val="22"/>
        </w:rPr>
        <w:t xml:space="preserve">, de </w:t>
      </w:r>
      <w:r w:rsidR="0000480F">
        <w:rPr>
          <w:sz w:val="22"/>
          <w:szCs w:val="22"/>
        </w:rPr>
        <w:t>26 de junio:</w:t>
      </w:r>
      <w:r w:rsidRPr="00E57786">
        <w:rPr>
          <w:sz w:val="22"/>
          <w:szCs w:val="22"/>
        </w:rPr>
        <w:t xml:space="preserve"> </w:t>
      </w:r>
      <w:r>
        <w:rPr>
          <w:sz w:val="22"/>
          <w:szCs w:val="22"/>
        </w:rPr>
        <w:t>“</w:t>
      </w:r>
      <w:r w:rsidRPr="00E57786">
        <w:rPr>
          <w:i/>
          <w:iCs/>
          <w:sz w:val="22"/>
          <w:szCs w:val="22"/>
        </w:rPr>
        <w:t xml:space="preserve">De acuerdo con el artículo 215 de la LCSP la regla general es que el contratista pueda </w:t>
      </w:r>
      <w:r w:rsidRPr="00E57786">
        <w:rPr>
          <w:b/>
          <w:bCs/>
          <w:i/>
          <w:iCs/>
          <w:sz w:val="22"/>
          <w:szCs w:val="22"/>
        </w:rPr>
        <w:t>subcontratar la realización parcial</w:t>
      </w:r>
      <w:r w:rsidRPr="00E57786">
        <w:rPr>
          <w:i/>
          <w:iCs/>
          <w:sz w:val="22"/>
          <w:szCs w:val="22"/>
        </w:rPr>
        <w:t xml:space="preserve"> de la prestación, si bien esta subcontratación puede ser total o parcialmente limitada reservándose todo o parte de la ejecución del contrato al contratista siempre y cuando los pliegos lo prevean así (...)</w:t>
      </w:r>
      <w:r>
        <w:rPr>
          <w:sz w:val="22"/>
          <w:szCs w:val="22"/>
        </w:rPr>
        <w:t>”.</w:t>
      </w:r>
    </w:p>
    <w:p w14:paraId="7898B3D0" w14:textId="4A143413" w:rsidR="0000480F" w:rsidRDefault="0000480F" w:rsidP="00112F6B">
      <w:pPr>
        <w:autoSpaceDE w:val="0"/>
        <w:autoSpaceDN w:val="0"/>
        <w:adjustRightInd w:val="0"/>
        <w:jc w:val="both"/>
        <w:rPr>
          <w:sz w:val="22"/>
          <w:szCs w:val="22"/>
          <w:lang w:val="es-ES_tradnl"/>
        </w:rPr>
      </w:pPr>
      <w:r>
        <w:rPr>
          <w:sz w:val="22"/>
          <w:szCs w:val="22"/>
          <w:lang w:val="es-ES_tradnl"/>
        </w:rPr>
        <w:t xml:space="preserve">Como bien dice el TACRC, el contratista puede subcontratar la prestación de manera parcial, no total, tal y como se establece en la propia LCSP. Por otra parte, no se aprecia por este OAFRC que la cláusula recurrida (se permite la subcontratación de un 80% del total de la prestación) </w:t>
      </w:r>
      <w:proofErr w:type="spellStart"/>
      <w:r>
        <w:rPr>
          <w:sz w:val="22"/>
          <w:szCs w:val="22"/>
          <w:lang w:val="es-ES_tradnl"/>
        </w:rPr>
        <w:t>limite</w:t>
      </w:r>
      <w:proofErr w:type="spellEnd"/>
      <w:r>
        <w:rPr>
          <w:sz w:val="22"/>
          <w:szCs w:val="22"/>
          <w:lang w:val="es-ES_tradnl"/>
        </w:rPr>
        <w:t xml:space="preserve"> de manera restrictiva la competencia, aunque sí sería deseable que el OC estableciera qu</w:t>
      </w:r>
      <w:r w:rsidR="00ED2498">
        <w:rPr>
          <w:sz w:val="22"/>
          <w:szCs w:val="22"/>
          <w:lang w:val="es-ES_tradnl"/>
        </w:rPr>
        <w:t>é</w:t>
      </w:r>
      <w:r>
        <w:rPr>
          <w:sz w:val="22"/>
          <w:szCs w:val="22"/>
          <w:lang w:val="es-ES_tradnl"/>
        </w:rPr>
        <w:t xml:space="preserve"> tareas no debieran ser objeto de subcontratación, así como la obligación de</w:t>
      </w:r>
      <w:r w:rsidRPr="0000480F">
        <w:rPr>
          <w:sz w:val="22"/>
          <w:szCs w:val="22"/>
          <w:lang w:val="es-ES_tradnl"/>
        </w:rPr>
        <w:t xml:space="preserve"> indicar en la oferta la parte del contrato que tengan previsto subcontratar, señalando su importe, y el nombre o el perfil empresarial, definido por referencia a las condiciones de solvencia profesional o técnica, de los subcontratistas a los que se vaya a encomendar su realización</w:t>
      </w:r>
      <w:r>
        <w:rPr>
          <w:sz w:val="22"/>
          <w:szCs w:val="22"/>
          <w:lang w:val="es-ES_tradnl"/>
        </w:rPr>
        <w:t xml:space="preserve"> (artículo 215.2.a) LCSP).</w:t>
      </w:r>
    </w:p>
    <w:p w14:paraId="02CB6DB5" w14:textId="77777777" w:rsidR="0000480F" w:rsidRDefault="0000480F" w:rsidP="00112F6B">
      <w:pPr>
        <w:autoSpaceDE w:val="0"/>
        <w:autoSpaceDN w:val="0"/>
        <w:adjustRightInd w:val="0"/>
        <w:jc w:val="both"/>
        <w:rPr>
          <w:sz w:val="22"/>
          <w:szCs w:val="22"/>
          <w:lang w:val="es-ES_tradnl"/>
        </w:rPr>
      </w:pPr>
    </w:p>
    <w:p w14:paraId="47533986" w14:textId="15373A7C" w:rsidR="00583268" w:rsidRPr="00AB7777" w:rsidRDefault="00583268" w:rsidP="00112F6B">
      <w:pPr>
        <w:autoSpaceDE w:val="0"/>
        <w:autoSpaceDN w:val="0"/>
        <w:adjustRightInd w:val="0"/>
        <w:jc w:val="both"/>
        <w:rPr>
          <w:sz w:val="22"/>
          <w:szCs w:val="22"/>
        </w:rPr>
      </w:pPr>
      <w:r w:rsidRPr="00AB7777">
        <w:rPr>
          <w:sz w:val="22"/>
          <w:szCs w:val="22"/>
          <w:lang w:val="es-ES_tradnl"/>
        </w:rPr>
        <w:t>Vistos los preceptos legales de aplicación, este Órgano Foral de Recursos Contractuales emite la siguiente</w:t>
      </w:r>
    </w:p>
    <w:p w14:paraId="5444DB0E" w14:textId="6235A2ED" w:rsidR="00020C36" w:rsidRDefault="00020C36" w:rsidP="0016554C">
      <w:pPr>
        <w:pStyle w:val="Textoindependiente"/>
        <w:spacing w:after="240"/>
        <w:jc w:val="center"/>
        <w:rPr>
          <w:rFonts w:ascii="Times New Roman" w:hAnsi="Times New Roman"/>
          <w:b/>
          <w:sz w:val="22"/>
          <w:szCs w:val="22"/>
          <w:u w:val="single"/>
        </w:rPr>
      </w:pPr>
      <w:r w:rsidRPr="0010018F">
        <w:rPr>
          <w:rFonts w:ascii="Times New Roman" w:hAnsi="Times New Roman"/>
          <w:b/>
          <w:sz w:val="22"/>
          <w:szCs w:val="22"/>
          <w:u w:val="single"/>
        </w:rPr>
        <w:t>RESOLUCIÓN</w:t>
      </w:r>
    </w:p>
    <w:p w14:paraId="2956EE9C" w14:textId="1557989E" w:rsidR="00A72678" w:rsidRPr="00942F7A" w:rsidRDefault="00583268" w:rsidP="00A72678">
      <w:pPr>
        <w:tabs>
          <w:tab w:val="left" w:pos="3261"/>
        </w:tabs>
        <w:spacing w:after="240"/>
        <w:jc w:val="both"/>
        <w:rPr>
          <w:bCs/>
          <w:sz w:val="22"/>
          <w:szCs w:val="22"/>
        </w:rPr>
      </w:pPr>
      <w:r w:rsidRPr="00112F6B">
        <w:rPr>
          <w:b/>
          <w:sz w:val="22"/>
          <w:szCs w:val="22"/>
          <w:lang w:val="es-ES_tradnl"/>
        </w:rPr>
        <w:t>PRIMERO.</w:t>
      </w:r>
      <w:r w:rsidRPr="00112F6B">
        <w:rPr>
          <w:bCs/>
          <w:sz w:val="22"/>
          <w:szCs w:val="22"/>
          <w:lang w:val="es-ES_tradnl"/>
        </w:rPr>
        <w:t xml:space="preserve"> -</w:t>
      </w:r>
      <w:r w:rsidRPr="00112F6B">
        <w:rPr>
          <w:b/>
          <w:sz w:val="22"/>
          <w:szCs w:val="22"/>
          <w:lang w:val="es-ES_tradnl"/>
        </w:rPr>
        <w:t xml:space="preserve"> </w:t>
      </w:r>
      <w:r w:rsidR="00932C18" w:rsidRPr="00942F7A">
        <w:rPr>
          <w:bCs/>
          <w:sz w:val="22"/>
          <w:szCs w:val="22"/>
          <w:lang w:val="es-ES_tradnl"/>
        </w:rPr>
        <w:t>E</w:t>
      </w:r>
      <w:r w:rsidR="0014642A" w:rsidRPr="00942F7A">
        <w:rPr>
          <w:bCs/>
          <w:sz w:val="22"/>
          <w:szCs w:val="22"/>
          <w:lang w:val="es-ES_tradnl"/>
        </w:rPr>
        <w:t>stimar</w:t>
      </w:r>
      <w:r w:rsidRPr="00942F7A">
        <w:rPr>
          <w:bCs/>
          <w:sz w:val="22"/>
          <w:szCs w:val="22"/>
          <w:lang w:val="es-ES_tradnl"/>
        </w:rPr>
        <w:t xml:space="preserve"> </w:t>
      </w:r>
      <w:r w:rsidR="00A72678" w:rsidRPr="00942F7A">
        <w:rPr>
          <w:bCs/>
          <w:sz w:val="22"/>
          <w:szCs w:val="22"/>
          <w:lang w:val="es-ES_tradnl"/>
        </w:rPr>
        <w:t xml:space="preserve">parcialmente </w:t>
      </w:r>
      <w:r w:rsidR="00957BD1" w:rsidRPr="00942F7A">
        <w:rPr>
          <w:bCs/>
          <w:sz w:val="22"/>
          <w:szCs w:val="22"/>
          <w:lang w:val="es-ES_tradnl"/>
        </w:rPr>
        <w:t xml:space="preserve">el Recurso Especial </w:t>
      </w:r>
      <w:r w:rsidR="002A6A72">
        <w:rPr>
          <w:bCs/>
          <w:sz w:val="22"/>
          <w:szCs w:val="22"/>
          <w:lang w:val="es-ES_tradnl"/>
        </w:rPr>
        <w:t>7</w:t>
      </w:r>
      <w:r w:rsidR="00957BD1" w:rsidRPr="00942F7A">
        <w:rPr>
          <w:bCs/>
          <w:sz w:val="22"/>
          <w:szCs w:val="22"/>
          <w:lang w:val="es-ES_tradnl"/>
        </w:rPr>
        <w:t>/202</w:t>
      </w:r>
      <w:r w:rsidR="00721E9C" w:rsidRPr="00942F7A">
        <w:rPr>
          <w:bCs/>
          <w:sz w:val="22"/>
          <w:szCs w:val="22"/>
          <w:lang w:val="es-ES_tradnl"/>
        </w:rPr>
        <w:t>6</w:t>
      </w:r>
      <w:r w:rsidR="00957BD1" w:rsidRPr="00942F7A">
        <w:rPr>
          <w:bCs/>
          <w:sz w:val="22"/>
          <w:szCs w:val="22"/>
          <w:lang w:val="es-ES_tradnl"/>
        </w:rPr>
        <w:t xml:space="preserve">-RE interpuesto por </w:t>
      </w:r>
      <w:r w:rsidR="00721E9C" w:rsidRPr="00942F7A">
        <w:rPr>
          <w:bCs/>
          <w:sz w:val="22"/>
          <w:szCs w:val="22"/>
          <w:lang w:val="es-ES_tradnl"/>
        </w:rPr>
        <w:t>IPAR LOCATION SERVICE, S.L.</w:t>
      </w:r>
      <w:r w:rsidR="009872FA" w:rsidRPr="00942F7A">
        <w:rPr>
          <w:bCs/>
          <w:sz w:val="22"/>
          <w:szCs w:val="22"/>
          <w:lang w:val="es-ES_tradnl"/>
        </w:rPr>
        <w:t xml:space="preserve"> </w:t>
      </w:r>
      <w:r w:rsidR="00957BD1" w:rsidRPr="00942F7A">
        <w:rPr>
          <w:bCs/>
          <w:sz w:val="22"/>
          <w:szCs w:val="22"/>
          <w:lang w:val="es-ES_tradnl"/>
        </w:rPr>
        <w:t xml:space="preserve">contra la </w:t>
      </w:r>
      <w:r w:rsidR="00A72678" w:rsidRPr="00942F7A">
        <w:rPr>
          <w:bCs/>
          <w:sz w:val="22"/>
          <w:szCs w:val="22"/>
          <w:lang w:val="es-ES_tradnl"/>
        </w:rPr>
        <w:t>licitación</w:t>
      </w:r>
      <w:r w:rsidR="00957BD1" w:rsidRPr="00942F7A">
        <w:rPr>
          <w:bCs/>
          <w:sz w:val="22"/>
          <w:szCs w:val="22"/>
          <w:lang w:val="es-ES_tradnl"/>
        </w:rPr>
        <w:t xml:space="preserve"> del contrato de la “</w:t>
      </w:r>
      <w:r w:rsidR="00364596" w:rsidRPr="00942F7A">
        <w:rPr>
          <w:bCs/>
          <w:sz w:val="22"/>
          <w:szCs w:val="22"/>
          <w:lang w:val="es-ES_tradnl"/>
        </w:rPr>
        <w:t>Asistencia Técnica a la Dirección de Desarrollo Económico e Innovación de la Diputación Foral de Álava en materia de promoción de la industria audiovisual en el Territorio</w:t>
      </w:r>
      <w:r w:rsidR="00957BD1" w:rsidRPr="00942F7A">
        <w:rPr>
          <w:bCs/>
          <w:sz w:val="22"/>
          <w:szCs w:val="22"/>
          <w:lang w:val="es-ES_tradnl"/>
        </w:rPr>
        <w:t>”</w:t>
      </w:r>
      <w:r w:rsidR="00A72678" w:rsidRPr="00942F7A">
        <w:rPr>
          <w:bCs/>
          <w:sz w:val="22"/>
          <w:szCs w:val="22"/>
          <w:lang w:val="es-ES_tradnl"/>
        </w:rPr>
        <w:t>, declarando</w:t>
      </w:r>
      <w:r w:rsidR="00A72678" w:rsidRPr="00942F7A">
        <w:rPr>
          <w:bCs/>
          <w:sz w:val="22"/>
          <w:szCs w:val="22"/>
        </w:rPr>
        <w:t xml:space="preserve"> la nulidad del criterio “experiencia trabajando con el sector local”</w:t>
      </w:r>
      <w:r w:rsidR="009466BC">
        <w:rPr>
          <w:bCs/>
          <w:sz w:val="22"/>
          <w:szCs w:val="22"/>
        </w:rPr>
        <w:t xml:space="preserve"> y desestimando el resto de las cuestiones planteadas</w:t>
      </w:r>
      <w:r w:rsidR="00A72678" w:rsidRPr="00942F7A">
        <w:rPr>
          <w:bCs/>
          <w:sz w:val="22"/>
          <w:szCs w:val="22"/>
        </w:rPr>
        <w:t>.</w:t>
      </w:r>
      <w:r w:rsidR="009466BC">
        <w:rPr>
          <w:bCs/>
          <w:sz w:val="22"/>
          <w:szCs w:val="22"/>
        </w:rPr>
        <w:t xml:space="preserve"> </w:t>
      </w:r>
    </w:p>
    <w:p w14:paraId="0CEC08FD" w14:textId="04ABC3E1" w:rsidR="0099149B" w:rsidRPr="00364596" w:rsidRDefault="0099149B" w:rsidP="00B215CC">
      <w:pPr>
        <w:tabs>
          <w:tab w:val="left" w:pos="3261"/>
        </w:tabs>
        <w:spacing w:after="240"/>
        <w:jc w:val="both"/>
        <w:rPr>
          <w:bCs/>
          <w:sz w:val="22"/>
          <w:szCs w:val="22"/>
          <w:lang w:val="es-ES_tradnl"/>
        </w:rPr>
      </w:pPr>
      <w:r w:rsidRPr="00364596">
        <w:rPr>
          <w:b/>
          <w:sz w:val="22"/>
          <w:szCs w:val="22"/>
          <w:lang w:val="es-ES_tradnl"/>
        </w:rPr>
        <w:lastRenderedPageBreak/>
        <w:t>SEGUNDO. -</w:t>
      </w:r>
      <w:r w:rsidRPr="00364596">
        <w:rPr>
          <w:bCs/>
          <w:sz w:val="22"/>
          <w:szCs w:val="22"/>
          <w:lang w:val="es-ES_tradnl"/>
        </w:rPr>
        <w:t xml:space="preserve"> Levantar la suspensión acordada por Resolución </w:t>
      </w:r>
      <w:r w:rsidR="00364596" w:rsidRPr="00364596">
        <w:rPr>
          <w:bCs/>
          <w:sz w:val="22"/>
          <w:szCs w:val="22"/>
          <w:lang w:val="es-ES_tradnl"/>
        </w:rPr>
        <w:t>13</w:t>
      </w:r>
      <w:r w:rsidRPr="00364596">
        <w:rPr>
          <w:bCs/>
          <w:sz w:val="22"/>
          <w:szCs w:val="22"/>
          <w:lang w:val="es-ES_tradnl"/>
        </w:rPr>
        <w:t>/202</w:t>
      </w:r>
      <w:r w:rsidR="00364596" w:rsidRPr="00364596">
        <w:rPr>
          <w:bCs/>
          <w:sz w:val="22"/>
          <w:szCs w:val="22"/>
          <w:lang w:val="es-ES_tradnl"/>
        </w:rPr>
        <w:t>6</w:t>
      </w:r>
      <w:r w:rsidRPr="00364596">
        <w:rPr>
          <w:bCs/>
          <w:sz w:val="22"/>
          <w:szCs w:val="22"/>
          <w:lang w:val="es-ES_tradnl"/>
        </w:rPr>
        <w:t xml:space="preserve">, de </w:t>
      </w:r>
      <w:r w:rsidR="00957BD1" w:rsidRPr="00364596">
        <w:rPr>
          <w:bCs/>
          <w:sz w:val="22"/>
          <w:szCs w:val="22"/>
          <w:lang w:val="es-ES_tradnl"/>
        </w:rPr>
        <w:t>8</w:t>
      </w:r>
      <w:r w:rsidRPr="00364596">
        <w:rPr>
          <w:bCs/>
          <w:sz w:val="22"/>
          <w:szCs w:val="22"/>
          <w:lang w:val="es-ES_tradnl"/>
        </w:rPr>
        <w:t xml:space="preserve"> de </w:t>
      </w:r>
      <w:r w:rsidR="00364596" w:rsidRPr="00364596">
        <w:rPr>
          <w:bCs/>
          <w:sz w:val="22"/>
          <w:szCs w:val="22"/>
          <w:lang w:val="es-ES_tradnl"/>
        </w:rPr>
        <w:t>julio</w:t>
      </w:r>
      <w:r w:rsidRPr="00364596">
        <w:rPr>
          <w:bCs/>
          <w:sz w:val="22"/>
          <w:szCs w:val="22"/>
          <w:lang w:val="es-ES_tradnl"/>
        </w:rPr>
        <w:t>.</w:t>
      </w:r>
    </w:p>
    <w:p w14:paraId="562176EC" w14:textId="77777777" w:rsidR="00583268" w:rsidRPr="0010018F" w:rsidRDefault="0099149B" w:rsidP="0016554C">
      <w:pPr>
        <w:spacing w:after="240" w:line="276" w:lineRule="auto"/>
        <w:jc w:val="both"/>
        <w:rPr>
          <w:sz w:val="22"/>
          <w:szCs w:val="22"/>
          <w:lang w:val="es-ES_tradnl"/>
        </w:rPr>
      </w:pPr>
      <w:r>
        <w:rPr>
          <w:b/>
          <w:sz w:val="22"/>
          <w:szCs w:val="22"/>
          <w:lang w:val="es-ES_tradnl"/>
        </w:rPr>
        <w:t>TERCERO</w:t>
      </w:r>
      <w:r w:rsidR="00583268" w:rsidRPr="0010018F">
        <w:rPr>
          <w:sz w:val="22"/>
          <w:szCs w:val="22"/>
          <w:lang w:val="es-ES_tradnl"/>
        </w:rPr>
        <w:t>. - Declarar que no se aprecia la concurrencia de mala fe o temeridad en la interposición de</w:t>
      </w:r>
      <w:r w:rsidR="00A65391">
        <w:rPr>
          <w:sz w:val="22"/>
          <w:szCs w:val="22"/>
          <w:lang w:val="es-ES_tradnl"/>
        </w:rPr>
        <w:t xml:space="preserve"> </w:t>
      </w:r>
      <w:r w:rsidR="00583268" w:rsidRPr="0010018F">
        <w:rPr>
          <w:sz w:val="22"/>
          <w:szCs w:val="22"/>
          <w:lang w:val="es-ES_tradnl"/>
        </w:rPr>
        <w:t>l</w:t>
      </w:r>
      <w:r w:rsidR="00A65391">
        <w:rPr>
          <w:sz w:val="22"/>
          <w:szCs w:val="22"/>
          <w:lang w:val="es-ES_tradnl"/>
        </w:rPr>
        <w:t>os</w:t>
      </w:r>
      <w:r w:rsidR="00583268" w:rsidRPr="0010018F">
        <w:rPr>
          <w:sz w:val="22"/>
          <w:szCs w:val="22"/>
          <w:lang w:val="es-ES_tradnl"/>
        </w:rPr>
        <w:t xml:space="preserve"> recurso</w:t>
      </w:r>
      <w:r w:rsidR="00A65391">
        <w:rPr>
          <w:sz w:val="22"/>
          <w:szCs w:val="22"/>
          <w:lang w:val="es-ES_tradnl"/>
        </w:rPr>
        <w:t>s</w:t>
      </w:r>
      <w:r w:rsidR="00583268" w:rsidRPr="0010018F">
        <w:rPr>
          <w:sz w:val="22"/>
          <w:szCs w:val="22"/>
          <w:lang w:val="es-ES_tradnl"/>
        </w:rPr>
        <w:t xml:space="preserve">, por lo que no procede la imposición de sanción prevista en el artículo 58.2 de la LCSP. </w:t>
      </w:r>
    </w:p>
    <w:p w14:paraId="5CDC3198" w14:textId="77777777" w:rsidR="00583268" w:rsidRDefault="00583268" w:rsidP="0016554C">
      <w:pPr>
        <w:spacing w:after="240" w:line="276" w:lineRule="auto"/>
        <w:jc w:val="both"/>
        <w:rPr>
          <w:sz w:val="22"/>
          <w:szCs w:val="22"/>
          <w:lang w:val="es-ES_tradnl"/>
        </w:rPr>
      </w:pPr>
      <w:r w:rsidRPr="0010018F">
        <w:rPr>
          <w:sz w:val="22"/>
          <w:szCs w:val="22"/>
          <w:lang w:val="es-ES_tradnl"/>
        </w:rPr>
        <w:t xml:space="preserve">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 </w:t>
      </w:r>
    </w:p>
    <w:p w14:paraId="2CF0269A" w14:textId="77777777" w:rsidR="002D1668" w:rsidRDefault="002D1668" w:rsidP="0016554C">
      <w:pPr>
        <w:spacing w:after="240" w:line="276" w:lineRule="auto"/>
        <w:jc w:val="both"/>
        <w:rPr>
          <w:sz w:val="22"/>
          <w:szCs w:val="22"/>
          <w:lang w:val="es-ES_tradnl"/>
        </w:rPr>
      </w:pPr>
    </w:p>
    <w:p w14:paraId="7524713E" w14:textId="77777777" w:rsidR="008D401F" w:rsidRDefault="008D401F" w:rsidP="0016554C">
      <w:pPr>
        <w:spacing w:after="240" w:line="276" w:lineRule="auto"/>
        <w:jc w:val="both"/>
        <w:rPr>
          <w:sz w:val="22"/>
          <w:szCs w:val="22"/>
          <w:lang w:val="es-ES_tradnl"/>
        </w:rPr>
      </w:pPr>
    </w:p>
    <w:p w14:paraId="53E4EC8F" w14:textId="77777777" w:rsidR="006E6663" w:rsidRPr="0010018F" w:rsidRDefault="006E6663" w:rsidP="0016554C">
      <w:pPr>
        <w:spacing w:after="240" w:line="276" w:lineRule="auto"/>
        <w:jc w:val="both"/>
        <w:rPr>
          <w:sz w:val="22"/>
          <w:szCs w:val="22"/>
          <w:lang w:val="es-ES_tradnl"/>
        </w:rPr>
      </w:pPr>
    </w:p>
    <w:sectPr w:rsidR="006E6663" w:rsidRPr="0010018F">
      <w:headerReference w:type="default" r:id="rId8"/>
      <w:footerReference w:type="even" r:id="rId9"/>
      <w:footerReference w:type="default" r:id="rId10"/>
      <w:headerReference w:type="first" r:id="rId11"/>
      <w:footerReference w:type="first" r:id="rId12"/>
      <w:pgSz w:w="11906" w:h="16838" w:code="9"/>
      <w:pgMar w:top="1418" w:right="1701" w:bottom="1418" w:left="1701" w:header="624" w:footer="6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1E34D" w14:textId="77777777" w:rsidR="0034088A" w:rsidRDefault="0034088A">
      <w:r>
        <w:separator/>
      </w:r>
    </w:p>
  </w:endnote>
  <w:endnote w:type="continuationSeparator" w:id="0">
    <w:p w14:paraId="4D6E1045" w14:textId="77777777" w:rsidR="0034088A" w:rsidRDefault="0034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5632B"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D7A2DDA" w14:textId="77777777" w:rsidR="000A14FE" w:rsidRDefault="000A14F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19AB" w14:textId="77777777" w:rsidR="000A14FE" w:rsidRDefault="000A14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00F29">
      <w:rPr>
        <w:rStyle w:val="Nmerodepgina"/>
        <w:noProof/>
      </w:rPr>
      <w:t>4</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p w14:paraId="11C77005" w14:textId="77777777" w:rsidR="000A14FE" w:rsidRDefault="000A14FE">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7EEE1" w14:textId="77777777" w:rsidR="000A14FE" w:rsidRDefault="000A14FE">
    <w:pPr>
      <w:pStyle w:val="Piedepgina"/>
      <w:jc w:val="right"/>
    </w:pPr>
    <w:r>
      <w:rPr>
        <w:rStyle w:val="Nmerodepgina"/>
      </w:rPr>
      <w:fldChar w:fldCharType="begin"/>
    </w:r>
    <w:r>
      <w:rPr>
        <w:rStyle w:val="Nmerodepgina"/>
      </w:rPr>
      <w:instrText xml:space="preserve"> PAGE </w:instrText>
    </w:r>
    <w:r>
      <w:rPr>
        <w:rStyle w:val="Nmerodepgina"/>
      </w:rPr>
      <w:fldChar w:fldCharType="separate"/>
    </w:r>
    <w:r w:rsidR="00200F29">
      <w:rPr>
        <w:rStyle w:val="Nmerodepgina"/>
        <w:noProof/>
      </w:rPr>
      <w:t>1</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00F29">
      <w:rPr>
        <w:rStyle w:val="Nmerodepgina"/>
        <w:noProof/>
      </w:rPr>
      <w:t>4</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1FCDE" w14:textId="77777777" w:rsidR="0034088A" w:rsidRDefault="0034088A">
      <w:r>
        <w:separator/>
      </w:r>
    </w:p>
  </w:footnote>
  <w:footnote w:type="continuationSeparator" w:id="0">
    <w:p w14:paraId="366BAC5E" w14:textId="77777777" w:rsidR="0034088A" w:rsidRDefault="00340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0A14FE" w14:paraId="34E67231" w14:textId="77777777">
      <w:trPr>
        <w:cantSplit/>
        <w:trHeight w:val="338"/>
      </w:trPr>
      <w:tc>
        <w:tcPr>
          <w:tcW w:w="3856" w:type="dxa"/>
        </w:tcPr>
        <w:p w14:paraId="06376F39" w14:textId="77777777" w:rsidR="000A14FE" w:rsidRDefault="000A14FE">
          <w:pPr>
            <w:pStyle w:val="Encabezado"/>
          </w:pPr>
        </w:p>
      </w:tc>
      <w:tc>
        <w:tcPr>
          <w:tcW w:w="1361" w:type="dxa"/>
          <w:vMerge w:val="restart"/>
        </w:tcPr>
        <w:p w14:paraId="17B281D3" w14:textId="3D96C4ED" w:rsidR="000A14FE" w:rsidRDefault="002735C5">
          <w:pPr>
            <w:pStyle w:val="Encabezado"/>
            <w:jc w:val="center"/>
          </w:pPr>
          <w:r>
            <w:rPr>
              <w:noProof/>
            </w:rPr>
            <w:drawing>
              <wp:inline distT="0" distB="0" distL="0" distR="0" wp14:anchorId="61FF38A7" wp14:editId="046BFB5D">
                <wp:extent cx="428625" cy="428625"/>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62B4442" w14:textId="77777777" w:rsidR="000A14FE" w:rsidRDefault="000A14FE">
          <w:pPr>
            <w:pStyle w:val="Encabezado"/>
          </w:pPr>
        </w:p>
      </w:tc>
    </w:tr>
    <w:tr w:rsidR="000A14FE" w14:paraId="6406862B" w14:textId="77777777">
      <w:trPr>
        <w:cantSplit/>
        <w:trHeight w:val="337"/>
      </w:trPr>
      <w:tc>
        <w:tcPr>
          <w:tcW w:w="3856" w:type="dxa"/>
        </w:tcPr>
        <w:p w14:paraId="07B78FF4" w14:textId="77777777" w:rsidR="000A14FE" w:rsidRDefault="000A14FE">
          <w:pPr>
            <w:pStyle w:val="Encabezado"/>
          </w:pPr>
        </w:p>
      </w:tc>
      <w:tc>
        <w:tcPr>
          <w:tcW w:w="1361" w:type="dxa"/>
          <w:vMerge/>
        </w:tcPr>
        <w:p w14:paraId="281A486D" w14:textId="77777777" w:rsidR="000A14FE" w:rsidRDefault="000A14FE">
          <w:pPr>
            <w:pStyle w:val="Encabezado"/>
            <w:jc w:val="center"/>
          </w:pPr>
        </w:p>
      </w:tc>
      <w:tc>
        <w:tcPr>
          <w:tcW w:w="3856" w:type="dxa"/>
        </w:tcPr>
        <w:p w14:paraId="13594DB3" w14:textId="77777777" w:rsidR="000A14FE" w:rsidRDefault="000A14FE">
          <w:pPr>
            <w:pStyle w:val="Encabezado"/>
          </w:pPr>
        </w:p>
      </w:tc>
    </w:tr>
  </w:tbl>
  <w:p w14:paraId="69561E06" w14:textId="77777777" w:rsidR="000A14FE" w:rsidRDefault="000A14F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5173"/>
      <w:gridCol w:w="4678"/>
    </w:tblGrid>
    <w:tr w:rsidR="000A14FE" w14:paraId="2CD282A2" w14:textId="77777777" w:rsidTr="00583268">
      <w:tc>
        <w:tcPr>
          <w:tcW w:w="5173" w:type="dxa"/>
        </w:tcPr>
        <w:p w14:paraId="3000952E" w14:textId="4CA810F5" w:rsidR="000A14FE" w:rsidRDefault="002735C5">
          <w:pPr>
            <w:pStyle w:val="Encabezado"/>
            <w:spacing w:after="720"/>
            <w:ind w:left="74" w:right="360"/>
            <w:rPr>
              <w:noProof/>
              <w:sz w:val="16"/>
            </w:rPr>
          </w:pPr>
          <w:r>
            <w:rPr>
              <w:noProof/>
              <w:sz w:val="20"/>
            </w:rPr>
            <w:drawing>
              <wp:inline distT="0" distB="0" distL="0" distR="0" wp14:anchorId="172D5701" wp14:editId="16BF86EE">
                <wp:extent cx="2076450" cy="71437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14375"/>
                        </a:xfrm>
                        <a:prstGeom prst="rect">
                          <a:avLst/>
                        </a:prstGeom>
                        <a:noFill/>
                        <a:ln>
                          <a:noFill/>
                        </a:ln>
                      </pic:spPr>
                    </pic:pic>
                  </a:graphicData>
                </a:graphic>
              </wp:inline>
            </w:drawing>
          </w:r>
        </w:p>
        <w:p w14:paraId="2167D2AA" w14:textId="77777777" w:rsidR="000A14FE" w:rsidRDefault="000A14FE">
          <w:pPr>
            <w:pStyle w:val="Encabezado"/>
            <w:ind w:left="1064"/>
            <w:rPr>
              <w:noProof/>
              <w:sz w:val="16"/>
            </w:rPr>
          </w:pPr>
        </w:p>
      </w:tc>
      <w:tc>
        <w:tcPr>
          <w:tcW w:w="4678" w:type="dxa"/>
        </w:tcPr>
        <w:p w14:paraId="27098C24" w14:textId="77777777" w:rsidR="000A14FE" w:rsidRDefault="000A14FE">
          <w:pPr>
            <w:pStyle w:val="Encabezado"/>
            <w:spacing w:after="40" w:line="240" w:lineRule="exact"/>
            <w:ind w:left="-68"/>
            <w:rPr>
              <w:b/>
              <w:noProof/>
              <w:sz w:val="18"/>
            </w:rPr>
          </w:pPr>
        </w:p>
        <w:p w14:paraId="34520663" w14:textId="77777777" w:rsidR="000A14FE" w:rsidRDefault="000A14FE">
          <w:pPr>
            <w:pStyle w:val="Encabezado"/>
            <w:spacing w:after="40" w:line="240" w:lineRule="exact"/>
            <w:ind w:left="-68"/>
            <w:rPr>
              <w:b/>
              <w:noProof/>
              <w:sz w:val="18"/>
            </w:rPr>
          </w:pPr>
        </w:p>
        <w:p w14:paraId="49CBDE7A" w14:textId="77777777" w:rsidR="000A14FE" w:rsidRDefault="000A14FE">
          <w:pPr>
            <w:pStyle w:val="Encabezado"/>
            <w:spacing w:after="60" w:line="190" w:lineRule="exact"/>
            <w:ind w:left="-70"/>
            <w:rPr>
              <w:noProof/>
              <w:sz w:val="18"/>
            </w:rPr>
          </w:pPr>
          <w:r>
            <w:rPr>
              <w:b/>
              <w:noProof/>
              <w:sz w:val="18"/>
            </w:rPr>
            <w:t>Kontratu Errekurtsoen Foru Organo Administriboa</w:t>
          </w:r>
        </w:p>
        <w:p w14:paraId="2D22D858" w14:textId="77777777" w:rsidR="000A14FE" w:rsidRDefault="000A14FE">
          <w:pPr>
            <w:pStyle w:val="Encabezado"/>
            <w:spacing w:after="60" w:line="190" w:lineRule="exact"/>
            <w:ind w:left="-70"/>
            <w:rPr>
              <w:b/>
              <w:noProof/>
              <w:sz w:val="18"/>
            </w:rPr>
          </w:pPr>
          <w:r>
            <w:rPr>
              <w:b/>
              <w:noProof/>
              <w:sz w:val="18"/>
            </w:rPr>
            <w:t xml:space="preserve">Organo Administrativo Foral de Recursos Contractuales </w:t>
          </w:r>
        </w:p>
      </w:tc>
    </w:tr>
  </w:tbl>
  <w:p w14:paraId="22EA5273" w14:textId="77777777" w:rsidR="000A14FE" w:rsidRDefault="000A14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FFFFFFFF">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727869"/>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BAB4BE1"/>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0BC544BF"/>
    <w:multiLevelType w:val="hybridMultilevel"/>
    <w:tmpl w:val="3B7EE016"/>
    <w:lvl w:ilvl="0" w:tplc="2DD238C8">
      <w:start w:val="1"/>
      <w:numFmt w:val="lowerRoman"/>
      <w:lvlText w:val="(%1)"/>
      <w:lvlJc w:val="left"/>
      <w:pPr>
        <w:ind w:left="1341" w:hanging="720"/>
      </w:pPr>
      <w:rPr>
        <w:rFonts w:hint="default"/>
        <w:color w:val="auto"/>
      </w:rPr>
    </w:lvl>
    <w:lvl w:ilvl="1" w:tplc="0C0A0019" w:tentative="1">
      <w:start w:val="1"/>
      <w:numFmt w:val="lowerLetter"/>
      <w:lvlText w:val="%2."/>
      <w:lvlJc w:val="left"/>
      <w:pPr>
        <w:ind w:left="1701" w:hanging="360"/>
      </w:pPr>
    </w:lvl>
    <w:lvl w:ilvl="2" w:tplc="0C0A001B" w:tentative="1">
      <w:start w:val="1"/>
      <w:numFmt w:val="lowerRoman"/>
      <w:lvlText w:val="%3."/>
      <w:lvlJc w:val="right"/>
      <w:pPr>
        <w:ind w:left="2421" w:hanging="180"/>
      </w:pPr>
    </w:lvl>
    <w:lvl w:ilvl="3" w:tplc="0C0A000F" w:tentative="1">
      <w:start w:val="1"/>
      <w:numFmt w:val="decimal"/>
      <w:lvlText w:val="%4."/>
      <w:lvlJc w:val="left"/>
      <w:pPr>
        <w:ind w:left="3141" w:hanging="360"/>
      </w:pPr>
    </w:lvl>
    <w:lvl w:ilvl="4" w:tplc="0C0A0019" w:tentative="1">
      <w:start w:val="1"/>
      <w:numFmt w:val="lowerLetter"/>
      <w:lvlText w:val="%5."/>
      <w:lvlJc w:val="left"/>
      <w:pPr>
        <w:ind w:left="3861" w:hanging="360"/>
      </w:pPr>
    </w:lvl>
    <w:lvl w:ilvl="5" w:tplc="0C0A001B" w:tentative="1">
      <w:start w:val="1"/>
      <w:numFmt w:val="lowerRoman"/>
      <w:lvlText w:val="%6."/>
      <w:lvlJc w:val="right"/>
      <w:pPr>
        <w:ind w:left="4581" w:hanging="180"/>
      </w:pPr>
    </w:lvl>
    <w:lvl w:ilvl="6" w:tplc="0C0A000F" w:tentative="1">
      <w:start w:val="1"/>
      <w:numFmt w:val="decimal"/>
      <w:lvlText w:val="%7."/>
      <w:lvlJc w:val="left"/>
      <w:pPr>
        <w:ind w:left="5301" w:hanging="360"/>
      </w:pPr>
    </w:lvl>
    <w:lvl w:ilvl="7" w:tplc="0C0A0019" w:tentative="1">
      <w:start w:val="1"/>
      <w:numFmt w:val="lowerLetter"/>
      <w:lvlText w:val="%8."/>
      <w:lvlJc w:val="left"/>
      <w:pPr>
        <w:ind w:left="6021" w:hanging="360"/>
      </w:pPr>
    </w:lvl>
    <w:lvl w:ilvl="8" w:tplc="0C0A001B" w:tentative="1">
      <w:start w:val="1"/>
      <w:numFmt w:val="lowerRoman"/>
      <w:lvlText w:val="%9."/>
      <w:lvlJc w:val="right"/>
      <w:pPr>
        <w:ind w:left="6741" w:hanging="180"/>
      </w:pPr>
    </w:lvl>
  </w:abstractNum>
  <w:abstractNum w:abstractNumId="4" w15:restartNumberingAfterBreak="0">
    <w:nsid w:val="1D126A41"/>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41555F"/>
    <w:multiLevelType w:val="hybridMultilevel"/>
    <w:tmpl w:val="3E6E5640"/>
    <w:lvl w:ilvl="0" w:tplc="DF2638C4">
      <w:start w:val="1"/>
      <w:numFmt w:val="lowerRoman"/>
      <w:lvlText w:val="(%1)"/>
      <w:lvlJc w:val="left"/>
      <w:pPr>
        <w:ind w:left="1428" w:hanging="72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3E003DF"/>
    <w:multiLevelType w:val="hybridMultilevel"/>
    <w:tmpl w:val="5590065C"/>
    <w:lvl w:ilvl="0" w:tplc="41B62ED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BB32944"/>
    <w:multiLevelType w:val="hybridMultilevel"/>
    <w:tmpl w:val="0BAC2E8C"/>
    <w:lvl w:ilvl="0" w:tplc="266663EE">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CE92692"/>
    <w:multiLevelType w:val="hybridMultilevel"/>
    <w:tmpl w:val="12B860C4"/>
    <w:lvl w:ilvl="0" w:tplc="A7B2D7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DAE2F64"/>
    <w:multiLevelType w:val="singleLevel"/>
    <w:tmpl w:val="0C0A0017"/>
    <w:lvl w:ilvl="0">
      <w:start w:val="1"/>
      <w:numFmt w:val="lowerLetter"/>
      <w:lvlText w:val="%1)"/>
      <w:lvlJc w:val="left"/>
      <w:pPr>
        <w:tabs>
          <w:tab w:val="num" w:pos="360"/>
        </w:tabs>
        <w:ind w:left="360" w:hanging="360"/>
      </w:pPr>
      <w:rPr>
        <w:rFonts w:hint="default"/>
        <w:i w:val="0"/>
      </w:rPr>
    </w:lvl>
  </w:abstractNum>
  <w:abstractNum w:abstractNumId="10" w15:restartNumberingAfterBreak="0">
    <w:nsid w:val="2EDA23C0"/>
    <w:multiLevelType w:val="multilevel"/>
    <w:tmpl w:val="7D78DAC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A967C5"/>
    <w:multiLevelType w:val="hybridMultilevel"/>
    <w:tmpl w:val="ABF0A5F2"/>
    <w:lvl w:ilvl="0" w:tplc="FFFFFFFF">
      <w:start w:val="1"/>
      <w:numFmt w:val="bullet"/>
      <w:lvlText w:val="-"/>
      <w:lvlJc w:val="left"/>
      <w:pPr>
        <w:ind w:left="360" w:hanging="360"/>
      </w:pPr>
      <w:rPr>
        <w:rFonts w:ascii="Times New Roman" w:eastAsia="Times New Roman" w:hAnsi="Times New Roman" w:cs="Times New Roman"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3C247464"/>
    <w:multiLevelType w:val="hybridMultilevel"/>
    <w:tmpl w:val="3E6E5640"/>
    <w:lvl w:ilvl="0" w:tplc="FFFFFFFF">
      <w:start w:val="1"/>
      <w:numFmt w:val="lowerRoman"/>
      <w:lvlText w:val="(%1)"/>
      <w:lvlJc w:val="left"/>
      <w:pPr>
        <w:ind w:left="1428" w:hanging="72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40F5456D"/>
    <w:multiLevelType w:val="hybridMultilevel"/>
    <w:tmpl w:val="EDE86FBC"/>
    <w:lvl w:ilvl="0" w:tplc="6854EF4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34F6032"/>
    <w:multiLevelType w:val="multilevel"/>
    <w:tmpl w:val="3744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F24DE0"/>
    <w:multiLevelType w:val="singleLevel"/>
    <w:tmpl w:val="A1FA6A06"/>
    <w:lvl w:ilvl="0">
      <w:numFmt w:val="bullet"/>
      <w:lvlText w:val="-"/>
      <w:lvlJc w:val="left"/>
      <w:pPr>
        <w:tabs>
          <w:tab w:val="num" w:pos="360"/>
        </w:tabs>
        <w:ind w:left="360" w:hanging="360"/>
      </w:pPr>
      <w:rPr>
        <w:rFonts w:hint="default"/>
      </w:rPr>
    </w:lvl>
  </w:abstractNum>
  <w:abstractNum w:abstractNumId="16" w15:restartNumberingAfterBreak="0">
    <w:nsid w:val="447B63F0"/>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8221109"/>
    <w:multiLevelType w:val="singleLevel"/>
    <w:tmpl w:val="637C1540"/>
    <w:lvl w:ilvl="0">
      <w:numFmt w:val="bullet"/>
      <w:lvlText w:val="-"/>
      <w:lvlJc w:val="left"/>
      <w:pPr>
        <w:tabs>
          <w:tab w:val="num" w:pos="360"/>
        </w:tabs>
        <w:ind w:left="360" w:hanging="360"/>
      </w:pPr>
      <w:rPr>
        <w:rFonts w:hint="default"/>
      </w:rPr>
    </w:lvl>
  </w:abstractNum>
  <w:abstractNum w:abstractNumId="18" w15:restartNumberingAfterBreak="0">
    <w:nsid w:val="4B750CCB"/>
    <w:multiLevelType w:val="singleLevel"/>
    <w:tmpl w:val="0C0A000F"/>
    <w:lvl w:ilvl="0">
      <w:start w:val="1"/>
      <w:numFmt w:val="decimal"/>
      <w:lvlText w:val="%1."/>
      <w:lvlJc w:val="left"/>
      <w:pPr>
        <w:tabs>
          <w:tab w:val="num" w:pos="360"/>
        </w:tabs>
        <w:ind w:left="360" w:hanging="360"/>
      </w:pPr>
      <w:rPr>
        <w:rFonts w:hint="default"/>
      </w:rPr>
    </w:lvl>
  </w:abstractNum>
  <w:abstractNum w:abstractNumId="19" w15:restartNumberingAfterBreak="0">
    <w:nsid w:val="4D6D07E8"/>
    <w:multiLevelType w:val="singleLevel"/>
    <w:tmpl w:val="0C0A0017"/>
    <w:lvl w:ilvl="0">
      <w:start w:val="1"/>
      <w:numFmt w:val="lowerLetter"/>
      <w:lvlText w:val="%1)"/>
      <w:lvlJc w:val="left"/>
      <w:pPr>
        <w:tabs>
          <w:tab w:val="num" w:pos="360"/>
        </w:tabs>
        <w:ind w:left="360" w:hanging="360"/>
      </w:pPr>
      <w:rPr>
        <w:rFonts w:hint="default"/>
      </w:rPr>
    </w:lvl>
  </w:abstractNum>
  <w:abstractNum w:abstractNumId="20" w15:restartNumberingAfterBreak="0">
    <w:nsid w:val="5F643C8B"/>
    <w:multiLevelType w:val="singleLevel"/>
    <w:tmpl w:val="560684A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3C253CE"/>
    <w:multiLevelType w:val="singleLevel"/>
    <w:tmpl w:val="0C0A000F"/>
    <w:lvl w:ilvl="0">
      <w:start w:val="1"/>
      <w:numFmt w:val="decimal"/>
      <w:lvlText w:val="%1."/>
      <w:lvlJc w:val="left"/>
      <w:pPr>
        <w:tabs>
          <w:tab w:val="num" w:pos="360"/>
        </w:tabs>
        <w:ind w:left="360" w:hanging="360"/>
      </w:pPr>
      <w:rPr>
        <w:rFonts w:hint="default"/>
      </w:rPr>
    </w:lvl>
  </w:abstractNum>
  <w:abstractNum w:abstractNumId="22" w15:restartNumberingAfterBreak="0">
    <w:nsid w:val="69663DF0"/>
    <w:multiLevelType w:val="hybridMultilevel"/>
    <w:tmpl w:val="E1A66280"/>
    <w:lvl w:ilvl="0" w:tplc="A7B2D74C">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15:restartNumberingAfterBreak="0">
    <w:nsid w:val="6CF95CDF"/>
    <w:multiLevelType w:val="singleLevel"/>
    <w:tmpl w:val="0C0A0017"/>
    <w:lvl w:ilvl="0">
      <w:start w:val="1"/>
      <w:numFmt w:val="lowerLetter"/>
      <w:lvlText w:val="%1)"/>
      <w:lvlJc w:val="left"/>
      <w:pPr>
        <w:tabs>
          <w:tab w:val="num" w:pos="360"/>
        </w:tabs>
        <w:ind w:left="360" w:hanging="360"/>
      </w:pPr>
      <w:rPr>
        <w:rFonts w:hint="default"/>
      </w:rPr>
    </w:lvl>
  </w:abstractNum>
  <w:abstractNum w:abstractNumId="24" w15:restartNumberingAfterBreak="0">
    <w:nsid w:val="6D85505A"/>
    <w:multiLevelType w:val="singleLevel"/>
    <w:tmpl w:val="0C0A0017"/>
    <w:lvl w:ilvl="0">
      <w:start w:val="1"/>
      <w:numFmt w:val="lowerLetter"/>
      <w:lvlText w:val="%1)"/>
      <w:lvlJc w:val="left"/>
      <w:pPr>
        <w:tabs>
          <w:tab w:val="num" w:pos="360"/>
        </w:tabs>
        <w:ind w:left="360" w:hanging="360"/>
      </w:pPr>
      <w:rPr>
        <w:rFonts w:hint="default"/>
      </w:rPr>
    </w:lvl>
  </w:abstractNum>
  <w:abstractNum w:abstractNumId="25" w15:restartNumberingAfterBreak="0">
    <w:nsid w:val="714B26C4"/>
    <w:multiLevelType w:val="singleLevel"/>
    <w:tmpl w:val="0C0A000F"/>
    <w:lvl w:ilvl="0">
      <w:start w:val="1"/>
      <w:numFmt w:val="decimal"/>
      <w:lvlText w:val="%1."/>
      <w:lvlJc w:val="left"/>
      <w:pPr>
        <w:tabs>
          <w:tab w:val="num" w:pos="360"/>
        </w:tabs>
        <w:ind w:left="360" w:hanging="360"/>
      </w:pPr>
    </w:lvl>
  </w:abstractNum>
  <w:abstractNum w:abstractNumId="26" w15:restartNumberingAfterBreak="0">
    <w:nsid w:val="736D603E"/>
    <w:multiLevelType w:val="singleLevel"/>
    <w:tmpl w:val="FB9053E6"/>
    <w:lvl w:ilvl="0">
      <w:numFmt w:val="bullet"/>
      <w:lvlText w:val=""/>
      <w:lvlJc w:val="left"/>
      <w:pPr>
        <w:tabs>
          <w:tab w:val="num" w:pos="360"/>
        </w:tabs>
        <w:ind w:left="360" w:hanging="360"/>
      </w:pPr>
      <w:rPr>
        <w:rFonts w:ascii="Wingdings" w:hAnsi="Wingdings" w:hint="default"/>
      </w:rPr>
    </w:lvl>
  </w:abstractNum>
  <w:abstractNum w:abstractNumId="27" w15:restartNumberingAfterBreak="0">
    <w:nsid w:val="74D903FC"/>
    <w:multiLevelType w:val="hybridMultilevel"/>
    <w:tmpl w:val="44C234A0"/>
    <w:lvl w:ilvl="0" w:tplc="71C8736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7C4713AE"/>
    <w:multiLevelType w:val="hybridMultilevel"/>
    <w:tmpl w:val="B1EC214E"/>
    <w:lvl w:ilvl="0" w:tplc="0ADAA2A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F9D73E7"/>
    <w:multiLevelType w:val="hybridMultilevel"/>
    <w:tmpl w:val="BBD8C9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2339432">
    <w:abstractNumId w:val="23"/>
  </w:num>
  <w:num w:numId="2" w16cid:durableId="1503816547">
    <w:abstractNumId w:val="21"/>
  </w:num>
  <w:num w:numId="3" w16cid:durableId="2060742399">
    <w:abstractNumId w:val="18"/>
  </w:num>
  <w:num w:numId="4" w16cid:durableId="2144299549">
    <w:abstractNumId w:val="2"/>
  </w:num>
  <w:num w:numId="5" w16cid:durableId="462313249">
    <w:abstractNumId w:val="9"/>
  </w:num>
  <w:num w:numId="6" w16cid:durableId="1155342504">
    <w:abstractNumId w:val="26"/>
  </w:num>
  <w:num w:numId="7" w16cid:durableId="2025744869">
    <w:abstractNumId w:val="19"/>
  </w:num>
  <w:num w:numId="8" w16cid:durableId="1229729385">
    <w:abstractNumId w:val="10"/>
  </w:num>
  <w:num w:numId="9" w16cid:durableId="965703061">
    <w:abstractNumId w:val="24"/>
  </w:num>
  <w:num w:numId="10" w16cid:durableId="528228367">
    <w:abstractNumId w:val="17"/>
  </w:num>
  <w:num w:numId="11" w16cid:durableId="414205959">
    <w:abstractNumId w:val="0"/>
  </w:num>
  <w:num w:numId="12" w16cid:durableId="24137842">
    <w:abstractNumId w:val="15"/>
  </w:num>
  <w:num w:numId="13" w16cid:durableId="1777096730">
    <w:abstractNumId w:val="16"/>
  </w:num>
  <w:num w:numId="14" w16cid:durableId="949166001">
    <w:abstractNumId w:val="4"/>
  </w:num>
  <w:num w:numId="15" w16cid:durableId="1979797637">
    <w:abstractNumId w:val="25"/>
  </w:num>
  <w:num w:numId="16" w16cid:durableId="1153183032">
    <w:abstractNumId w:val="20"/>
  </w:num>
  <w:num w:numId="17" w16cid:durableId="1720543661">
    <w:abstractNumId w:val="1"/>
  </w:num>
  <w:num w:numId="18" w16cid:durableId="1360084432">
    <w:abstractNumId w:val="8"/>
  </w:num>
  <w:num w:numId="19" w16cid:durableId="530264222">
    <w:abstractNumId w:val="22"/>
  </w:num>
  <w:num w:numId="20" w16cid:durableId="1714765976">
    <w:abstractNumId w:val="27"/>
  </w:num>
  <w:num w:numId="21" w16cid:durableId="948855324">
    <w:abstractNumId w:val="7"/>
  </w:num>
  <w:num w:numId="22" w16cid:durableId="88622995">
    <w:abstractNumId w:val="3"/>
  </w:num>
  <w:num w:numId="23" w16cid:durableId="202060682">
    <w:abstractNumId w:val="13"/>
  </w:num>
  <w:num w:numId="24" w16cid:durableId="1719472797">
    <w:abstractNumId w:val="5"/>
  </w:num>
  <w:num w:numId="25" w16cid:durableId="1449540847">
    <w:abstractNumId w:val="28"/>
  </w:num>
  <w:num w:numId="26" w16cid:durableId="1693258444">
    <w:abstractNumId w:val="29"/>
  </w:num>
  <w:num w:numId="27" w16cid:durableId="1268805032">
    <w:abstractNumId w:val="14"/>
  </w:num>
  <w:num w:numId="28" w16cid:durableId="36469307">
    <w:abstractNumId w:val="12"/>
  </w:num>
  <w:num w:numId="29" w16cid:durableId="1255744510">
    <w:abstractNumId w:val="11"/>
  </w:num>
  <w:num w:numId="30" w16cid:durableId="5540462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D09"/>
    <w:rsid w:val="00000D7A"/>
    <w:rsid w:val="00001586"/>
    <w:rsid w:val="00003588"/>
    <w:rsid w:val="00004560"/>
    <w:rsid w:val="0000480F"/>
    <w:rsid w:val="00020C36"/>
    <w:rsid w:val="000264DB"/>
    <w:rsid w:val="00030E45"/>
    <w:rsid w:val="00032A4F"/>
    <w:rsid w:val="00035325"/>
    <w:rsid w:val="0003707D"/>
    <w:rsid w:val="000427F4"/>
    <w:rsid w:val="000465EE"/>
    <w:rsid w:val="00055EE7"/>
    <w:rsid w:val="0007340F"/>
    <w:rsid w:val="0007443A"/>
    <w:rsid w:val="00074605"/>
    <w:rsid w:val="0008105F"/>
    <w:rsid w:val="00085F54"/>
    <w:rsid w:val="000878CC"/>
    <w:rsid w:val="000900DE"/>
    <w:rsid w:val="00094A77"/>
    <w:rsid w:val="000A10BD"/>
    <w:rsid w:val="000A1435"/>
    <w:rsid w:val="000A14FE"/>
    <w:rsid w:val="000A63D4"/>
    <w:rsid w:val="000B2D57"/>
    <w:rsid w:val="000B6A48"/>
    <w:rsid w:val="000D5499"/>
    <w:rsid w:val="000E03ED"/>
    <w:rsid w:val="000E19CB"/>
    <w:rsid w:val="000E59A0"/>
    <w:rsid w:val="000F46F5"/>
    <w:rsid w:val="000F504C"/>
    <w:rsid w:val="0010018F"/>
    <w:rsid w:val="00102A21"/>
    <w:rsid w:val="001036FF"/>
    <w:rsid w:val="00111224"/>
    <w:rsid w:val="001117B8"/>
    <w:rsid w:val="00112014"/>
    <w:rsid w:val="00112F6B"/>
    <w:rsid w:val="00115839"/>
    <w:rsid w:val="00117510"/>
    <w:rsid w:val="00131AB7"/>
    <w:rsid w:val="00141ACE"/>
    <w:rsid w:val="001435DE"/>
    <w:rsid w:val="0014506E"/>
    <w:rsid w:val="0014642A"/>
    <w:rsid w:val="001508D6"/>
    <w:rsid w:val="00160A0C"/>
    <w:rsid w:val="0016554C"/>
    <w:rsid w:val="001713A9"/>
    <w:rsid w:val="00171536"/>
    <w:rsid w:val="00173641"/>
    <w:rsid w:val="00174440"/>
    <w:rsid w:val="00174A62"/>
    <w:rsid w:val="001803B3"/>
    <w:rsid w:val="00182775"/>
    <w:rsid w:val="001846C4"/>
    <w:rsid w:val="00186D2A"/>
    <w:rsid w:val="00187C98"/>
    <w:rsid w:val="00191429"/>
    <w:rsid w:val="00197089"/>
    <w:rsid w:val="001B3463"/>
    <w:rsid w:val="001B44D6"/>
    <w:rsid w:val="001B51DA"/>
    <w:rsid w:val="001C02E4"/>
    <w:rsid w:val="001C1A32"/>
    <w:rsid w:val="001C1F9E"/>
    <w:rsid w:val="001C3773"/>
    <w:rsid w:val="001C5FC1"/>
    <w:rsid w:val="001D16D4"/>
    <w:rsid w:val="001D438E"/>
    <w:rsid w:val="001D7331"/>
    <w:rsid w:val="001E5E36"/>
    <w:rsid w:val="001E6226"/>
    <w:rsid w:val="001F479C"/>
    <w:rsid w:val="001F7487"/>
    <w:rsid w:val="00200F29"/>
    <w:rsid w:val="00204096"/>
    <w:rsid w:val="002076BD"/>
    <w:rsid w:val="0021121B"/>
    <w:rsid w:val="002125D8"/>
    <w:rsid w:val="00225021"/>
    <w:rsid w:val="00226E48"/>
    <w:rsid w:val="00235379"/>
    <w:rsid w:val="00236D09"/>
    <w:rsid w:val="00240905"/>
    <w:rsid w:val="002626FC"/>
    <w:rsid w:val="002631C7"/>
    <w:rsid w:val="002661AD"/>
    <w:rsid w:val="0027091C"/>
    <w:rsid w:val="002735C5"/>
    <w:rsid w:val="002843FC"/>
    <w:rsid w:val="002857F6"/>
    <w:rsid w:val="002862F6"/>
    <w:rsid w:val="00293945"/>
    <w:rsid w:val="002952F2"/>
    <w:rsid w:val="0029694E"/>
    <w:rsid w:val="002A060E"/>
    <w:rsid w:val="002A3BB4"/>
    <w:rsid w:val="002A6A72"/>
    <w:rsid w:val="002A72D4"/>
    <w:rsid w:val="002B14B7"/>
    <w:rsid w:val="002B40B8"/>
    <w:rsid w:val="002B7395"/>
    <w:rsid w:val="002C1D03"/>
    <w:rsid w:val="002C2982"/>
    <w:rsid w:val="002C5D0E"/>
    <w:rsid w:val="002C75F4"/>
    <w:rsid w:val="002D1668"/>
    <w:rsid w:val="002D323D"/>
    <w:rsid w:val="002D3F3D"/>
    <w:rsid w:val="002D52A6"/>
    <w:rsid w:val="002D5DE2"/>
    <w:rsid w:val="002D68DC"/>
    <w:rsid w:val="002D7C63"/>
    <w:rsid w:val="002E51B1"/>
    <w:rsid w:val="002F0FB8"/>
    <w:rsid w:val="002F3653"/>
    <w:rsid w:val="0030461F"/>
    <w:rsid w:val="00304F0C"/>
    <w:rsid w:val="00307307"/>
    <w:rsid w:val="00307D78"/>
    <w:rsid w:val="00311C6E"/>
    <w:rsid w:val="00314C63"/>
    <w:rsid w:val="003157F3"/>
    <w:rsid w:val="003158F0"/>
    <w:rsid w:val="00320AD1"/>
    <w:rsid w:val="00321139"/>
    <w:rsid w:val="00322C07"/>
    <w:rsid w:val="00324FC4"/>
    <w:rsid w:val="003378CF"/>
    <w:rsid w:val="00340809"/>
    <w:rsid w:val="0034088A"/>
    <w:rsid w:val="0034263B"/>
    <w:rsid w:val="0034369E"/>
    <w:rsid w:val="00345B6D"/>
    <w:rsid w:val="0035045B"/>
    <w:rsid w:val="0035756B"/>
    <w:rsid w:val="00364596"/>
    <w:rsid w:val="00364A23"/>
    <w:rsid w:val="00366297"/>
    <w:rsid w:val="00366AC7"/>
    <w:rsid w:val="00370EB1"/>
    <w:rsid w:val="00371281"/>
    <w:rsid w:val="003752FD"/>
    <w:rsid w:val="00376B93"/>
    <w:rsid w:val="00380EBE"/>
    <w:rsid w:val="00382DB0"/>
    <w:rsid w:val="00383547"/>
    <w:rsid w:val="003841D4"/>
    <w:rsid w:val="0039589F"/>
    <w:rsid w:val="00396AC1"/>
    <w:rsid w:val="003A14AE"/>
    <w:rsid w:val="003A2234"/>
    <w:rsid w:val="003A414D"/>
    <w:rsid w:val="003B0CDD"/>
    <w:rsid w:val="003B1BC3"/>
    <w:rsid w:val="003B4905"/>
    <w:rsid w:val="003C1D7C"/>
    <w:rsid w:val="003C53F9"/>
    <w:rsid w:val="003C5A9A"/>
    <w:rsid w:val="003C67FC"/>
    <w:rsid w:val="003D263B"/>
    <w:rsid w:val="003E3D05"/>
    <w:rsid w:val="003E3E80"/>
    <w:rsid w:val="003E5CF4"/>
    <w:rsid w:val="003E7D47"/>
    <w:rsid w:val="003F201C"/>
    <w:rsid w:val="004004B2"/>
    <w:rsid w:val="00404CA0"/>
    <w:rsid w:val="00411334"/>
    <w:rsid w:val="00412DE7"/>
    <w:rsid w:val="00415334"/>
    <w:rsid w:val="00416859"/>
    <w:rsid w:val="00432752"/>
    <w:rsid w:val="004339DF"/>
    <w:rsid w:val="00434378"/>
    <w:rsid w:val="00435D81"/>
    <w:rsid w:val="00443B26"/>
    <w:rsid w:val="00444F2C"/>
    <w:rsid w:val="0044513E"/>
    <w:rsid w:val="00446146"/>
    <w:rsid w:val="004537CE"/>
    <w:rsid w:val="00460962"/>
    <w:rsid w:val="00462322"/>
    <w:rsid w:val="00463C1D"/>
    <w:rsid w:val="00473134"/>
    <w:rsid w:val="00474751"/>
    <w:rsid w:val="00483B65"/>
    <w:rsid w:val="00485172"/>
    <w:rsid w:val="004960B5"/>
    <w:rsid w:val="00497DBA"/>
    <w:rsid w:val="004A0A25"/>
    <w:rsid w:val="004B4A0A"/>
    <w:rsid w:val="004B4E0E"/>
    <w:rsid w:val="004B6692"/>
    <w:rsid w:val="004C11A1"/>
    <w:rsid w:val="004C279C"/>
    <w:rsid w:val="004C30C3"/>
    <w:rsid w:val="004D5137"/>
    <w:rsid w:val="004E38E9"/>
    <w:rsid w:val="004E587E"/>
    <w:rsid w:val="004E6CA5"/>
    <w:rsid w:val="004F047F"/>
    <w:rsid w:val="004F29DE"/>
    <w:rsid w:val="004F362E"/>
    <w:rsid w:val="004F4BCB"/>
    <w:rsid w:val="004F7F6A"/>
    <w:rsid w:val="00500D58"/>
    <w:rsid w:val="00503A0A"/>
    <w:rsid w:val="00513305"/>
    <w:rsid w:val="00513D34"/>
    <w:rsid w:val="00515CFF"/>
    <w:rsid w:val="0051600E"/>
    <w:rsid w:val="00517EFE"/>
    <w:rsid w:val="005207FA"/>
    <w:rsid w:val="005238CE"/>
    <w:rsid w:val="00534346"/>
    <w:rsid w:val="0053771E"/>
    <w:rsid w:val="00537D60"/>
    <w:rsid w:val="0054081E"/>
    <w:rsid w:val="00542307"/>
    <w:rsid w:val="00550FDA"/>
    <w:rsid w:val="00551346"/>
    <w:rsid w:val="0055156D"/>
    <w:rsid w:val="005524DA"/>
    <w:rsid w:val="00555744"/>
    <w:rsid w:val="00556432"/>
    <w:rsid w:val="005625EC"/>
    <w:rsid w:val="005661F7"/>
    <w:rsid w:val="00567472"/>
    <w:rsid w:val="00573F8B"/>
    <w:rsid w:val="00583268"/>
    <w:rsid w:val="00590871"/>
    <w:rsid w:val="0059329A"/>
    <w:rsid w:val="00595C68"/>
    <w:rsid w:val="00596174"/>
    <w:rsid w:val="00596C6E"/>
    <w:rsid w:val="005A5046"/>
    <w:rsid w:val="005B04F6"/>
    <w:rsid w:val="005B4422"/>
    <w:rsid w:val="005B65B5"/>
    <w:rsid w:val="005B791E"/>
    <w:rsid w:val="005D1711"/>
    <w:rsid w:val="005D756C"/>
    <w:rsid w:val="005D76E3"/>
    <w:rsid w:val="005E0220"/>
    <w:rsid w:val="005E391F"/>
    <w:rsid w:val="005E481B"/>
    <w:rsid w:val="005F76E8"/>
    <w:rsid w:val="00602B1F"/>
    <w:rsid w:val="00602E6F"/>
    <w:rsid w:val="00610EE9"/>
    <w:rsid w:val="00612477"/>
    <w:rsid w:val="006124A7"/>
    <w:rsid w:val="006250D0"/>
    <w:rsid w:val="00625AED"/>
    <w:rsid w:val="00632A9C"/>
    <w:rsid w:val="00633D98"/>
    <w:rsid w:val="006346E4"/>
    <w:rsid w:val="00637A2A"/>
    <w:rsid w:val="00640319"/>
    <w:rsid w:val="00645866"/>
    <w:rsid w:val="00647BFE"/>
    <w:rsid w:val="00647DBE"/>
    <w:rsid w:val="0065106B"/>
    <w:rsid w:val="0065353A"/>
    <w:rsid w:val="00653E87"/>
    <w:rsid w:val="00657A38"/>
    <w:rsid w:val="006677E4"/>
    <w:rsid w:val="00681C06"/>
    <w:rsid w:val="0068308A"/>
    <w:rsid w:val="0068484A"/>
    <w:rsid w:val="00684E81"/>
    <w:rsid w:val="006966C1"/>
    <w:rsid w:val="006A3676"/>
    <w:rsid w:val="006A37FB"/>
    <w:rsid w:val="006A51AF"/>
    <w:rsid w:val="006A6F14"/>
    <w:rsid w:val="006B4086"/>
    <w:rsid w:val="006C1519"/>
    <w:rsid w:val="006C5643"/>
    <w:rsid w:val="006C578F"/>
    <w:rsid w:val="006D313A"/>
    <w:rsid w:val="006D4C8A"/>
    <w:rsid w:val="006D6078"/>
    <w:rsid w:val="006E11B4"/>
    <w:rsid w:val="006E1871"/>
    <w:rsid w:val="006E27B0"/>
    <w:rsid w:val="006E5BCB"/>
    <w:rsid w:val="006E6663"/>
    <w:rsid w:val="006F2661"/>
    <w:rsid w:val="006F2EA4"/>
    <w:rsid w:val="006F435E"/>
    <w:rsid w:val="006F4AD7"/>
    <w:rsid w:val="006F50B1"/>
    <w:rsid w:val="006F7FCB"/>
    <w:rsid w:val="00704C8C"/>
    <w:rsid w:val="007051B3"/>
    <w:rsid w:val="007177D1"/>
    <w:rsid w:val="00721E13"/>
    <w:rsid w:val="00721E9C"/>
    <w:rsid w:val="0072208A"/>
    <w:rsid w:val="007328F9"/>
    <w:rsid w:val="00734C21"/>
    <w:rsid w:val="00755A33"/>
    <w:rsid w:val="0075652B"/>
    <w:rsid w:val="00760A74"/>
    <w:rsid w:val="00763CF5"/>
    <w:rsid w:val="00764B0C"/>
    <w:rsid w:val="00765290"/>
    <w:rsid w:val="00770F9F"/>
    <w:rsid w:val="00771331"/>
    <w:rsid w:val="007745ED"/>
    <w:rsid w:val="00781B10"/>
    <w:rsid w:val="00783AEC"/>
    <w:rsid w:val="007941BC"/>
    <w:rsid w:val="007948B2"/>
    <w:rsid w:val="00797E3E"/>
    <w:rsid w:val="007A530C"/>
    <w:rsid w:val="007A73E3"/>
    <w:rsid w:val="007B7076"/>
    <w:rsid w:val="007B7497"/>
    <w:rsid w:val="007B7BB4"/>
    <w:rsid w:val="007B7E9D"/>
    <w:rsid w:val="007C7D6E"/>
    <w:rsid w:val="007D3468"/>
    <w:rsid w:val="007D7A8A"/>
    <w:rsid w:val="007D7B2F"/>
    <w:rsid w:val="007F0878"/>
    <w:rsid w:val="007F38D4"/>
    <w:rsid w:val="00801BC8"/>
    <w:rsid w:val="0080546A"/>
    <w:rsid w:val="00810B98"/>
    <w:rsid w:val="008129D3"/>
    <w:rsid w:val="00817F34"/>
    <w:rsid w:val="00822F42"/>
    <w:rsid w:val="00823721"/>
    <w:rsid w:val="00824657"/>
    <w:rsid w:val="00826D47"/>
    <w:rsid w:val="008307C2"/>
    <w:rsid w:val="008314A3"/>
    <w:rsid w:val="008355EF"/>
    <w:rsid w:val="0083598D"/>
    <w:rsid w:val="00835F05"/>
    <w:rsid w:val="00841DD3"/>
    <w:rsid w:val="008522DD"/>
    <w:rsid w:val="0086101D"/>
    <w:rsid w:val="0087014B"/>
    <w:rsid w:val="008717CE"/>
    <w:rsid w:val="00877B30"/>
    <w:rsid w:val="00882765"/>
    <w:rsid w:val="008915D6"/>
    <w:rsid w:val="0089229B"/>
    <w:rsid w:val="008930DA"/>
    <w:rsid w:val="008940C7"/>
    <w:rsid w:val="0089434C"/>
    <w:rsid w:val="008A4E16"/>
    <w:rsid w:val="008B6145"/>
    <w:rsid w:val="008C049B"/>
    <w:rsid w:val="008C2954"/>
    <w:rsid w:val="008C3586"/>
    <w:rsid w:val="008C4E09"/>
    <w:rsid w:val="008C5BC8"/>
    <w:rsid w:val="008D2480"/>
    <w:rsid w:val="008D401F"/>
    <w:rsid w:val="008D6A2D"/>
    <w:rsid w:val="008E47B9"/>
    <w:rsid w:val="008E5365"/>
    <w:rsid w:val="008F0962"/>
    <w:rsid w:val="008F0ADC"/>
    <w:rsid w:val="008F4ACF"/>
    <w:rsid w:val="00902FB2"/>
    <w:rsid w:val="009046D1"/>
    <w:rsid w:val="00907759"/>
    <w:rsid w:val="00913561"/>
    <w:rsid w:val="009150B1"/>
    <w:rsid w:val="00917112"/>
    <w:rsid w:val="00932C18"/>
    <w:rsid w:val="00933410"/>
    <w:rsid w:val="00935D8E"/>
    <w:rsid w:val="0093665C"/>
    <w:rsid w:val="00942F7A"/>
    <w:rsid w:val="009466BC"/>
    <w:rsid w:val="00947BC9"/>
    <w:rsid w:val="00952181"/>
    <w:rsid w:val="00957BD1"/>
    <w:rsid w:val="00966DFA"/>
    <w:rsid w:val="00967A70"/>
    <w:rsid w:val="0097150F"/>
    <w:rsid w:val="00972ADD"/>
    <w:rsid w:val="00972BB3"/>
    <w:rsid w:val="009732E6"/>
    <w:rsid w:val="009739A9"/>
    <w:rsid w:val="0097552A"/>
    <w:rsid w:val="009868B3"/>
    <w:rsid w:val="009872FA"/>
    <w:rsid w:val="00990E5E"/>
    <w:rsid w:val="0099149B"/>
    <w:rsid w:val="00991A79"/>
    <w:rsid w:val="009952DA"/>
    <w:rsid w:val="009A1FAA"/>
    <w:rsid w:val="009B1A80"/>
    <w:rsid w:val="009B4810"/>
    <w:rsid w:val="009B70FF"/>
    <w:rsid w:val="009C41E7"/>
    <w:rsid w:val="009D432F"/>
    <w:rsid w:val="009E0ECA"/>
    <w:rsid w:val="009E1031"/>
    <w:rsid w:val="009F05F1"/>
    <w:rsid w:val="009F3389"/>
    <w:rsid w:val="009F4198"/>
    <w:rsid w:val="009F461E"/>
    <w:rsid w:val="009F548A"/>
    <w:rsid w:val="00A01DB3"/>
    <w:rsid w:val="00A037D5"/>
    <w:rsid w:val="00A04051"/>
    <w:rsid w:val="00A11129"/>
    <w:rsid w:val="00A12F5A"/>
    <w:rsid w:val="00A14983"/>
    <w:rsid w:val="00A32396"/>
    <w:rsid w:val="00A32436"/>
    <w:rsid w:val="00A400DB"/>
    <w:rsid w:val="00A45C9F"/>
    <w:rsid w:val="00A47E71"/>
    <w:rsid w:val="00A500A6"/>
    <w:rsid w:val="00A54E20"/>
    <w:rsid w:val="00A557D3"/>
    <w:rsid w:val="00A63EDA"/>
    <w:rsid w:val="00A65391"/>
    <w:rsid w:val="00A6544D"/>
    <w:rsid w:val="00A6756D"/>
    <w:rsid w:val="00A72678"/>
    <w:rsid w:val="00A72B99"/>
    <w:rsid w:val="00A7502E"/>
    <w:rsid w:val="00A7642F"/>
    <w:rsid w:val="00A8518F"/>
    <w:rsid w:val="00A860F0"/>
    <w:rsid w:val="00A86F1E"/>
    <w:rsid w:val="00A8727D"/>
    <w:rsid w:val="00A95300"/>
    <w:rsid w:val="00A97D0E"/>
    <w:rsid w:val="00AA1460"/>
    <w:rsid w:val="00AB1D51"/>
    <w:rsid w:val="00AB428A"/>
    <w:rsid w:val="00AB4500"/>
    <w:rsid w:val="00AB50E2"/>
    <w:rsid w:val="00AB7777"/>
    <w:rsid w:val="00AC5DB0"/>
    <w:rsid w:val="00AD2C0D"/>
    <w:rsid w:val="00AD4AA9"/>
    <w:rsid w:val="00AD68D3"/>
    <w:rsid w:val="00AE1926"/>
    <w:rsid w:val="00AE47C6"/>
    <w:rsid w:val="00AF184E"/>
    <w:rsid w:val="00AF34C7"/>
    <w:rsid w:val="00AF64E0"/>
    <w:rsid w:val="00AF6A7E"/>
    <w:rsid w:val="00B008EF"/>
    <w:rsid w:val="00B05E3C"/>
    <w:rsid w:val="00B0623C"/>
    <w:rsid w:val="00B176A7"/>
    <w:rsid w:val="00B17E90"/>
    <w:rsid w:val="00B21331"/>
    <w:rsid w:val="00B215CC"/>
    <w:rsid w:val="00B2429A"/>
    <w:rsid w:val="00B33DF4"/>
    <w:rsid w:val="00B412DB"/>
    <w:rsid w:val="00B44700"/>
    <w:rsid w:val="00B45972"/>
    <w:rsid w:val="00B50EBE"/>
    <w:rsid w:val="00B513D6"/>
    <w:rsid w:val="00B52CD0"/>
    <w:rsid w:val="00B5578E"/>
    <w:rsid w:val="00B616DC"/>
    <w:rsid w:val="00B62DC7"/>
    <w:rsid w:val="00B65C98"/>
    <w:rsid w:val="00B75201"/>
    <w:rsid w:val="00B83425"/>
    <w:rsid w:val="00B8394E"/>
    <w:rsid w:val="00BA45DE"/>
    <w:rsid w:val="00BA6301"/>
    <w:rsid w:val="00BA6CD0"/>
    <w:rsid w:val="00BB3173"/>
    <w:rsid w:val="00BB3476"/>
    <w:rsid w:val="00BB7A29"/>
    <w:rsid w:val="00BC2850"/>
    <w:rsid w:val="00BC386C"/>
    <w:rsid w:val="00BC79FD"/>
    <w:rsid w:val="00BD141C"/>
    <w:rsid w:val="00BE4553"/>
    <w:rsid w:val="00BE538A"/>
    <w:rsid w:val="00BE5DCE"/>
    <w:rsid w:val="00BF2CE7"/>
    <w:rsid w:val="00BF30E3"/>
    <w:rsid w:val="00C00952"/>
    <w:rsid w:val="00C04E1B"/>
    <w:rsid w:val="00C06859"/>
    <w:rsid w:val="00C07A02"/>
    <w:rsid w:val="00C20DCF"/>
    <w:rsid w:val="00C24EC6"/>
    <w:rsid w:val="00C262FB"/>
    <w:rsid w:val="00C26886"/>
    <w:rsid w:val="00C329B5"/>
    <w:rsid w:val="00C32C42"/>
    <w:rsid w:val="00C4057E"/>
    <w:rsid w:val="00C47064"/>
    <w:rsid w:val="00C5286F"/>
    <w:rsid w:val="00C541A3"/>
    <w:rsid w:val="00C547D9"/>
    <w:rsid w:val="00C63A4E"/>
    <w:rsid w:val="00C77A68"/>
    <w:rsid w:val="00C82110"/>
    <w:rsid w:val="00C865B4"/>
    <w:rsid w:val="00C91DC3"/>
    <w:rsid w:val="00C97315"/>
    <w:rsid w:val="00CA2CCD"/>
    <w:rsid w:val="00CA3137"/>
    <w:rsid w:val="00CB0C4C"/>
    <w:rsid w:val="00CB1BEC"/>
    <w:rsid w:val="00CB2867"/>
    <w:rsid w:val="00CB2C62"/>
    <w:rsid w:val="00CB3AD9"/>
    <w:rsid w:val="00CB5511"/>
    <w:rsid w:val="00CB643E"/>
    <w:rsid w:val="00CC0476"/>
    <w:rsid w:val="00CC4759"/>
    <w:rsid w:val="00CD6071"/>
    <w:rsid w:val="00CD7562"/>
    <w:rsid w:val="00CD7A29"/>
    <w:rsid w:val="00CE0E76"/>
    <w:rsid w:val="00CE6A9E"/>
    <w:rsid w:val="00D0300B"/>
    <w:rsid w:val="00D0361C"/>
    <w:rsid w:val="00D03FDC"/>
    <w:rsid w:val="00D04575"/>
    <w:rsid w:val="00D07134"/>
    <w:rsid w:val="00D108D2"/>
    <w:rsid w:val="00D146FC"/>
    <w:rsid w:val="00D15159"/>
    <w:rsid w:val="00D16A48"/>
    <w:rsid w:val="00D17269"/>
    <w:rsid w:val="00D22211"/>
    <w:rsid w:val="00D346F4"/>
    <w:rsid w:val="00D363D5"/>
    <w:rsid w:val="00D40B4E"/>
    <w:rsid w:val="00D4121D"/>
    <w:rsid w:val="00D414F7"/>
    <w:rsid w:val="00D42D6D"/>
    <w:rsid w:val="00D51DC9"/>
    <w:rsid w:val="00D52DA3"/>
    <w:rsid w:val="00D63285"/>
    <w:rsid w:val="00D653B5"/>
    <w:rsid w:val="00D65682"/>
    <w:rsid w:val="00D74E5C"/>
    <w:rsid w:val="00D75D8D"/>
    <w:rsid w:val="00D80939"/>
    <w:rsid w:val="00D818C4"/>
    <w:rsid w:val="00D82B17"/>
    <w:rsid w:val="00D86E93"/>
    <w:rsid w:val="00DA32B4"/>
    <w:rsid w:val="00DA56FC"/>
    <w:rsid w:val="00DB1A65"/>
    <w:rsid w:val="00DB2095"/>
    <w:rsid w:val="00DB5C53"/>
    <w:rsid w:val="00DC0DD1"/>
    <w:rsid w:val="00DC67F9"/>
    <w:rsid w:val="00DE2957"/>
    <w:rsid w:val="00DE2A0A"/>
    <w:rsid w:val="00DE3961"/>
    <w:rsid w:val="00DE485B"/>
    <w:rsid w:val="00DF017F"/>
    <w:rsid w:val="00E01A53"/>
    <w:rsid w:val="00E15054"/>
    <w:rsid w:val="00E164A6"/>
    <w:rsid w:val="00E16D4D"/>
    <w:rsid w:val="00E214DC"/>
    <w:rsid w:val="00E2754E"/>
    <w:rsid w:val="00E32C38"/>
    <w:rsid w:val="00E338F6"/>
    <w:rsid w:val="00E35690"/>
    <w:rsid w:val="00E37897"/>
    <w:rsid w:val="00E37B7B"/>
    <w:rsid w:val="00E40511"/>
    <w:rsid w:val="00E50AF0"/>
    <w:rsid w:val="00E53549"/>
    <w:rsid w:val="00E5388C"/>
    <w:rsid w:val="00E57786"/>
    <w:rsid w:val="00E66E07"/>
    <w:rsid w:val="00E723A6"/>
    <w:rsid w:val="00E81A6E"/>
    <w:rsid w:val="00E8495C"/>
    <w:rsid w:val="00E9379A"/>
    <w:rsid w:val="00E95CFC"/>
    <w:rsid w:val="00EA7D7F"/>
    <w:rsid w:val="00EB2FA1"/>
    <w:rsid w:val="00EB323C"/>
    <w:rsid w:val="00EB615F"/>
    <w:rsid w:val="00EC3C3C"/>
    <w:rsid w:val="00ED2498"/>
    <w:rsid w:val="00EF3A0A"/>
    <w:rsid w:val="00F03FCF"/>
    <w:rsid w:val="00F26F16"/>
    <w:rsid w:val="00F30D04"/>
    <w:rsid w:val="00F30F17"/>
    <w:rsid w:val="00F310B5"/>
    <w:rsid w:val="00F31F1C"/>
    <w:rsid w:val="00F32A87"/>
    <w:rsid w:val="00F33D99"/>
    <w:rsid w:val="00F36638"/>
    <w:rsid w:val="00F42CF1"/>
    <w:rsid w:val="00F47270"/>
    <w:rsid w:val="00F5014F"/>
    <w:rsid w:val="00F5511A"/>
    <w:rsid w:val="00F57DF4"/>
    <w:rsid w:val="00F60F32"/>
    <w:rsid w:val="00F618A7"/>
    <w:rsid w:val="00F622B2"/>
    <w:rsid w:val="00F637A1"/>
    <w:rsid w:val="00F72150"/>
    <w:rsid w:val="00F7479B"/>
    <w:rsid w:val="00F86F7C"/>
    <w:rsid w:val="00F87D35"/>
    <w:rsid w:val="00F90984"/>
    <w:rsid w:val="00F930EB"/>
    <w:rsid w:val="00F97352"/>
    <w:rsid w:val="00FA4E90"/>
    <w:rsid w:val="00FB2330"/>
    <w:rsid w:val="00FB3571"/>
    <w:rsid w:val="00FC143E"/>
    <w:rsid w:val="00FC40EA"/>
    <w:rsid w:val="00FE0EEA"/>
    <w:rsid w:val="00FE432D"/>
    <w:rsid w:val="00FE5EB2"/>
    <w:rsid w:val="00FF203E"/>
    <w:rsid w:val="00FF228E"/>
    <w:rsid w:val="00FF7B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27EEC1"/>
  <w15:chartTrackingRefBased/>
  <w15:docId w15:val="{DB0F0F14-A27C-40B0-97AD-98EAD3D5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outlineLvl w:val="0"/>
    </w:pPr>
    <w:rPr>
      <w:rFonts w:ascii="Arial" w:hAnsi="Arial"/>
      <w:b/>
      <w:sz w:val="24"/>
      <w:u w:val="single"/>
      <w:lang w:val="es-ES_tradnl"/>
    </w:rPr>
  </w:style>
  <w:style w:type="paragraph" w:styleId="Ttulo2">
    <w:name w:val="heading 2"/>
    <w:basedOn w:val="Normal"/>
    <w:next w:val="Normal"/>
    <w:qFormat/>
    <w:pPr>
      <w:keepNext/>
      <w:spacing w:before="80"/>
      <w:jc w:val="both"/>
      <w:outlineLvl w:val="1"/>
    </w:pPr>
    <w:rPr>
      <w:rFonts w:ascii="Arial" w:hAnsi="Arial"/>
      <w:b/>
      <w:sz w:val="22"/>
      <w:lang w:val="es-ES_tradnl"/>
    </w:rPr>
  </w:style>
  <w:style w:type="paragraph" w:styleId="Ttulo3">
    <w:name w:val="heading 3"/>
    <w:basedOn w:val="Normal"/>
    <w:next w:val="Normal"/>
    <w:qFormat/>
    <w:pPr>
      <w:keepNext/>
      <w:jc w:val="both"/>
      <w:outlineLvl w:val="2"/>
    </w:pPr>
    <w:rPr>
      <w:b/>
      <w:sz w:val="24"/>
    </w:rPr>
  </w:style>
  <w:style w:type="paragraph" w:styleId="Ttulo4">
    <w:name w:val="heading 4"/>
    <w:basedOn w:val="Normal"/>
    <w:next w:val="Normal"/>
    <w:qFormat/>
    <w:pPr>
      <w:keepNext/>
      <w:outlineLvl w:val="3"/>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252"/>
        <w:tab w:val="right" w:pos="8504"/>
      </w:tabs>
    </w:pPr>
  </w:style>
  <w:style w:type="character" w:styleId="Nmerodepgina">
    <w:name w:val="page number"/>
    <w:basedOn w:val="Fuentedeprrafopredeter"/>
  </w:style>
  <w:style w:type="paragraph" w:styleId="Textoindependiente">
    <w:name w:val="Body Text"/>
    <w:basedOn w:val="Normal"/>
    <w:link w:val="TextoindependienteCar"/>
    <w:semiHidden/>
    <w:pPr>
      <w:tabs>
        <w:tab w:val="left" w:pos="851"/>
      </w:tabs>
      <w:spacing w:after="120"/>
      <w:jc w:val="both"/>
    </w:pPr>
    <w:rPr>
      <w:rFonts w:ascii="Arial" w:hAnsi="Arial"/>
      <w:sz w:val="26"/>
      <w:lang w:val="es-ES_tradnl"/>
    </w:rPr>
  </w:style>
  <w:style w:type="paragraph" w:customStyle="1" w:styleId="Prrafodelista1">
    <w:name w:val="Párrafo de lista1"/>
    <w:basedOn w:val="Normal"/>
    <w:pPr>
      <w:ind w:left="720"/>
      <w:jc w:val="both"/>
    </w:pPr>
    <w:rPr>
      <w:rFonts w:ascii="Arial" w:hAnsi="Arial"/>
      <w:sz w:val="22"/>
      <w:lang w:val="es-ES_tradnl"/>
    </w:rPr>
  </w:style>
  <w:style w:type="paragraph" w:styleId="Textoindependiente3">
    <w:name w:val="Body Text 3"/>
    <w:basedOn w:val="Normal"/>
    <w:semiHidden/>
    <w:pPr>
      <w:spacing w:before="80"/>
      <w:jc w:val="both"/>
    </w:pPr>
    <w:rPr>
      <w:rFonts w:ascii="Arial" w:hAnsi="Arial"/>
      <w:sz w:val="24"/>
      <w:lang w:val="es-ES_tradnl"/>
    </w:rPr>
  </w:style>
  <w:style w:type="paragraph" w:styleId="Encabezado">
    <w:name w:val="header"/>
    <w:basedOn w:val="Normal"/>
    <w:semiHidden/>
    <w:pPr>
      <w:tabs>
        <w:tab w:val="center" w:pos="4819"/>
        <w:tab w:val="right" w:pos="9071"/>
      </w:tabs>
    </w:pPr>
    <w:rPr>
      <w:rFonts w:ascii="Arial" w:hAnsi="Arial"/>
      <w:sz w:val="26"/>
      <w:lang w:val="es-ES_tradnl"/>
    </w:rPr>
  </w:style>
  <w:style w:type="paragraph" w:styleId="Textoindependiente2">
    <w:name w:val="Body Text 2"/>
    <w:basedOn w:val="Normal"/>
    <w:semiHidden/>
    <w:pPr>
      <w:jc w:val="both"/>
    </w:pPr>
    <w:rPr>
      <w:i/>
      <w:sz w:val="24"/>
    </w:rPr>
  </w:style>
  <w:style w:type="paragraph" w:styleId="Textodeglobo">
    <w:name w:val="Balloon Text"/>
    <w:basedOn w:val="Normal"/>
    <w:semiHidden/>
    <w:unhideWhenUsed/>
    <w:rPr>
      <w:rFonts w:ascii="Lucida Grande" w:hAnsi="Lucida Grande" w:cs="Wingdings"/>
      <w:sz w:val="18"/>
      <w:szCs w:val="18"/>
    </w:rPr>
  </w:style>
  <w:style w:type="character" w:customStyle="1" w:styleId="TextodegloboCar">
    <w:name w:val="Texto de globo Car"/>
    <w:semiHidden/>
    <w:rPr>
      <w:rFonts w:ascii="Lucida Grande" w:hAnsi="Lucida Grande" w:cs="Wingdings"/>
      <w:noProof w:val="0"/>
      <w:sz w:val="18"/>
      <w:szCs w:val="18"/>
      <w:lang w:val="es-ES"/>
    </w:rPr>
  </w:style>
  <w:style w:type="paragraph" w:customStyle="1" w:styleId="Default">
    <w:name w:val="Default"/>
    <w:rPr>
      <w:rFonts w:ascii="Arial" w:hAnsi="Arial"/>
      <w:snapToGrid w:val="0"/>
      <w:color w:val="000000"/>
      <w:sz w:val="24"/>
    </w:rPr>
  </w:style>
  <w:style w:type="paragraph" w:styleId="Sangradetextonormal">
    <w:name w:val="Body Text Indent"/>
    <w:basedOn w:val="Normal"/>
    <w:semiHidden/>
    <w:pPr>
      <w:spacing w:after="240"/>
      <w:ind w:left="708"/>
      <w:jc w:val="both"/>
    </w:pPr>
    <w:rPr>
      <w:sz w:val="22"/>
    </w:rPr>
  </w:style>
  <w:style w:type="character" w:styleId="Hipervnculo">
    <w:name w:val="Hyperlink"/>
    <w:semiHidden/>
    <w:rPr>
      <w:color w:val="0000FF"/>
      <w:u w:val="single"/>
    </w:rPr>
  </w:style>
  <w:style w:type="paragraph" w:customStyle="1" w:styleId="Cuerpo">
    <w:name w:val="Cuerpo"/>
    <w:rsid w:val="00A11129"/>
    <w:pPr>
      <w:pBdr>
        <w:top w:val="nil"/>
        <w:left w:val="nil"/>
        <w:bottom w:val="nil"/>
        <w:right w:val="nil"/>
        <w:between w:val="nil"/>
        <w:bar w:val="nil"/>
      </w:pBdr>
    </w:pPr>
    <w:rPr>
      <w:color w:val="000000"/>
      <w:u w:color="000000"/>
      <w:bdr w:val="nil"/>
    </w:rPr>
  </w:style>
  <w:style w:type="character" w:customStyle="1" w:styleId="TextoindependienteCar">
    <w:name w:val="Texto independiente Car"/>
    <w:link w:val="Textoindependiente"/>
    <w:semiHidden/>
    <w:rsid w:val="006E6663"/>
    <w:rPr>
      <w:rFonts w:ascii="Arial" w:hAnsi="Arial"/>
      <w:sz w:val="26"/>
      <w:lang w:val="es-ES_tradnl"/>
    </w:rPr>
  </w:style>
  <w:style w:type="paragraph" w:styleId="Prrafodelista">
    <w:name w:val="List Paragraph"/>
    <w:aliases w:val="Párrafo,Estilo párrafo Título principal sin numerar,Parrafo normal,Liste 1,Lettre d'introduction,Paragrafo elenco,List Paragraph1,1st level - Bullet List Paragraph,List Paragraph"/>
    <w:basedOn w:val="Normal"/>
    <w:link w:val="PrrafodelistaCar"/>
    <w:uiPriority w:val="34"/>
    <w:qFormat/>
    <w:rsid w:val="003A2234"/>
    <w:pPr>
      <w:ind w:left="720"/>
      <w:contextualSpacing/>
    </w:pPr>
  </w:style>
  <w:style w:type="character" w:customStyle="1" w:styleId="PrrafodelistaCar">
    <w:name w:val="Párrafo de lista Car"/>
    <w:aliases w:val="Párrafo Car,Estilo párrafo Título principal sin numerar Car,Parrafo normal Car,Liste 1 Car,Lettre d'introduction Car,Paragrafo elenco Car,List Paragraph1 Car,1st level - Bullet List Paragraph Car,List Paragraph Car"/>
    <w:basedOn w:val="Fuentedeprrafopredeter"/>
    <w:link w:val="Prrafodelista"/>
    <w:uiPriority w:val="34"/>
    <w:rsid w:val="00204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858663">
      <w:bodyDiv w:val="1"/>
      <w:marLeft w:val="0"/>
      <w:marRight w:val="0"/>
      <w:marTop w:val="0"/>
      <w:marBottom w:val="0"/>
      <w:divBdr>
        <w:top w:val="none" w:sz="0" w:space="0" w:color="auto"/>
        <w:left w:val="none" w:sz="0" w:space="0" w:color="auto"/>
        <w:bottom w:val="none" w:sz="0" w:space="0" w:color="auto"/>
        <w:right w:val="none" w:sz="0" w:space="0" w:color="auto"/>
      </w:divBdr>
      <w:divsChild>
        <w:div w:id="1176071018">
          <w:marLeft w:val="0"/>
          <w:marRight w:val="0"/>
          <w:marTop w:val="0"/>
          <w:marBottom w:val="0"/>
          <w:divBdr>
            <w:top w:val="none" w:sz="0" w:space="0" w:color="auto"/>
            <w:left w:val="none" w:sz="0" w:space="0" w:color="auto"/>
            <w:bottom w:val="none" w:sz="0" w:space="0" w:color="auto"/>
            <w:right w:val="none" w:sz="0" w:space="0" w:color="auto"/>
          </w:divBdr>
          <w:divsChild>
            <w:div w:id="360934096">
              <w:marLeft w:val="0"/>
              <w:marRight w:val="0"/>
              <w:marTop w:val="0"/>
              <w:marBottom w:val="0"/>
              <w:divBdr>
                <w:top w:val="none" w:sz="0" w:space="0" w:color="auto"/>
                <w:left w:val="none" w:sz="0" w:space="0" w:color="auto"/>
                <w:bottom w:val="none" w:sz="0" w:space="0" w:color="auto"/>
                <w:right w:val="none" w:sz="0" w:space="0" w:color="auto"/>
              </w:divBdr>
              <w:divsChild>
                <w:div w:id="1752192894">
                  <w:marLeft w:val="0"/>
                  <w:marRight w:val="0"/>
                  <w:marTop w:val="0"/>
                  <w:marBottom w:val="0"/>
                  <w:divBdr>
                    <w:top w:val="none" w:sz="0" w:space="0" w:color="auto"/>
                    <w:left w:val="none" w:sz="0" w:space="0" w:color="auto"/>
                    <w:bottom w:val="none" w:sz="0" w:space="0" w:color="auto"/>
                    <w:right w:val="none" w:sz="0" w:space="0" w:color="auto"/>
                  </w:divBdr>
                  <w:divsChild>
                    <w:div w:id="303437579">
                      <w:marLeft w:val="0"/>
                      <w:marRight w:val="0"/>
                      <w:marTop w:val="0"/>
                      <w:marBottom w:val="0"/>
                      <w:divBdr>
                        <w:top w:val="none" w:sz="0" w:space="0" w:color="auto"/>
                        <w:left w:val="none" w:sz="0" w:space="0" w:color="auto"/>
                        <w:bottom w:val="none" w:sz="0" w:space="0" w:color="auto"/>
                        <w:right w:val="none" w:sz="0" w:space="0" w:color="auto"/>
                      </w:divBdr>
                    </w:div>
                    <w:div w:id="5779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757786">
          <w:marLeft w:val="0"/>
          <w:marRight w:val="0"/>
          <w:marTop w:val="0"/>
          <w:marBottom w:val="0"/>
          <w:divBdr>
            <w:top w:val="none" w:sz="0" w:space="0" w:color="auto"/>
            <w:left w:val="none" w:sz="0" w:space="0" w:color="auto"/>
            <w:bottom w:val="none" w:sz="0" w:space="0" w:color="auto"/>
            <w:right w:val="none" w:sz="0" w:space="0" w:color="auto"/>
          </w:divBdr>
          <w:divsChild>
            <w:div w:id="681010919">
              <w:marLeft w:val="0"/>
              <w:marRight w:val="0"/>
              <w:marTop w:val="0"/>
              <w:marBottom w:val="0"/>
              <w:divBdr>
                <w:top w:val="none" w:sz="0" w:space="0" w:color="auto"/>
                <w:left w:val="none" w:sz="0" w:space="0" w:color="auto"/>
                <w:bottom w:val="none" w:sz="0" w:space="0" w:color="auto"/>
                <w:right w:val="none" w:sz="0" w:space="0" w:color="auto"/>
              </w:divBdr>
              <w:divsChild>
                <w:div w:id="1067655865">
                  <w:marLeft w:val="0"/>
                  <w:marRight w:val="0"/>
                  <w:marTop w:val="0"/>
                  <w:marBottom w:val="0"/>
                  <w:divBdr>
                    <w:top w:val="none" w:sz="0" w:space="0" w:color="auto"/>
                    <w:left w:val="none" w:sz="0" w:space="0" w:color="auto"/>
                    <w:bottom w:val="none" w:sz="0" w:space="0" w:color="auto"/>
                    <w:right w:val="none" w:sz="0" w:space="0" w:color="auto"/>
                  </w:divBdr>
                  <w:divsChild>
                    <w:div w:id="1836920625">
                      <w:marLeft w:val="0"/>
                      <w:marRight w:val="0"/>
                      <w:marTop w:val="0"/>
                      <w:marBottom w:val="0"/>
                      <w:divBdr>
                        <w:top w:val="none" w:sz="0" w:space="0" w:color="auto"/>
                        <w:left w:val="none" w:sz="0" w:space="0" w:color="auto"/>
                        <w:bottom w:val="none" w:sz="0" w:space="0" w:color="auto"/>
                        <w:right w:val="none" w:sz="0" w:space="0" w:color="auto"/>
                      </w:divBdr>
                    </w:div>
                    <w:div w:id="3863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443183">
          <w:marLeft w:val="0"/>
          <w:marRight w:val="0"/>
          <w:marTop w:val="0"/>
          <w:marBottom w:val="0"/>
          <w:divBdr>
            <w:top w:val="none" w:sz="0" w:space="0" w:color="auto"/>
            <w:left w:val="none" w:sz="0" w:space="0" w:color="auto"/>
            <w:bottom w:val="none" w:sz="0" w:space="0" w:color="auto"/>
            <w:right w:val="none" w:sz="0" w:space="0" w:color="auto"/>
          </w:divBdr>
          <w:divsChild>
            <w:div w:id="1059282625">
              <w:marLeft w:val="0"/>
              <w:marRight w:val="0"/>
              <w:marTop w:val="0"/>
              <w:marBottom w:val="0"/>
              <w:divBdr>
                <w:top w:val="none" w:sz="0" w:space="0" w:color="auto"/>
                <w:left w:val="none" w:sz="0" w:space="0" w:color="auto"/>
                <w:bottom w:val="none" w:sz="0" w:space="0" w:color="auto"/>
                <w:right w:val="none" w:sz="0" w:space="0" w:color="auto"/>
              </w:divBdr>
              <w:divsChild>
                <w:div w:id="1104034188">
                  <w:marLeft w:val="0"/>
                  <w:marRight w:val="0"/>
                  <w:marTop w:val="0"/>
                  <w:marBottom w:val="0"/>
                  <w:divBdr>
                    <w:top w:val="none" w:sz="0" w:space="0" w:color="auto"/>
                    <w:left w:val="none" w:sz="0" w:space="0" w:color="auto"/>
                    <w:bottom w:val="none" w:sz="0" w:space="0" w:color="auto"/>
                    <w:right w:val="none" w:sz="0" w:space="0" w:color="auto"/>
                  </w:divBdr>
                  <w:divsChild>
                    <w:div w:id="407002620">
                      <w:marLeft w:val="0"/>
                      <w:marRight w:val="0"/>
                      <w:marTop w:val="0"/>
                      <w:marBottom w:val="0"/>
                      <w:divBdr>
                        <w:top w:val="none" w:sz="0" w:space="0" w:color="auto"/>
                        <w:left w:val="none" w:sz="0" w:space="0" w:color="auto"/>
                        <w:bottom w:val="none" w:sz="0" w:space="0" w:color="auto"/>
                        <w:right w:val="none" w:sz="0" w:space="0" w:color="auto"/>
                      </w:divBdr>
                    </w:div>
                    <w:div w:id="11008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620606">
      <w:bodyDiv w:val="1"/>
      <w:marLeft w:val="0"/>
      <w:marRight w:val="0"/>
      <w:marTop w:val="0"/>
      <w:marBottom w:val="0"/>
      <w:divBdr>
        <w:top w:val="none" w:sz="0" w:space="0" w:color="auto"/>
        <w:left w:val="none" w:sz="0" w:space="0" w:color="auto"/>
        <w:bottom w:val="none" w:sz="0" w:space="0" w:color="auto"/>
        <w:right w:val="none" w:sz="0" w:space="0" w:color="auto"/>
      </w:divBdr>
      <w:divsChild>
        <w:div w:id="1563250612">
          <w:marLeft w:val="0"/>
          <w:marRight w:val="0"/>
          <w:marTop w:val="0"/>
          <w:marBottom w:val="0"/>
          <w:divBdr>
            <w:top w:val="none" w:sz="0" w:space="0" w:color="auto"/>
            <w:left w:val="none" w:sz="0" w:space="0" w:color="auto"/>
            <w:bottom w:val="none" w:sz="0" w:space="0" w:color="auto"/>
            <w:right w:val="none" w:sz="0" w:space="0" w:color="auto"/>
          </w:divBdr>
          <w:divsChild>
            <w:div w:id="2038776295">
              <w:marLeft w:val="0"/>
              <w:marRight w:val="0"/>
              <w:marTop w:val="0"/>
              <w:marBottom w:val="0"/>
              <w:divBdr>
                <w:top w:val="none" w:sz="0" w:space="0" w:color="auto"/>
                <w:left w:val="none" w:sz="0" w:space="0" w:color="auto"/>
                <w:bottom w:val="none" w:sz="0" w:space="0" w:color="auto"/>
                <w:right w:val="none" w:sz="0" w:space="0" w:color="auto"/>
              </w:divBdr>
              <w:divsChild>
                <w:div w:id="821775465">
                  <w:marLeft w:val="0"/>
                  <w:marRight w:val="0"/>
                  <w:marTop w:val="0"/>
                  <w:marBottom w:val="0"/>
                  <w:divBdr>
                    <w:top w:val="none" w:sz="0" w:space="0" w:color="auto"/>
                    <w:left w:val="none" w:sz="0" w:space="0" w:color="auto"/>
                    <w:bottom w:val="none" w:sz="0" w:space="0" w:color="auto"/>
                    <w:right w:val="none" w:sz="0" w:space="0" w:color="auto"/>
                  </w:divBdr>
                  <w:divsChild>
                    <w:div w:id="1206943446">
                      <w:marLeft w:val="0"/>
                      <w:marRight w:val="0"/>
                      <w:marTop w:val="0"/>
                      <w:marBottom w:val="0"/>
                      <w:divBdr>
                        <w:top w:val="none" w:sz="0" w:space="0" w:color="auto"/>
                        <w:left w:val="none" w:sz="0" w:space="0" w:color="auto"/>
                        <w:bottom w:val="none" w:sz="0" w:space="0" w:color="auto"/>
                        <w:right w:val="none" w:sz="0" w:space="0" w:color="auto"/>
                      </w:divBdr>
                    </w:div>
                    <w:div w:id="204755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682875">
          <w:marLeft w:val="0"/>
          <w:marRight w:val="0"/>
          <w:marTop w:val="0"/>
          <w:marBottom w:val="0"/>
          <w:divBdr>
            <w:top w:val="none" w:sz="0" w:space="0" w:color="auto"/>
            <w:left w:val="none" w:sz="0" w:space="0" w:color="auto"/>
            <w:bottom w:val="none" w:sz="0" w:space="0" w:color="auto"/>
            <w:right w:val="none" w:sz="0" w:space="0" w:color="auto"/>
          </w:divBdr>
          <w:divsChild>
            <w:div w:id="1643777992">
              <w:marLeft w:val="0"/>
              <w:marRight w:val="0"/>
              <w:marTop w:val="0"/>
              <w:marBottom w:val="0"/>
              <w:divBdr>
                <w:top w:val="none" w:sz="0" w:space="0" w:color="auto"/>
                <w:left w:val="none" w:sz="0" w:space="0" w:color="auto"/>
                <w:bottom w:val="none" w:sz="0" w:space="0" w:color="auto"/>
                <w:right w:val="none" w:sz="0" w:space="0" w:color="auto"/>
              </w:divBdr>
              <w:divsChild>
                <w:div w:id="1350523436">
                  <w:marLeft w:val="0"/>
                  <w:marRight w:val="0"/>
                  <w:marTop w:val="0"/>
                  <w:marBottom w:val="0"/>
                  <w:divBdr>
                    <w:top w:val="none" w:sz="0" w:space="0" w:color="auto"/>
                    <w:left w:val="none" w:sz="0" w:space="0" w:color="auto"/>
                    <w:bottom w:val="none" w:sz="0" w:space="0" w:color="auto"/>
                    <w:right w:val="none" w:sz="0" w:space="0" w:color="auto"/>
                  </w:divBdr>
                  <w:divsChild>
                    <w:div w:id="1593128166">
                      <w:marLeft w:val="0"/>
                      <w:marRight w:val="0"/>
                      <w:marTop w:val="0"/>
                      <w:marBottom w:val="0"/>
                      <w:divBdr>
                        <w:top w:val="none" w:sz="0" w:space="0" w:color="auto"/>
                        <w:left w:val="none" w:sz="0" w:space="0" w:color="auto"/>
                        <w:bottom w:val="none" w:sz="0" w:space="0" w:color="auto"/>
                        <w:right w:val="none" w:sz="0" w:space="0" w:color="auto"/>
                      </w:divBdr>
                    </w:div>
                    <w:div w:id="175408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579491">
          <w:marLeft w:val="0"/>
          <w:marRight w:val="0"/>
          <w:marTop w:val="0"/>
          <w:marBottom w:val="0"/>
          <w:divBdr>
            <w:top w:val="none" w:sz="0" w:space="0" w:color="auto"/>
            <w:left w:val="none" w:sz="0" w:space="0" w:color="auto"/>
            <w:bottom w:val="none" w:sz="0" w:space="0" w:color="auto"/>
            <w:right w:val="none" w:sz="0" w:space="0" w:color="auto"/>
          </w:divBdr>
          <w:divsChild>
            <w:div w:id="796415392">
              <w:marLeft w:val="0"/>
              <w:marRight w:val="0"/>
              <w:marTop w:val="0"/>
              <w:marBottom w:val="0"/>
              <w:divBdr>
                <w:top w:val="none" w:sz="0" w:space="0" w:color="auto"/>
                <w:left w:val="none" w:sz="0" w:space="0" w:color="auto"/>
                <w:bottom w:val="none" w:sz="0" w:space="0" w:color="auto"/>
                <w:right w:val="none" w:sz="0" w:space="0" w:color="auto"/>
              </w:divBdr>
              <w:divsChild>
                <w:div w:id="1677489859">
                  <w:marLeft w:val="0"/>
                  <w:marRight w:val="0"/>
                  <w:marTop w:val="0"/>
                  <w:marBottom w:val="0"/>
                  <w:divBdr>
                    <w:top w:val="none" w:sz="0" w:space="0" w:color="auto"/>
                    <w:left w:val="none" w:sz="0" w:space="0" w:color="auto"/>
                    <w:bottom w:val="none" w:sz="0" w:space="0" w:color="auto"/>
                    <w:right w:val="none" w:sz="0" w:space="0" w:color="auto"/>
                  </w:divBdr>
                  <w:divsChild>
                    <w:div w:id="1280452586">
                      <w:marLeft w:val="0"/>
                      <w:marRight w:val="0"/>
                      <w:marTop w:val="0"/>
                      <w:marBottom w:val="0"/>
                      <w:divBdr>
                        <w:top w:val="none" w:sz="0" w:space="0" w:color="auto"/>
                        <w:left w:val="none" w:sz="0" w:space="0" w:color="auto"/>
                        <w:bottom w:val="none" w:sz="0" w:space="0" w:color="auto"/>
                        <w:right w:val="none" w:sz="0" w:space="0" w:color="auto"/>
                      </w:divBdr>
                    </w:div>
                    <w:div w:id="123458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7040F-664D-41C8-AC13-D7E3FEF06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2711</Words>
  <Characters>14611</Characters>
  <Application>Microsoft Office Word</Application>
  <DocSecurity>0</DocSecurity>
  <Lines>230</Lines>
  <Paragraphs>61</Paragraphs>
  <ScaleCrop>false</ScaleCrop>
  <HeadingPairs>
    <vt:vector size="2" baseType="variant">
      <vt:variant>
        <vt:lpstr>Título</vt:lpstr>
      </vt:variant>
      <vt:variant>
        <vt:i4>1</vt:i4>
      </vt:variant>
    </vt:vector>
  </HeadingPairs>
  <TitlesOfParts>
    <vt:vector size="1" baseType="lpstr">
      <vt:lpstr>Erref / Ref: Recurso Especial TRACASA</vt:lpstr>
    </vt:vector>
  </TitlesOfParts>
  <Company>DFA</Company>
  <LinksUpToDate>false</LinksUpToDate>
  <CharactersWithSpaces>17302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Erref / Ref: Recurso Especial TRACASA</dc:title>
  <dc:subject/>
  <dc:creator>OPITURRIAG_MJES</dc:creator>
  <cp:keywords/>
  <cp:lastModifiedBy>Achotegui Martinez de Arenaza, Fernando</cp:lastModifiedBy>
  <cp:revision>4</cp:revision>
  <cp:lastPrinted>2026-08-04T07:34:00Z</cp:lastPrinted>
  <dcterms:created xsi:type="dcterms:W3CDTF">2026-08-04T07:33:00Z</dcterms:created>
  <dcterms:modified xsi:type="dcterms:W3CDTF">2026-08-04T07:34:00Z</dcterms:modified>
</cp:coreProperties>
</file>