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4528" w14:textId="68F84523" w:rsidR="00E83C71" w:rsidRPr="00E83C71" w:rsidRDefault="00E83C71" w:rsidP="00E83C71">
      <w:pPr>
        <w:pStyle w:val="Ttulo"/>
        <w:spacing w:after="360"/>
        <w:jc w:val="both"/>
        <w:rPr>
          <w:rFonts w:ascii="Times New Roman" w:hAnsi="Times New Roman" w:cs="Times New Roman"/>
          <w:b/>
          <w:sz w:val="22"/>
          <w:szCs w:val="22"/>
        </w:rPr>
      </w:pPr>
      <w:r w:rsidRPr="00E83C71">
        <w:rPr>
          <w:rFonts w:ascii="Times New Roman" w:hAnsi="Times New Roman" w:cs="Times New Roman"/>
          <w:b/>
          <w:sz w:val="22"/>
          <w:szCs w:val="22"/>
          <w:lang w:val="eu-ES"/>
        </w:rPr>
        <w:t>FORU ARAU PROIEKTUA, ARABAKO FORU ALDUNDIAREN, EUSKAL AUTONOMIA ERKIDEGOKO ADMINISTRAZIO OROKORRAREN, OSAKIDETZA EUSKAL OSASUN ZERBITZUAREN ETA GASTEIZKO UDALAREN ARTEKO LANKIDETZA HITZARMENA BERRESTEKOA, HAURREN ETA NERABEEN AURKAKO SEXU INDARKERIARI AURRE EGITEKO ARRETA INTEGRAL ETA ESPEZIALIZATUAREN EREDUAREN ESPERIENTZIA PILOTUA ABIAN JARTZEA BULTZATZEKO</w:t>
      </w:r>
      <w:r>
        <w:rPr>
          <w:rFonts w:ascii="Times New Roman" w:hAnsi="Times New Roman" w:cs="Times New Roman"/>
          <w:b/>
          <w:sz w:val="22"/>
          <w:szCs w:val="22"/>
          <w:lang w:val="eu-ES"/>
        </w:rPr>
        <w:t xml:space="preserve"> </w:t>
      </w:r>
      <w:r w:rsidRPr="00E83C71">
        <w:rPr>
          <w:rFonts w:ascii="Times New Roman" w:hAnsi="Times New Roman" w:cs="Times New Roman"/>
          <w:b/>
          <w:sz w:val="22"/>
          <w:szCs w:val="22"/>
          <w:lang w:val="eu-ES"/>
        </w:rPr>
        <w:t>ZIOEN AZALPENA</w:t>
      </w:r>
    </w:p>
    <w:p w14:paraId="432EB944"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Euskal Autonomia Erkidegoko Autonomia Estatutuari buruzko abenduaren 18ko 3/1979 Lege Organikoak, 10. artikuluan, eskumen esklusiboak ematen dizkio Euskal Autonomia Erkidegoari honako arlo hauetan: «laguntza soziala» (12. apartatua), «adinera heldugabeen babes eta </w:t>
      </w:r>
      <w:proofErr w:type="spellStart"/>
      <w:r w:rsidRPr="00E83C71">
        <w:rPr>
          <w:sz w:val="22"/>
          <w:szCs w:val="22"/>
          <w:lang w:val="eu-ES"/>
        </w:rPr>
        <w:t>tutoregorako</w:t>
      </w:r>
      <w:proofErr w:type="spellEnd"/>
      <w:r w:rsidRPr="00E83C71">
        <w:rPr>
          <w:sz w:val="22"/>
          <w:szCs w:val="22"/>
          <w:lang w:val="eu-ES"/>
        </w:rPr>
        <w:t xml:space="preserve">, gartzelatzeko eta gizartean </w:t>
      </w:r>
      <w:proofErr w:type="spellStart"/>
      <w:r w:rsidRPr="00E83C71">
        <w:rPr>
          <w:sz w:val="22"/>
          <w:szCs w:val="22"/>
          <w:lang w:val="eu-ES"/>
        </w:rPr>
        <w:t>berrintegratzeko</w:t>
      </w:r>
      <w:proofErr w:type="spellEnd"/>
      <w:r w:rsidRPr="00E83C71">
        <w:rPr>
          <w:sz w:val="22"/>
          <w:szCs w:val="22"/>
          <w:lang w:val="eu-ES"/>
        </w:rPr>
        <w:t xml:space="preserve"> erakunde eta etxeen antolaketa, erregimena eta funtzionamendua, gai zibil, gaztigu eta </w:t>
      </w:r>
      <w:proofErr w:type="spellStart"/>
      <w:r w:rsidRPr="00E83C71">
        <w:rPr>
          <w:sz w:val="22"/>
          <w:szCs w:val="22"/>
          <w:lang w:val="eu-ES"/>
        </w:rPr>
        <w:t>gartzelazkoez</w:t>
      </w:r>
      <w:proofErr w:type="spellEnd"/>
      <w:r w:rsidRPr="00E83C71">
        <w:rPr>
          <w:sz w:val="22"/>
          <w:szCs w:val="22"/>
          <w:lang w:val="eu-ES"/>
        </w:rPr>
        <w:t xml:space="preserve"> legegintza orokorrak dioenaren </w:t>
      </w:r>
      <w:proofErr w:type="spellStart"/>
      <w:r w:rsidRPr="00E83C71">
        <w:rPr>
          <w:sz w:val="22"/>
          <w:szCs w:val="22"/>
          <w:lang w:val="eu-ES"/>
        </w:rPr>
        <w:t>arauera</w:t>
      </w:r>
      <w:proofErr w:type="spellEnd"/>
      <w:r w:rsidRPr="00E83C71">
        <w:rPr>
          <w:sz w:val="22"/>
          <w:szCs w:val="22"/>
          <w:lang w:val="eu-ES"/>
        </w:rPr>
        <w:t>» (14. apartatua) eta «komunitatearen aurrerabidea. Emakume kondizioaren arazoa. Haur, gazte eta hirugarren adinekoen aldeko politika» (39. apartatua). Bestalde, lege testu beraren 16., 17. eta 18. artikuluek Euskal Autonomia Erkidegoari esleitzen diote irakaskuntzaren arloko eskumena, bere luze-zabalean, maila eta gradu guztietan, eta eskumenak arlo hauetan: «ordena eta segurtasun publikoa» eta «barne-osasunaren arloko lege-garapenarena eta betearazpena», hurrenez hurren.</w:t>
      </w:r>
    </w:p>
    <w:p w14:paraId="72864635" w14:textId="77777777" w:rsidR="00E83C71" w:rsidRPr="00E83C71" w:rsidRDefault="00E83C71" w:rsidP="00E83C71">
      <w:pPr>
        <w:tabs>
          <w:tab w:val="left" w:pos="8505"/>
        </w:tabs>
        <w:spacing w:after="240"/>
        <w:jc w:val="both"/>
        <w:rPr>
          <w:sz w:val="22"/>
          <w:szCs w:val="22"/>
        </w:rPr>
      </w:pPr>
      <w:r w:rsidRPr="00E83C71">
        <w:rPr>
          <w:sz w:val="22"/>
          <w:szCs w:val="22"/>
          <w:lang w:val="eu-ES"/>
        </w:rPr>
        <w:t>Bestalde, autonomia elkarte osorako erakundeen eta bertako kondaira lurraldeetako foruzko jardute erakundeen arteko harremanei buruzko azaroaren 25eko 27/1983 Legeak, 7. artikuluan, lurralde historikoei aitortzen die lurralde historikoetako foru organoek dituzten Euskal Autonomia Erkidegoko erakunde erkideek emandako arauak betearazteko eskumena, gizarte laguntzaren eta haur eta gazteen politikaren arloan (hargatik eragotzi gabe erakunde erkideek gai horietan zuzenean jardutea).</w:t>
      </w:r>
    </w:p>
    <w:p w14:paraId="24405DA9" w14:textId="77777777" w:rsidR="00E83C71" w:rsidRPr="00E83C71" w:rsidRDefault="00E83C71" w:rsidP="00E83C71">
      <w:pPr>
        <w:tabs>
          <w:tab w:val="left" w:pos="8505"/>
        </w:tabs>
        <w:spacing w:after="240"/>
        <w:jc w:val="both"/>
        <w:rPr>
          <w:sz w:val="22"/>
          <w:szCs w:val="22"/>
        </w:rPr>
      </w:pPr>
      <w:r w:rsidRPr="00E83C71">
        <w:rPr>
          <w:sz w:val="22"/>
          <w:szCs w:val="22"/>
          <w:lang w:val="eu-ES"/>
        </w:rPr>
        <w:t>Toki eremuari dagokionez, Euskadiko Toki Erakundeei buruzko apirilaren 7ko 2/2016 Legeak 17.1 artikuluan jasotzen ditu udalerriek balia ditzaketen eskumen propioen artean honako hauek: «udaltzaingoa, trafikoa, bide-segurtasuna eta ibilgailuen aparkalekuak antolatzea eta kudeatzea, eta herritarren segurtasunean laguntzea» (4. apartatua); «osasun publikoa sustatzea, kudeatzea, defendatzea eta babestea» (10. apartatua); «gizarte-zerbitzuak antolatzea, planifikatzea eta kudeatzea» (13. apartatua); «diru-sarreren bermea eta gizarteratzea antolatzea, programatzea eta kudeatzea» (14. apartatua); «irakaskuntzaren programazioa egiten eta derrigorrezko eskolatze-aldia betetzeko zaintzan parte hartzea, bai eta haur-hezkuntzako, lehen hezkuntzako eta hezkuntza bereziko ikastetxe publikoen eraikinak kontserbatzea, mantentzea eta zaintzea ere. Era berean, hezkuntza-administrazioari laguntzea, ikastetxe publiko berriak egiteko behar dituen orubeak aurkitzen» (23. apartatua); eta «gazteria-politikak planifikatzea, antolatzea eta kudeatzea» (36. apartatua).</w:t>
      </w:r>
    </w:p>
    <w:p w14:paraId="5455E05B" w14:textId="77777777" w:rsidR="00E83C71" w:rsidRPr="00E83C71" w:rsidRDefault="00E83C71" w:rsidP="00E83C71">
      <w:pPr>
        <w:tabs>
          <w:tab w:val="left" w:pos="8505"/>
        </w:tabs>
        <w:spacing w:after="240"/>
        <w:jc w:val="both"/>
        <w:rPr>
          <w:sz w:val="22"/>
          <w:szCs w:val="22"/>
        </w:rPr>
      </w:pPr>
      <w:r w:rsidRPr="00E83C71">
        <w:rPr>
          <w:sz w:val="22"/>
          <w:szCs w:val="22"/>
          <w:lang w:val="eu-ES"/>
        </w:rPr>
        <w:t>Autonomia erkidegoentzako erreferentziazko oinarrizko legeria dira honako arau hauek, adingabeak babesteko arloan dituzten garapen eskumenak baliatuz: 1/1996 Legea, urtarrilaren 15ekoa, Adingabearen Babes Juridikoari buruzkoa; 8/2021 Lege Organikoa, ekainaren 4koa, Haurrak eta Nerabeak Indarkeriatik Osorik Babestekoa; 10/2022 Lege Organikoa, irailaren 6koa, sexu askatasunaren berme integralari buruzkoa; 1/2023 Lege Organikoa, otsailaren 28koa, Sexu- eta Ugalketa-osasunari eta Haurdunaldia Borondatez Eteteari buruzko martxoaren 3ko 2/2010 Lege Organikoa aldatzen duena.</w:t>
      </w:r>
    </w:p>
    <w:p w14:paraId="7D8CD33A"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Bereziki, Haurrak eta Nerabeak Indarkeriatik Osorik Babesteko ekainaren 4ko 8/2021 Lege Organikoa indarrean sartzeak aurrerapauso handia ekarri du adingabeen eskubideen babesean, eta arlo horretako </w:t>
      </w:r>
      <w:r w:rsidRPr="00E83C71">
        <w:rPr>
          <w:sz w:val="22"/>
          <w:szCs w:val="22"/>
          <w:lang w:val="eu-ES"/>
        </w:rPr>
        <w:lastRenderedPageBreak/>
        <w:t>Estatuko lege esparrua osatzen du. Ildo horretan, erantzun egiten dio Haurren Eskubideen Batzordeak Espainiari behin eta berriz egindako eskaerari, haurren aurkako indarkeriari buruzko lege integral bat onartzeko beharrari buruz; izan ere, lege horren arau irismena genero indarkeriaren esparruan onartutakoaren antzekoa izan behar zen.</w:t>
      </w:r>
    </w:p>
    <w:p w14:paraId="1E9065E9" w14:textId="77777777" w:rsidR="00E83C71" w:rsidRPr="00E83C71" w:rsidRDefault="00E83C71" w:rsidP="00E83C71">
      <w:pPr>
        <w:tabs>
          <w:tab w:val="left" w:pos="8505"/>
        </w:tabs>
        <w:spacing w:after="240"/>
        <w:jc w:val="both"/>
        <w:rPr>
          <w:sz w:val="22"/>
          <w:szCs w:val="22"/>
        </w:rPr>
      </w:pPr>
      <w:r w:rsidRPr="00E83C71">
        <w:rPr>
          <w:sz w:val="22"/>
          <w:szCs w:val="22"/>
          <w:lang w:val="eu-ES"/>
        </w:rPr>
        <w:t>Lege organiko horren abiapuntua adingabeek indarkeriarik ez jasateko duten eskubidea da, eta, premisa horretatik abiatuta, haurren eta nerabeen aurkako indarkeriari hurbilketa integral batetik aurre egiten dio, arrisku faktoreen eta ondorioen dimentsio anitzeko izaerari erantzun zabala emanez.</w:t>
      </w:r>
    </w:p>
    <w:p w14:paraId="24A26FA4" w14:textId="77777777" w:rsidR="00E83C71" w:rsidRPr="00E83C71" w:rsidRDefault="00E83C71" w:rsidP="00E83C71">
      <w:pPr>
        <w:tabs>
          <w:tab w:val="left" w:pos="8505"/>
        </w:tabs>
        <w:spacing w:after="240"/>
        <w:jc w:val="both"/>
        <w:rPr>
          <w:sz w:val="22"/>
          <w:szCs w:val="22"/>
        </w:rPr>
      </w:pPr>
      <w:r w:rsidRPr="00E83C71">
        <w:rPr>
          <w:sz w:val="22"/>
          <w:szCs w:val="22"/>
          <w:lang w:val="eu-ES"/>
        </w:rPr>
        <w:t>Era berean, aipatutako legeak funtsezko lehentasuna ematen die sozializazioari eta hezkuntzari, bai adingabeen artean, bai familien eta gizarte zibilaren artean. Era berean, babeserako, hautemate goiztiarrerako, laguntzarako, urratutako eskubideen leheneratzeko eta biktima oneratzeko neurriak ezartzen ditu, bigarren mailako biktimizazioa saihesteko jardunbide egoki gisa identifikatutako arreta eredu integraletan inspiratuta.</w:t>
      </w:r>
    </w:p>
    <w:p w14:paraId="06A1B1CF" w14:textId="77777777" w:rsidR="00E83C71" w:rsidRPr="00E83C71" w:rsidRDefault="00E83C71" w:rsidP="00E83C71">
      <w:pPr>
        <w:tabs>
          <w:tab w:val="left" w:pos="8505"/>
        </w:tabs>
        <w:spacing w:after="240"/>
        <w:jc w:val="both"/>
        <w:rPr>
          <w:sz w:val="22"/>
          <w:szCs w:val="22"/>
        </w:rPr>
      </w:pPr>
      <w:r w:rsidRPr="00E83C71">
        <w:rPr>
          <w:sz w:val="22"/>
          <w:szCs w:val="22"/>
          <w:lang w:val="eu-ES"/>
        </w:rPr>
        <w:t>Gainera, legeak prebentzio eta babes eredu komun bat lortu nahi du Estatuko lurralde osoan, adingabeen eskubideen urraketen aurrean, Estatuak eta autonomia erkidegoek eskumen partekatua duten eremu materialetan (hezkuntza, osasuna...), baita autonomia erkidegoei bakarrik esleitutako gaiei dagokienez ere (adibidez, gizarte zerbitzuak). Eta, horregatik, haren garapenaren bermea eta eraginkortasuna ezin bereiz daitezke autonomia erkidegoek eskumenak banatzeko konstituzio eta estatutu sistemaren esparruan beren gain hartutako ahalmen eta eginkizunak gauzatzean izan beharreko jarduketa eta lankidetzatik.</w:t>
      </w:r>
    </w:p>
    <w:p w14:paraId="042F13C4"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Adierazitako eskumen esparru substantiboan, Haur eta Nerabeei buruzko otsailaren 15eko 2/2024 Legearen (aurrerantzean 2/2024 Legea) xedea honako hau da: Euskal Autonomia Erkidegoan bizi diren edo dauden pertsona adingabe guztiei bermatzea ordenamendu juridikoak aitortzen dizkien eskubide eta askatasunak eraginkortasunez egikaritu ahal izatea; </w:t>
      </w:r>
      <w:proofErr w:type="spellStart"/>
      <w:r w:rsidRPr="00E83C71">
        <w:rPr>
          <w:sz w:val="22"/>
          <w:szCs w:val="22"/>
          <w:lang w:val="eu-ES"/>
        </w:rPr>
        <w:t>erantzunkidetasun</w:t>
      </w:r>
      <w:proofErr w:type="spellEnd"/>
      <w:r w:rsidRPr="00E83C71">
        <w:rPr>
          <w:sz w:val="22"/>
          <w:szCs w:val="22"/>
          <w:lang w:val="eu-ES"/>
        </w:rPr>
        <w:t>-eginbeharretik, ekintza publikoaren sektore-eremu guztietan Euskal Autonomia Erkidegoko botere publikoek garatu behar dituzten ekintzak zehaztea, aurreko letran ezarritako helburua lortzeko; jarduketa-printzipioak zehaztea eta sustapen-, prebentzio-, arreta- eta babes-jarduketa guztiei dagokien eskumen-esparrua ezartzea, baita koordinazio-, elkarlan- eta partaidetza-egiturak ere.</w:t>
      </w:r>
    </w:p>
    <w:p w14:paraId="1D15F735"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Lege horren eremuari dagokionez, kontuan hartu behar da, halaber, 1/2023 Legegintzako Dekretua, martxoaren 16koa, emakumeen eta gizonen berdintasunerako eta emakumeen aurkako indarkeria matxistarik gabe bizitzeko Legearen testu </w:t>
      </w:r>
      <w:proofErr w:type="spellStart"/>
      <w:r w:rsidRPr="00E83C71">
        <w:rPr>
          <w:sz w:val="22"/>
          <w:szCs w:val="22"/>
          <w:lang w:val="eu-ES"/>
        </w:rPr>
        <w:t>bategina</w:t>
      </w:r>
      <w:proofErr w:type="spellEnd"/>
      <w:r w:rsidRPr="00E83C71">
        <w:rPr>
          <w:sz w:val="22"/>
          <w:szCs w:val="22"/>
          <w:lang w:val="eu-ES"/>
        </w:rPr>
        <w:t xml:space="preserve"> onesten duena; izan ere, bertan jasotzen da genero ikuspegia zeharka jorratu behar dela emakumeen aurkako indarkeria matxistaren biktima diren adingabeei zuzendutako politika publiko eta neurri guztietan.</w:t>
      </w:r>
    </w:p>
    <w:p w14:paraId="6EB97E26"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Nolanahi ere, eta aipatutako 2/2024 Legearen 5. artikuluan xedatutakoarekin bat etorriz, euskal administrazio publiko guztiek </w:t>
      </w:r>
      <w:proofErr w:type="spellStart"/>
      <w:r w:rsidRPr="00E83C71">
        <w:rPr>
          <w:sz w:val="22"/>
          <w:szCs w:val="22"/>
          <w:lang w:val="eu-ES"/>
        </w:rPr>
        <w:t>erantzunkidetasun</w:t>
      </w:r>
      <w:proofErr w:type="spellEnd"/>
      <w:r w:rsidRPr="00E83C71">
        <w:rPr>
          <w:sz w:val="22"/>
          <w:szCs w:val="22"/>
          <w:lang w:val="eu-ES"/>
        </w:rPr>
        <w:t>-eginbeharretik jardun beharko dute, bakoitzak bere sektore-eremuan, beren gain hartuz lege honetan esleitzen zaizkien eskumen eta eginkizunak, haien politika, estrategia eta jarduketek modu artikulatuan egin dezaten bat sustapen, prebentzio, arreta eta babesari dagozkien esku-hartzeko arloetan. Horrela, bat eginez, arreta integrala eta sektore anitzekoa eratuko dute haur eta nerabeentzat» (3. apartatua). Horretarako, erakunde eta sektore arteko elkarlan, lankidetza eta koordinaziorako bide formal eta arinak ezarriko dira, eta elkarlan eta kooperaziorako tresna teknikoak eta protokoloak ezarriko dira (5. apartatua).</w:t>
      </w:r>
    </w:p>
    <w:p w14:paraId="5D296619"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Bestalde, lege horren 11.1 artikuluak dioenez, indarkeriaren kontrako babesa osatzen dutela «prebentziotik hasi eta haur edo nerabe bat edozein indarkeria-motaren biktima den edo hura izateko arriskuan dagoen kasura arte garatu behar diren euskal administrazio publikoen politika, prozedura eta </w:t>
      </w:r>
      <w:r w:rsidRPr="00E83C71">
        <w:rPr>
          <w:sz w:val="22"/>
          <w:szCs w:val="22"/>
          <w:lang w:val="eu-ES"/>
        </w:rPr>
        <w:lastRenderedPageBreak/>
        <w:t>jarduketa guztiek, indarkeria hori gertatzen den eremua edozein dela ere, dela eskolakoa, komunitate-mailakoa, kirolekoa, familiakoa edo bestelakoa»</w:t>
      </w:r>
    </w:p>
    <w:p w14:paraId="183EB54F" w14:textId="77777777" w:rsidR="00E83C71" w:rsidRPr="00E83C71" w:rsidRDefault="00E83C71" w:rsidP="00E83C71">
      <w:pPr>
        <w:tabs>
          <w:tab w:val="left" w:pos="8505"/>
        </w:tabs>
        <w:spacing w:after="240"/>
        <w:jc w:val="both"/>
        <w:rPr>
          <w:sz w:val="22"/>
          <w:szCs w:val="22"/>
        </w:rPr>
      </w:pPr>
      <w:r w:rsidRPr="00E83C71">
        <w:rPr>
          <w:sz w:val="22"/>
          <w:szCs w:val="22"/>
          <w:lang w:val="eu-ES"/>
        </w:rPr>
        <w:t>Euskal Autonomia Erkidegoko administrazio publikoen jardunak, bakoitzak bere eskumenen barruan, honako printzipio hauek bete behar ditu, 13. artikuluan jasotzen denez: «eskubideak bermatzeko printzipioa, jarduketen ardatz nagusi gisa» (a letra); «haurtzaroaren zeharkakotasunaren printzipioa politika guztietan» (e letra); «politiken izaera integralaren printzipioa» (h letra); «erakunde arteko eta sektore arteko plangintza-printzipioa» (i letra); «esku-hartzeen diziplinartekotasunaren printzipioa» (m letra); «profesionalen espezializazioaren printzipioa» (n letra); «sustapen, prebentzio eta detekzio goiztiarraren lehentasun-printzipioa» (q letra); eta «genero-ikuspegiaren printzipioa» (t letra).</w:t>
      </w:r>
    </w:p>
    <w:p w14:paraId="38BE6494" w14:textId="77777777" w:rsidR="00E83C71" w:rsidRPr="00E83C71" w:rsidRDefault="00E83C71" w:rsidP="00E83C71">
      <w:pPr>
        <w:tabs>
          <w:tab w:val="left" w:pos="8505"/>
        </w:tabs>
        <w:spacing w:after="240"/>
        <w:jc w:val="both"/>
        <w:rPr>
          <w:sz w:val="22"/>
          <w:szCs w:val="22"/>
        </w:rPr>
      </w:pPr>
      <w:r w:rsidRPr="00E83C71">
        <w:rPr>
          <w:sz w:val="22"/>
          <w:szCs w:val="22"/>
          <w:lang w:val="eu-ES"/>
        </w:rPr>
        <w:t>Bestalde, 24. artikuluak eskubidea aitortzen dio adingabe orori bere interes gorena balioetsi eta lehentasunezkotzat har dadin berari dagozkion ekintza eta erabaki guztietan, adingabearen eskubide guztien errespetu osoa eta eraginkorra ziurtatzeko, bai eta eskubide horien garapen integrala ziurtatzeko ere. Aipatutako eskubidearekin bat etorriz, entzuna eta aditua izateko eskubidearen barruan, 26.3 artikuluak eskubidea aitortzen die edozein indarkeria motaren biktima diren adingabeei «entzuna izateko eta aditua izateko, berme guztiekin eta inolako diskriminaziorik ez mugarik jasan gabe, adina barne, eragiten dioten prozedura eta erabaki guztietan. Nolanahi ere, bermatu beharko da zorroztasunez, tentuz eta errespetuz lortzen dela lekukotza, batez ere adin goiztiarreko biktimei entzutean.»</w:t>
      </w:r>
    </w:p>
    <w:p w14:paraId="7B25432D" w14:textId="77777777" w:rsidR="00E83C71" w:rsidRPr="00E83C71" w:rsidRDefault="00E83C71" w:rsidP="00E83C71">
      <w:pPr>
        <w:tabs>
          <w:tab w:val="left" w:pos="8505"/>
        </w:tabs>
        <w:spacing w:after="240"/>
        <w:jc w:val="both"/>
        <w:rPr>
          <w:sz w:val="22"/>
          <w:szCs w:val="22"/>
        </w:rPr>
      </w:pPr>
      <w:r w:rsidRPr="00E83C71">
        <w:rPr>
          <w:sz w:val="22"/>
          <w:szCs w:val="22"/>
          <w:lang w:val="eu-ES"/>
        </w:rPr>
        <w:t>Lehen deskribatutako esparru orokorrean, 2/2024 Legearen V. tituluak haurren eta nerabeen aurkako indarkeria egoerak prebenitu, hauteman eta babesteari buruzko alderdiak arautzen ditu. Eremu horretan, aipatutako legearen 319.5.c) artikuluan ezarritakoaren arabera, Eusko Jaurlaritzari dagokio, bere eskumeneko eremu materialari dagozkion zerbitzuen bitartez, honako helburu hauek dituzten neurriak hartzea: berehalako sorospena eta arreta ematea, adingabeak babestea, haien eskubideen defentsa eta erabilera bermatzea, bai eta haien oneratze fisiko eta psikikoa ere.</w:t>
      </w:r>
    </w:p>
    <w:p w14:paraId="5F8F0524" w14:textId="77777777" w:rsidR="00E83C71" w:rsidRPr="00E83C71" w:rsidRDefault="00E83C71" w:rsidP="00E83C71">
      <w:pPr>
        <w:tabs>
          <w:tab w:val="left" w:pos="8505"/>
        </w:tabs>
        <w:spacing w:after="240"/>
        <w:jc w:val="both"/>
        <w:rPr>
          <w:sz w:val="22"/>
          <w:szCs w:val="22"/>
        </w:rPr>
      </w:pPr>
      <w:r w:rsidRPr="00E83C71">
        <w:rPr>
          <w:sz w:val="22"/>
          <w:szCs w:val="22"/>
          <w:lang w:val="eu-ES"/>
        </w:rPr>
        <w:t>Bestalde, eta 2/2024 Legearen 320.4 artikuluan ezarritakoaren arabera, foru aldundiek eskumen hauek dituzte arau horren V. tituluan jasotako eremuan: familia-eremuan indarkeria prebenitzeko, detektatzeko eta hartatik babesteko neurriak antolatzea, bereziki familiarekin gizarte- eta hezkuntza-arloan edo arlo psikosozialean esku hartzeko zerbitzuen bitartez; Gizarte Larrialdietarako Koordinazio Zerbitzua ematea, zeinak haurren eta nerabeen kontrako indarkeria-kasuak berehala detektatzen eta haietan berehalako arreta ematen jardungo baitu, bai familia-eremuan bai komunitatekoan gertatzen direnean; Gizarte Zerbitzuei buruzko abenduaren 5eko 12/2008 Legearen 41.3 artikuluak haien eskumenekotzat jotako lurralde-zerbitzuak ematea, haurren eta nerabeen kontrako indarkeria-egoerei erantzuteko egokiak izan daitezkeenak eta, zehazki, aipatutako legearen 22. artikuluko 2.4.6 eta 2.7.5 apartatuetan aurreikusitakoak.</w:t>
      </w:r>
    </w:p>
    <w:p w14:paraId="0CC51038"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Azkenik, 2/2024 Legearen 321.4 artikuluak honako eskumen hauek ematen dizkie udalei, haurren eta nerabeen kontrako indarkeria egoerak prebenitzeko, detektatzeko eta haietan arreta emateko eremuan (lege horren V. tituluan jasoa): familia eremuan indarkeria prebenitzeko, detektatzeko eta hartatik babesteko neurriak antolatzea, hala familia eremuan nola komunitatekoan; bereziki, Udaltzaingoaren zerbitzuen bidez, gizarte eta hezkuntza arloan edo arlo psikosozialean esku hartzeko zerbitzuen bidez edo beste udal zerbitzu batzuen bidez; haurren eta nerabeen kontrako indarkeria egoerei buruz ezarritako komunikatzeko eginbeharra edo komunikatzeko eginbehar kualifikatua betez komunikatutako kasuak baloratzea, babesgabetasun egoerarik dagoen ala ez ebazteko eta, hala bada, VI. tituluan jasotako aurreikuspenetara egokitzeko; Gizarte Zerbitzuei buruzko abenduaren 5eko 12/2008 Legearen 42.4 artikuluak haien eskumenekotzat jotako udaleko gizarte zerbitzuak ematea, </w:t>
      </w:r>
      <w:r w:rsidRPr="00E83C71">
        <w:rPr>
          <w:sz w:val="22"/>
          <w:szCs w:val="22"/>
          <w:lang w:val="eu-ES"/>
        </w:rPr>
        <w:lastRenderedPageBreak/>
        <w:t>haurren eta nerabeen kontrako indarkeria egoerei erantzuteko egokiak izan daitezkeenak, lege testu beraren 22.1 artikuluan ezarritakoarekin lotuta.</w:t>
      </w:r>
    </w:p>
    <w:p w14:paraId="7F0BFB86" w14:textId="77777777" w:rsidR="00E83C71" w:rsidRPr="00E83C71" w:rsidRDefault="00E83C71" w:rsidP="00E83C71">
      <w:pPr>
        <w:tabs>
          <w:tab w:val="left" w:pos="8505"/>
        </w:tabs>
        <w:spacing w:after="240"/>
        <w:jc w:val="both"/>
        <w:rPr>
          <w:sz w:val="22"/>
          <w:szCs w:val="22"/>
        </w:rPr>
      </w:pPr>
      <w:r w:rsidRPr="00E83C71">
        <w:rPr>
          <w:sz w:val="22"/>
          <w:szCs w:val="22"/>
          <w:lang w:val="eu-ES"/>
        </w:rPr>
        <w:t>Eskumen banaketaren esparru horretan, 2/2024 Legearen V. tituluaren II. kapituluan, familian, eskolan, jarduera fisikoan, kirolean eta aisia hezitzailean eta harreman, informazio eta komunikazio teknologien bidez indarkeria ekintzek adingabeei oinarrizko eskubideak urratzen dizkieten egoerei aurrea hartzeko jarduketak garatzen dira.</w:t>
      </w:r>
    </w:p>
    <w:p w14:paraId="09BD32F4"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Bestalde, aipatutako V. tituluaren III. kapituluak berariaz arautzen ditu haurren eta nerabeen aurkako indarkeria egoerak hautemateari eta horietan esku hartzeari buruzko alderdiak, eta eremu horretan, 140. artikuluaren arabera, euskal administrazio publikoek arreta integrala emango diete indarkeriaren biktima diren pertsona adingabeei, eta bertan jasoko dira jarduketa-eremu bakoitzerako kapitulu honetan aurreikusitako esku-hartze, laguntza, harrera eta suspertze fisiko eta psikologikoko neurri egokiak, hargatik eragotzi gabe indarkeria familia-ingurunean gertatu den kasuetarako berariaz jasotako babes-neurriak, indarkeria horrek arrisku- edo </w:t>
      </w:r>
      <w:proofErr w:type="spellStart"/>
      <w:r w:rsidRPr="00E83C71">
        <w:rPr>
          <w:sz w:val="22"/>
          <w:szCs w:val="22"/>
          <w:lang w:val="eu-ES"/>
        </w:rPr>
        <w:t>desanparo</w:t>
      </w:r>
      <w:proofErr w:type="spellEnd"/>
      <w:r w:rsidRPr="00E83C71">
        <w:rPr>
          <w:sz w:val="22"/>
          <w:szCs w:val="22"/>
          <w:lang w:val="eu-ES"/>
        </w:rPr>
        <w:t>-egoera eragiten badu lege honek VI. tituluan zehaztutako moduan.</w:t>
      </w:r>
    </w:p>
    <w:p w14:paraId="3A586414" w14:textId="77777777" w:rsidR="00E83C71" w:rsidRPr="00E83C71" w:rsidRDefault="00E83C71" w:rsidP="00E83C71">
      <w:pPr>
        <w:tabs>
          <w:tab w:val="left" w:pos="8505"/>
        </w:tabs>
        <w:spacing w:after="240"/>
        <w:jc w:val="both"/>
        <w:rPr>
          <w:sz w:val="22"/>
          <w:szCs w:val="22"/>
        </w:rPr>
      </w:pPr>
      <w:r w:rsidRPr="00E83C71">
        <w:rPr>
          <w:sz w:val="22"/>
          <w:szCs w:val="22"/>
          <w:lang w:val="eu-ES"/>
        </w:rPr>
        <w:t>Era berean, lehen aipatutako artikuluak 3. apartatuan ezartzen duenez, euskal administrazio publikoek inplikatutako eragile guztien arteko koordinaziorako beharrezkoak diren neurriak hartu beharko dituzte, kasu bakoitzean esku hartu behar duten pertsona adingabeen biktimizazio sekundarioa saihesteko, eta ahaleginduko dira indarkeriaren biktima diren pertsona adingabeei arreta eman dakien pertsona adingabeari egokitutako ingurune lagunkoia duten guneetan.</w:t>
      </w:r>
    </w:p>
    <w:p w14:paraId="6C0417E6" w14:textId="77777777" w:rsidR="00E83C71" w:rsidRPr="00E83C71" w:rsidRDefault="00E83C71" w:rsidP="00E83C71">
      <w:pPr>
        <w:tabs>
          <w:tab w:val="left" w:pos="8505"/>
        </w:tabs>
        <w:spacing w:after="240"/>
        <w:jc w:val="both"/>
        <w:rPr>
          <w:sz w:val="22"/>
          <w:szCs w:val="22"/>
        </w:rPr>
      </w:pPr>
      <w:r w:rsidRPr="00E83C71">
        <w:rPr>
          <w:sz w:val="22"/>
          <w:szCs w:val="22"/>
          <w:lang w:val="eu-ES"/>
        </w:rPr>
        <w:t>Testuinguru horretan, III. kapituluak EAEko administrazio publikoek adingabea edozein indarkeria motaren biktima denean edo biktima izateko arriskuan dagoenean gauzatu behar dituzten politikak, prozedurak eta jarduketak antolatzen ditu, indarkeria zein eremutan gertatzen den kontuan hartu gabe (eskola, komunitatea, kirola, familia edo beste edozein).</w:t>
      </w:r>
    </w:p>
    <w:p w14:paraId="7415BB14" w14:textId="77777777" w:rsidR="00E83C71" w:rsidRPr="00E83C71" w:rsidRDefault="00E83C71" w:rsidP="00E83C71">
      <w:pPr>
        <w:tabs>
          <w:tab w:val="left" w:pos="8505"/>
        </w:tabs>
        <w:spacing w:after="240"/>
        <w:jc w:val="both"/>
        <w:rPr>
          <w:sz w:val="22"/>
          <w:szCs w:val="22"/>
        </w:rPr>
      </w:pPr>
      <w:r w:rsidRPr="00E83C71">
        <w:rPr>
          <w:sz w:val="22"/>
          <w:szCs w:val="22"/>
          <w:lang w:val="eu-ES"/>
        </w:rPr>
        <w:t>Aurrekoaz gain, funtsezkoa da adieraztea, indarkeriaren biktima diren adingabeei arreta integrala ematearen esparruan, 2/2024 Legearen Lehen Xedapen Gehigarriak ezartzen duenez, Eusko Jaurlaritzak planifikatu eta koordinatuko du Euskal Autonomia Erkidegoan zerbitzu bat sortu eta abian jartzeko lana, arreta integral eta espezializatua emateko sexu-indarkeriaren biktima izan diren haur eta nerabeei. Zerbitzu hori ingurune seguru modura eratuko da, eta harrera-, laguntza-, babes- eta errekuperazio-neurriak eman beharko zaizkie.</w:t>
      </w:r>
    </w:p>
    <w:p w14:paraId="00B6D718" w14:textId="77777777" w:rsidR="00E83C71" w:rsidRPr="00E83C71" w:rsidRDefault="00E83C71" w:rsidP="00E83C71">
      <w:pPr>
        <w:tabs>
          <w:tab w:val="left" w:pos="8505"/>
        </w:tabs>
        <w:spacing w:after="240"/>
        <w:jc w:val="both"/>
        <w:rPr>
          <w:sz w:val="22"/>
          <w:szCs w:val="22"/>
        </w:rPr>
      </w:pPr>
      <w:r w:rsidRPr="00E83C71">
        <w:rPr>
          <w:sz w:val="22"/>
          <w:szCs w:val="22"/>
          <w:lang w:val="eu-ES"/>
        </w:rPr>
        <w:t>EAEn horrelako zerbitzu bat modu eraginkorrean ezartzeko, berehala landu ezin diren zenbait jarduketa egin behar dira, hala nola sektoreko protokoloak ezartzea horretarako sortutako batzorde misto baten esparruan, eta 2/2024 Legearen VIII. tituluan aurreikusitako organoak arautzea eta eratzea.</w:t>
      </w:r>
    </w:p>
    <w:p w14:paraId="01666BB2"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Aurrekoa gorabehera, 2/2024 Legearen 302. artikuluak adierazten duenez, lege horren 5. artikuluan ezarritako </w:t>
      </w:r>
      <w:proofErr w:type="spellStart"/>
      <w:r w:rsidRPr="00E83C71">
        <w:rPr>
          <w:sz w:val="22"/>
          <w:szCs w:val="22"/>
          <w:lang w:val="eu-ES"/>
        </w:rPr>
        <w:t>erantzunkidetasun</w:t>
      </w:r>
      <w:proofErr w:type="spellEnd"/>
      <w:r w:rsidRPr="00E83C71">
        <w:rPr>
          <w:sz w:val="22"/>
          <w:szCs w:val="22"/>
          <w:lang w:val="eu-ES"/>
        </w:rPr>
        <w:t xml:space="preserve"> eginbeharraren arabera, euskal administrazio publikoek beren lankidetza eta koordinazio betebeharra beteko dute, bai erakunde arteko mailan, bai sektore arteko mailan, hain zuzen ere koherentzia, batasun, eraginkortasun eta efizientzia handienak bermatzeko haurren eta nerabeen ongizatean, haien eskubideen sustapenean eta haien garapen oso eta harmonikoa edo haien eskubideak urra ditzaketen egoeren prebentzioan, detekzioan eta babesean eragina duten politika eta jarduketetan.</w:t>
      </w:r>
    </w:p>
    <w:p w14:paraId="513E3314"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Bestalde, urriaren 1eko 40/2015 Legeak, Sektore Publikoaren Araubide Juridikoarenak, jarduteko printzipio orokorrak eta subjektu publikoen arteko harremanetarako teknikak zehazten ditu, eta aipatutako lege testuaren III. tituluak xedatzen du administrazioen arteko harremanak printzipio hauek </w:t>
      </w:r>
      <w:r w:rsidRPr="00E83C71">
        <w:rPr>
          <w:sz w:val="22"/>
          <w:szCs w:val="22"/>
          <w:lang w:val="eu-ES"/>
        </w:rPr>
        <w:lastRenderedPageBreak/>
        <w:t>arautuko dituztela: elkarlana, lankidetza, efizientzia kudeaketan, administrazio publiko bakoitzak bere betebeharrak eta konpromisoak betetzeko erantzukizuna, bermea eta berdintasuna herritar guztiek administrazioekiko harremanetan dituzten eskubideak baliatzeko, eta lurraldeen arteko elkartasuna, Konstituzioaren arabera.</w:t>
      </w:r>
    </w:p>
    <w:p w14:paraId="5A3A5A12" w14:textId="77777777" w:rsidR="00E83C71" w:rsidRPr="00E83C71" w:rsidRDefault="00E83C71" w:rsidP="00E83C71">
      <w:pPr>
        <w:tabs>
          <w:tab w:val="left" w:pos="8505"/>
        </w:tabs>
        <w:spacing w:after="240"/>
        <w:jc w:val="both"/>
        <w:rPr>
          <w:sz w:val="22"/>
          <w:szCs w:val="22"/>
        </w:rPr>
      </w:pPr>
      <w:r w:rsidRPr="00E83C71">
        <w:rPr>
          <w:sz w:val="22"/>
          <w:szCs w:val="22"/>
          <w:lang w:val="eu-ES"/>
        </w:rPr>
        <w:t>Arestian deskribatutako esparruan, eta 2/2024 Legeak gai horretan inplikatutako administrazio publikoei esleitzen dizkien sexu indarkeriako egoerak hautemateko eta horietan esku hartzeko betebeharrak betez, hitzarmen honen bidez esperientzia pilotu bat ezarri nahi da Arabako Lurralde Historikoan haurrei eta nerabeei sexu indarkeriaren aurrean arreta emateko eredu bat abian jartzeko.</w:t>
      </w:r>
    </w:p>
    <w:p w14:paraId="0B9E40EE" w14:textId="77777777" w:rsidR="00E83C71" w:rsidRPr="00E83C71" w:rsidRDefault="00E83C71" w:rsidP="00E83C71">
      <w:pPr>
        <w:tabs>
          <w:tab w:val="left" w:pos="8505"/>
        </w:tabs>
        <w:spacing w:after="240"/>
        <w:jc w:val="both"/>
        <w:rPr>
          <w:sz w:val="22"/>
          <w:szCs w:val="22"/>
        </w:rPr>
      </w:pPr>
      <w:r w:rsidRPr="00E83C71">
        <w:rPr>
          <w:sz w:val="22"/>
          <w:szCs w:val="22"/>
          <w:lang w:val="eu-ES"/>
        </w:rPr>
        <w:t>Une honetan, lehen aipatutako ereduaren garapena tresna egokitzat jotzen da arlo horretan diharduten administrazio publiko guztiek batera jarduteko jarraibideak eratzen aurrera egiteko, eta horien jarraipen eta ebaluazio jarraituak erraztuko du 2/2024 Legearen lehen xedapen gehigarriak aipatzen duen zerbitzua etorkizunean taxutzeko irizpide egokienak zehazteko behar diren ezagutza eta elementuak lortzea.</w:t>
      </w:r>
    </w:p>
    <w:p w14:paraId="512D9C83" w14:textId="77777777" w:rsidR="00E83C71" w:rsidRPr="00E83C71" w:rsidRDefault="00E83C71" w:rsidP="00E83C71">
      <w:pPr>
        <w:tabs>
          <w:tab w:val="left" w:pos="8505"/>
        </w:tabs>
        <w:spacing w:after="240"/>
        <w:jc w:val="both"/>
        <w:rPr>
          <w:sz w:val="22"/>
          <w:szCs w:val="22"/>
        </w:rPr>
      </w:pPr>
      <w:r w:rsidRPr="00E83C71">
        <w:rPr>
          <w:sz w:val="22"/>
          <w:szCs w:val="22"/>
          <w:lang w:val="eu-ES"/>
        </w:rPr>
        <w:t>Ildo horretan, esperientzia pilotuan jasotzen diren jarduketak osasunaren, hezkuntzaren, jarduera fisikoaren eta kirolaren, gizarte zerbitzuen, polizia eta justiziaren eremuetan sartzen dira, baina horien guztien artean garrantzi berezia hartzen dute gizarte zerbitzuen jarduketek, kontuan hartuta informazioa biltzeko eta haurren eta nerabeen aurkako balizko indarkeria kasuen balorazioa egiteko duten eskumena.</w:t>
      </w:r>
    </w:p>
    <w:p w14:paraId="5DDA3451"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Adierazitako baldintzetan, esperientzia pilotuak bermatuko du indarkeriaren biktima diren adingabeei arreta integrala, ordenatua eta koordinatua emateko eskubidea. Arreta horrek barne hartuko ditu esku hartze, babes, harrera eta errekuperazio fisiko eta psikologikorako neurriak, eta, era berean, bigarren mailako biktimizazioa saihesteko ezartzen diren neurriak nabarmenduko ditu, bai eta delituaren ondoriozko kalteen </w:t>
      </w:r>
      <w:proofErr w:type="spellStart"/>
      <w:r w:rsidRPr="00E83C71">
        <w:rPr>
          <w:sz w:val="22"/>
          <w:szCs w:val="22"/>
          <w:lang w:val="eu-ES"/>
        </w:rPr>
        <w:t>erreparazio</w:t>
      </w:r>
      <w:proofErr w:type="spellEnd"/>
      <w:r w:rsidRPr="00E83C71">
        <w:rPr>
          <w:sz w:val="22"/>
          <w:szCs w:val="22"/>
          <w:lang w:val="eu-ES"/>
        </w:rPr>
        <w:t xml:space="preserve"> material eta moral egokia lortzera bideratutakoak ere.</w:t>
      </w:r>
    </w:p>
    <w:p w14:paraId="1715E264" w14:textId="77777777" w:rsidR="00E83C71" w:rsidRPr="00E83C71" w:rsidRDefault="00E83C71" w:rsidP="00E83C71">
      <w:pPr>
        <w:tabs>
          <w:tab w:val="left" w:pos="8505"/>
        </w:tabs>
        <w:spacing w:after="240"/>
        <w:jc w:val="both"/>
        <w:rPr>
          <w:sz w:val="22"/>
          <w:szCs w:val="22"/>
        </w:rPr>
      </w:pPr>
      <w:r w:rsidRPr="00E83C71">
        <w:rPr>
          <w:sz w:val="22"/>
          <w:szCs w:val="22"/>
          <w:lang w:val="eu-ES"/>
        </w:rPr>
        <w:t>Nolanahi ere, garrantzitsuena da ekimen honek aukera emango duela arlo horretan eskumenak dituen erakunde publiko bakoitzak eskaintzen dituen zerbitzuak arreta ereduan integratzeko, elkarren artean modu ordenatuan eta koordinatuan antolatuta, halako moldez non, inplikatutako sistemetako profesionalek beren jardun eremuan betetzen dituzten eginkizunen batuketa bat baino gehiago, arreta integratua eta integrala eskainiko den, adingabeen interes gorena babesteko eta gaur egun pertsona horiek jasaten duten bigarren mailako biktimizazioa minimizatzeko.</w:t>
      </w:r>
    </w:p>
    <w:p w14:paraId="3D9ADD70" w14:textId="77777777" w:rsidR="00E83C71" w:rsidRPr="00E83C71" w:rsidRDefault="00E83C71" w:rsidP="00E83C71">
      <w:pPr>
        <w:tabs>
          <w:tab w:val="left" w:pos="8505"/>
        </w:tabs>
        <w:spacing w:after="240"/>
        <w:jc w:val="both"/>
        <w:rPr>
          <w:sz w:val="22"/>
          <w:szCs w:val="22"/>
        </w:rPr>
      </w:pPr>
      <w:r w:rsidRPr="00E83C71">
        <w:rPr>
          <w:sz w:val="22"/>
          <w:szCs w:val="22"/>
          <w:lang w:val="eu-ES"/>
        </w:rPr>
        <w:t xml:space="preserve">Adierazitako baldintzetan, esperientzia pilotuak bermatuko du indarkeriaren biktima diren adingabeei arreta integrala, ordenatua eta koordinatua emateko eskubidea. Arreta horrek barne hartuko ditu esku hartze, babes, harrera eta errekuperazio fisiko eta psikologikorako neurriak, eta, era berean, bigarren mailako biktimizazioa saihesteko ezartzen diren neurriak nabarmenduko ditu, bai eta delituaren ondoriozko kalteen </w:t>
      </w:r>
      <w:proofErr w:type="spellStart"/>
      <w:r w:rsidRPr="00E83C71">
        <w:rPr>
          <w:sz w:val="22"/>
          <w:szCs w:val="22"/>
          <w:lang w:val="eu-ES"/>
        </w:rPr>
        <w:t>erreparazio</w:t>
      </w:r>
      <w:proofErr w:type="spellEnd"/>
      <w:r w:rsidRPr="00E83C71">
        <w:rPr>
          <w:sz w:val="22"/>
          <w:szCs w:val="22"/>
          <w:lang w:val="eu-ES"/>
        </w:rPr>
        <w:t xml:space="preserve"> material eta moral egokia lortzera bideratutakoak ere.</w:t>
      </w:r>
    </w:p>
    <w:p w14:paraId="792DD39F" w14:textId="77777777" w:rsidR="00E83C71" w:rsidRPr="00E83C71" w:rsidRDefault="00E83C71" w:rsidP="00E83C71">
      <w:pPr>
        <w:tabs>
          <w:tab w:val="left" w:pos="8505"/>
        </w:tabs>
        <w:spacing w:after="240"/>
        <w:jc w:val="both"/>
        <w:rPr>
          <w:sz w:val="22"/>
          <w:szCs w:val="22"/>
        </w:rPr>
      </w:pPr>
      <w:r w:rsidRPr="00E83C71">
        <w:rPr>
          <w:sz w:val="22"/>
          <w:szCs w:val="22"/>
          <w:lang w:val="eu-ES"/>
        </w:rPr>
        <w:t>Hasiera batean, ekimenak EAEko administrazioaren, Arabako Foru Aldundiaren eta Gasteizko Udalaren ahaleginak eta baliabideak batzen ditu, baina hitzarmenak mekanismo bat jasotzen du etorkizunean ekimen pilotu hori abian jartzeko partaide izan nahi duten Arabako Lurralde Historikoko beste udal batzuk hari atxiki ahal izateko.</w:t>
      </w:r>
    </w:p>
    <w:p w14:paraId="6E1C74F8" w14:textId="77777777" w:rsidR="00E83C71" w:rsidRPr="00E83C71" w:rsidRDefault="00E83C71" w:rsidP="00E83C71">
      <w:pPr>
        <w:pStyle w:val="Ttulo"/>
        <w:spacing w:after="240"/>
        <w:jc w:val="both"/>
        <w:rPr>
          <w:rFonts w:ascii="Times New Roman" w:hAnsi="Times New Roman" w:cs="Times New Roman"/>
          <w:b/>
          <w:sz w:val="22"/>
          <w:szCs w:val="22"/>
        </w:rPr>
      </w:pPr>
      <w:r w:rsidRPr="00E83C71">
        <w:rPr>
          <w:rFonts w:ascii="Times New Roman" w:hAnsi="Times New Roman" w:cs="Times New Roman"/>
          <w:sz w:val="22"/>
          <w:szCs w:val="22"/>
          <w:lang w:val="eu-ES"/>
        </w:rPr>
        <w:t xml:space="preserve">Sektore Publikoaren Araubide Juridikoaren urriaren 1eko 40/2015 Legeak administrazio publikoen arteko harremanetan bete behar diren printzipio batzuk ezartzen ditu, 140.1 artikuluaren arabera, "Administrazio harremanak" izenburupean. Zehazki, nabarmentzekoak dira honako printzipio hauek: lankidetzaren printzipioa, hots, xede komunak lortzeko gainerako administrazio publikoekin batera aritu beharra ezartzen duena; baliabide </w:t>
      </w:r>
      <w:r w:rsidRPr="00E83C71">
        <w:rPr>
          <w:rFonts w:ascii="Times New Roman" w:hAnsi="Times New Roman" w:cs="Times New Roman"/>
          <w:sz w:val="22"/>
          <w:szCs w:val="22"/>
          <w:lang w:val="eu-ES"/>
        </w:rPr>
        <w:lastRenderedPageBreak/>
        <w:t>publikoen kudeaketan eraginkortasunez jarduteko printzipioa, baliabide komunen erabilera partekatuz, salbu eta ezinezkoa bada edo hobeto aprobetxatzeko justifikatuta badago; administrazioekiko harremanetan herritar guztiek eskubide berak edukitzea bermatzen duen printzipioa, eta lurraldeen arteko elkartasunaren printzipioa, Konstituzioaren arabera.</w:t>
      </w:r>
    </w:p>
    <w:p w14:paraId="54C031D3" w14:textId="77777777" w:rsidR="00E83C71" w:rsidRPr="00E83C71" w:rsidRDefault="00E83C71" w:rsidP="00E83C71">
      <w:pPr>
        <w:pStyle w:val="Ttulo"/>
        <w:spacing w:after="240"/>
        <w:jc w:val="both"/>
        <w:rPr>
          <w:rFonts w:ascii="Times New Roman" w:hAnsi="Times New Roman" w:cs="Times New Roman"/>
          <w:b/>
          <w:sz w:val="22"/>
          <w:szCs w:val="22"/>
        </w:rPr>
      </w:pPr>
      <w:r w:rsidRPr="00E83C71">
        <w:rPr>
          <w:rFonts w:ascii="Times New Roman" w:hAnsi="Times New Roman" w:cs="Times New Roman"/>
          <w:sz w:val="22"/>
          <w:szCs w:val="22"/>
          <w:lang w:val="eu-ES"/>
        </w:rPr>
        <w:t>Era berean, lege testu beraren 141. artikuluak, aipatutako administrazio publikoen arteko lankidetzaren beharrari buruz ari dela, ezartzen du betebehar horren funtsezko osagaia dela beste administrazio batzuei laguntza ematea, bakoitzak bere eremuan eta eskatuz gero, haien eskumenak eraginkortasunez bete ditzaten.</w:t>
      </w:r>
    </w:p>
    <w:p w14:paraId="6C443C7F" w14:textId="77777777" w:rsidR="00E83C71" w:rsidRPr="00E83C71" w:rsidRDefault="00E83C71" w:rsidP="00E83C71">
      <w:pPr>
        <w:pStyle w:val="Ttulo"/>
        <w:spacing w:after="240"/>
        <w:jc w:val="both"/>
        <w:rPr>
          <w:rFonts w:ascii="Times New Roman" w:hAnsi="Times New Roman" w:cs="Times New Roman"/>
          <w:b/>
          <w:sz w:val="22"/>
          <w:szCs w:val="22"/>
        </w:rPr>
      </w:pPr>
      <w:r w:rsidRPr="00E83C71">
        <w:rPr>
          <w:rFonts w:ascii="Times New Roman" w:hAnsi="Times New Roman" w:cs="Times New Roman"/>
          <w:sz w:val="22"/>
          <w:szCs w:val="22"/>
          <w:lang w:val="eu-ES"/>
        </w:rPr>
        <w:t>Artikulu bakarra.- Berretsi egiten da Euskal Autonomia Erkidegoko Administrazio Orokorraren, Osakidetza Euskal Osasun Zerbitzuaren eta Gasteizko Udalaren arteko lankidetza hitzarmena, haurren eta nerabeen aurkako sexu indarkeriari aurre egiteko arreta integral eta espezializatuaren ereduaren esperientzia pilotua abian jartzea bultzatzeko, 2025eko abenduaren 16ko Foru Gobernu Kontseiluak erabakitako baldintzetan.</w:t>
      </w:r>
    </w:p>
    <w:p w14:paraId="10D1D3F8" w14:textId="77777777" w:rsidR="00E83C71" w:rsidRPr="00E83C71" w:rsidRDefault="00E83C71" w:rsidP="00E83C71">
      <w:pPr>
        <w:pStyle w:val="Sangradetextonormal"/>
        <w:tabs>
          <w:tab w:val="left" w:pos="1134"/>
        </w:tabs>
        <w:rPr>
          <w:rFonts w:ascii="Times New Roman" w:hAnsi="Times New Roman"/>
          <w:color w:val="000000"/>
          <w:szCs w:val="22"/>
        </w:rPr>
      </w:pPr>
    </w:p>
    <w:p w14:paraId="6A8F4702" w14:textId="77777777" w:rsidR="00AE1D5B" w:rsidRPr="00E83C71" w:rsidRDefault="00AE1D5B">
      <w:pPr>
        <w:rPr>
          <w:sz w:val="22"/>
          <w:szCs w:val="22"/>
        </w:rPr>
      </w:pPr>
    </w:p>
    <w:sectPr w:rsidR="00AE1D5B" w:rsidRPr="00E83C71" w:rsidSect="00E83C71">
      <w:headerReference w:type="default" r:id="rId6"/>
      <w:footerReference w:type="default" r:id="rId7"/>
      <w:headerReference w:type="first" r:id="rId8"/>
      <w:footerReference w:type="first" r:id="rId9"/>
      <w:pgSz w:w="11907" w:h="16840" w:code="9"/>
      <w:pgMar w:top="2835" w:right="1275" w:bottom="1418" w:left="1701" w:header="851"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B0E7" w14:textId="77777777" w:rsidR="00E83C71" w:rsidRDefault="00E83C71" w:rsidP="00E83C71">
      <w:r>
        <w:separator/>
      </w:r>
    </w:p>
  </w:endnote>
  <w:endnote w:type="continuationSeparator" w:id="0">
    <w:p w14:paraId="388A3440" w14:textId="77777777" w:rsidR="00E83C71" w:rsidRDefault="00E83C71" w:rsidP="00E8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3637" w14:textId="77777777" w:rsidR="00E83C71" w:rsidRDefault="00E83C71">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2</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7</w:t>
    </w:r>
    <w:r>
      <w:rPr>
        <w:rStyle w:val="Nmerodepgina"/>
        <w:rFonts w:eastAsia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DC94" w14:textId="77777777" w:rsidR="00E83C71" w:rsidRDefault="00E83C71">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7</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4DCFC" w14:textId="77777777" w:rsidR="00E83C71" w:rsidRDefault="00E83C71" w:rsidP="00E83C71">
      <w:r>
        <w:separator/>
      </w:r>
    </w:p>
  </w:footnote>
  <w:footnote w:type="continuationSeparator" w:id="0">
    <w:p w14:paraId="3A0BC73E" w14:textId="77777777" w:rsidR="00E83C71" w:rsidRDefault="00E83C71" w:rsidP="00E83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00932" w14:paraId="14F4ADB4" w14:textId="77777777">
      <w:trPr>
        <w:cantSplit/>
        <w:trHeight w:val="338"/>
      </w:trPr>
      <w:tc>
        <w:tcPr>
          <w:tcW w:w="3856" w:type="dxa"/>
        </w:tcPr>
        <w:p w14:paraId="6CE72E78" w14:textId="77777777" w:rsidR="00E83C71" w:rsidRDefault="00E83C71">
          <w:pPr>
            <w:pStyle w:val="Encabezado"/>
          </w:pPr>
        </w:p>
      </w:tc>
      <w:tc>
        <w:tcPr>
          <w:tcW w:w="1361" w:type="dxa"/>
          <w:vMerge w:val="restart"/>
        </w:tcPr>
        <w:p w14:paraId="7BEE9C10" w14:textId="77777777" w:rsidR="00E83C71" w:rsidRDefault="00E83C71">
          <w:pPr>
            <w:pStyle w:val="Encabezado"/>
            <w:jc w:val="center"/>
          </w:pPr>
          <w:r>
            <w:rPr>
              <w:noProof/>
            </w:rPr>
            <w:drawing>
              <wp:inline distT="0" distB="0" distL="0" distR="0" wp14:anchorId="0AEABFCA" wp14:editId="6ACC4D65">
                <wp:extent cx="430530" cy="43053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0530" cy="430530"/>
                        </a:xfrm>
                        <a:prstGeom prst="rect">
                          <a:avLst/>
                        </a:prstGeom>
                        <a:noFill/>
                        <a:ln>
                          <a:noFill/>
                        </a:ln>
                      </pic:spPr>
                    </pic:pic>
                  </a:graphicData>
                </a:graphic>
              </wp:inline>
            </w:drawing>
          </w:r>
        </w:p>
      </w:tc>
      <w:tc>
        <w:tcPr>
          <w:tcW w:w="3856" w:type="dxa"/>
        </w:tcPr>
        <w:p w14:paraId="0BE6165D" w14:textId="77777777" w:rsidR="00E83C71" w:rsidRDefault="00E83C71">
          <w:pPr>
            <w:pStyle w:val="Encabezado"/>
          </w:pPr>
        </w:p>
      </w:tc>
    </w:tr>
    <w:tr w:rsidR="00D00932" w14:paraId="071992A7" w14:textId="77777777">
      <w:trPr>
        <w:cantSplit/>
        <w:trHeight w:val="337"/>
      </w:trPr>
      <w:tc>
        <w:tcPr>
          <w:tcW w:w="3856" w:type="dxa"/>
          <w:tcBorders>
            <w:bottom w:val="nil"/>
          </w:tcBorders>
        </w:tcPr>
        <w:p w14:paraId="09B8838C" w14:textId="77777777" w:rsidR="00E83C71" w:rsidRDefault="00E83C71">
          <w:pPr>
            <w:pStyle w:val="Encabezado"/>
          </w:pPr>
        </w:p>
      </w:tc>
      <w:tc>
        <w:tcPr>
          <w:tcW w:w="1361" w:type="dxa"/>
          <w:vMerge/>
          <w:tcBorders>
            <w:bottom w:val="nil"/>
          </w:tcBorders>
        </w:tcPr>
        <w:p w14:paraId="069B4B55" w14:textId="77777777" w:rsidR="00E83C71" w:rsidRDefault="00E83C71">
          <w:pPr>
            <w:pStyle w:val="Encabezado"/>
            <w:jc w:val="center"/>
          </w:pPr>
        </w:p>
      </w:tc>
      <w:tc>
        <w:tcPr>
          <w:tcW w:w="3856" w:type="dxa"/>
          <w:tcBorders>
            <w:bottom w:val="nil"/>
          </w:tcBorders>
        </w:tcPr>
        <w:p w14:paraId="0EA5BB92" w14:textId="77777777" w:rsidR="00E83C71" w:rsidRDefault="00E83C71">
          <w:pPr>
            <w:pStyle w:val="Encabezado"/>
          </w:pPr>
        </w:p>
      </w:tc>
    </w:tr>
  </w:tbl>
  <w:p w14:paraId="7B1BD67F" w14:textId="77777777" w:rsidR="00E83C71" w:rsidRDefault="00E83C71">
    <w:pPr>
      <w:pStyle w:val="Encabezad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56" w:type="dxa"/>
      <w:tblLayout w:type="fixed"/>
      <w:tblCellMar>
        <w:left w:w="70" w:type="dxa"/>
        <w:right w:w="70" w:type="dxa"/>
      </w:tblCellMar>
      <w:tblLook w:val="0000" w:firstRow="0" w:lastRow="0" w:firstColumn="0" w:lastColumn="0" w:noHBand="0" w:noVBand="0"/>
    </w:tblPr>
    <w:tblGrid>
      <w:gridCol w:w="6096"/>
      <w:gridCol w:w="3402"/>
    </w:tblGrid>
    <w:tr w:rsidR="00D00932" w14:paraId="323DBEE8" w14:textId="77777777">
      <w:tc>
        <w:tcPr>
          <w:tcW w:w="6096" w:type="dxa"/>
        </w:tcPr>
        <w:p w14:paraId="2341BB12" w14:textId="77777777" w:rsidR="00E83C71" w:rsidRDefault="00E83C7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CBD8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29456582" r:id="rId2"/>
            </w:object>
          </w:r>
        </w:p>
        <w:p w14:paraId="2BB27995" w14:textId="77777777" w:rsidR="00E83C71" w:rsidRDefault="00E83C71">
          <w:pPr>
            <w:pStyle w:val="Encabezado"/>
            <w:ind w:left="1064"/>
            <w:rPr>
              <w:rFonts w:ascii="Arial" w:hAnsi="Arial"/>
              <w:noProof/>
              <w:sz w:val="16"/>
            </w:rPr>
          </w:pPr>
        </w:p>
      </w:tc>
      <w:tc>
        <w:tcPr>
          <w:tcW w:w="3402" w:type="dxa"/>
        </w:tcPr>
        <w:p w14:paraId="78EF0D03" w14:textId="77777777" w:rsidR="00E83C71" w:rsidRDefault="00E83C71">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05D31BA9" w14:textId="77777777" w:rsidR="00E83C71" w:rsidRDefault="00E83C71">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Consejo de Gobierno Foral</w:t>
          </w:r>
        </w:p>
        <w:p w14:paraId="0ED8E7B5" w14:textId="77777777" w:rsidR="00E83C71" w:rsidRDefault="00E83C71">
          <w:pPr>
            <w:pStyle w:val="Encabezado"/>
            <w:tabs>
              <w:tab w:val="clear" w:pos="4252"/>
            </w:tabs>
            <w:ind w:left="-70"/>
            <w:rPr>
              <w:rFonts w:ascii="Arial" w:hAnsi="Arial"/>
              <w:noProof/>
              <w:sz w:val="18"/>
            </w:rPr>
          </w:pPr>
        </w:p>
      </w:tc>
    </w:tr>
  </w:tbl>
  <w:p w14:paraId="05D18DF2" w14:textId="77777777" w:rsidR="00E83C71" w:rsidRDefault="00E83C71">
    <w:pPr>
      <w:pStyle w:val="Encabezado"/>
      <w:pBdr>
        <w:top w:val="single" w:sz="4" w:space="1" w:color="auto"/>
      </w:pBdr>
      <w:tabs>
        <w:tab w:val="clear" w:pos="4252"/>
        <w:tab w:val="clear" w:pos="8504"/>
      </w:tabs>
      <w:ind w:left="11" w:right="28"/>
      <w:rPr>
        <w:noProo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71"/>
    <w:rsid w:val="0009412A"/>
    <w:rsid w:val="00484D7A"/>
    <w:rsid w:val="00AE1D5B"/>
    <w:rsid w:val="00E83C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FA3A"/>
  <w15:chartTrackingRefBased/>
  <w15:docId w15:val="{0B6A2F67-171C-49B4-BC3A-A4437B01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C71"/>
    <w:pPr>
      <w:spacing w:after="0" w:line="240" w:lineRule="auto"/>
    </w:pPr>
    <w:rPr>
      <w:rFonts w:ascii="Times New Roman" w:eastAsia="Times New Roman" w:hAnsi="Times New Roman" w:cs="Times New Roman"/>
      <w:kern w:val="0"/>
      <w:sz w:val="20"/>
      <w:szCs w:val="20"/>
      <w:lang w:val="es-ES_tradnl" w:eastAsia="es-ES"/>
      <w14:ligatures w14:val="none"/>
    </w:rPr>
  </w:style>
  <w:style w:type="paragraph" w:styleId="Ttulo1">
    <w:name w:val="heading 1"/>
    <w:basedOn w:val="Normal"/>
    <w:next w:val="Normal"/>
    <w:link w:val="Ttulo1Car"/>
    <w:uiPriority w:val="9"/>
    <w:qFormat/>
    <w:rsid w:val="00E83C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E83C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E83C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E83C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E83C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E83C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E83C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E83C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E83C7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3C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83C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83C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83C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83C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83C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83C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83C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83C71"/>
    <w:rPr>
      <w:rFonts w:eastAsiaTheme="majorEastAsia" w:cstheme="majorBidi"/>
      <w:color w:val="272727" w:themeColor="text1" w:themeTint="D8"/>
    </w:rPr>
  </w:style>
  <w:style w:type="paragraph" w:styleId="Ttulo">
    <w:name w:val="Title"/>
    <w:basedOn w:val="Normal"/>
    <w:next w:val="Normal"/>
    <w:link w:val="TtuloCar"/>
    <w:qFormat/>
    <w:rsid w:val="00E83C71"/>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rsid w:val="00E83C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83C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E83C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83C7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E83C71"/>
    <w:rPr>
      <w:i/>
      <w:iCs/>
      <w:color w:val="404040" w:themeColor="text1" w:themeTint="BF"/>
    </w:rPr>
  </w:style>
  <w:style w:type="paragraph" w:styleId="Prrafodelista">
    <w:name w:val="List Paragraph"/>
    <w:basedOn w:val="Normal"/>
    <w:uiPriority w:val="34"/>
    <w:qFormat/>
    <w:rsid w:val="00E83C71"/>
    <w:pPr>
      <w:spacing w:after="160" w:line="259" w:lineRule="auto"/>
      <w:ind w:left="720"/>
      <w:contextualSpacing/>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E83C71"/>
    <w:rPr>
      <w:i/>
      <w:iCs/>
      <w:color w:val="0F4761" w:themeColor="accent1" w:themeShade="BF"/>
    </w:rPr>
  </w:style>
  <w:style w:type="paragraph" w:styleId="Citadestacada">
    <w:name w:val="Intense Quote"/>
    <w:basedOn w:val="Normal"/>
    <w:next w:val="Normal"/>
    <w:link w:val="CitadestacadaCar"/>
    <w:uiPriority w:val="30"/>
    <w:qFormat/>
    <w:rsid w:val="00E83C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E83C71"/>
    <w:rPr>
      <w:i/>
      <w:iCs/>
      <w:color w:val="0F4761" w:themeColor="accent1" w:themeShade="BF"/>
    </w:rPr>
  </w:style>
  <w:style w:type="character" w:styleId="Referenciaintensa">
    <w:name w:val="Intense Reference"/>
    <w:basedOn w:val="Fuentedeprrafopredeter"/>
    <w:uiPriority w:val="32"/>
    <w:qFormat/>
    <w:rsid w:val="00E83C71"/>
    <w:rPr>
      <w:b/>
      <w:bCs/>
      <w:smallCaps/>
      <w:color w:val="0F4761" w:themeColor="accent1" w:themeShade="BF"/>
      <w:spacing w:val="5"/>
    </w:rPr>
  </w:style>
  <w:style w:type="character" w:styleId="Nmerodepgina">
    <w:name w:val="page number"/>
    <w:basedOn w:val="Fuentedeprrafopredeter"/>
    <w:semiHidden/>
    <w:rsid w:val="00E83C71"/>
  </w:style>
  <w:style w:type="paragraph" w:styleId="Piedepgina">
    <w:name w:val="footer"/>
    <w:basedOn w:val="Normal"/>
    <w:link w:val="PiedepginaCar"/>
    <w:semiHidden/>
    <w:rsid w:val="00E83C71"/>
    <w:pPr>
      <w:tabs>
        <w:tab w:val="center" w:pos="4252"/>
        <w:tab w:val="right" w:pos="8504"/>
      </w:tabs>
    </w:pPr>
  </w:style>
  <w:style w:type="character" w:customStyle="1" w:styleId="PiedepginaCar">
    <w:name w:val="Pie de página Car"/>
    <w:basedOn w:val="Fuentedeprrafopredeter"/>
    <w:link w:val="Piedepgina"/>
    <w:semiHidden/>
    <w:rsid w:val="00E83C71"/>
    <w:rPr>
      <w:rFonts w:ascii="Times New Roman" w:eastAsia="Times New Roman" w:hAnsi="Times New Roman" w:cs="Times New Roman"/>
      <w:kern w:val="0"/>
      <w:sz w:val="20"/>
      <w:szCs w:val="20"/>
      <w:lang w:val="es-ES_tradnl" w:eastAsia="es-ES"/>
      <w14:ligatures w14:val="none"/>
    </w:rPr>
  </w:style>
  <w:style w:type="paragraph" w:styleId="Encabezado">
    <w:name w:val="header"/>
    <w:basedOn w:val="Normal"/>
    <w:link w:val="EncabezadoCar"/>
    <w:semiHidden/>
    <w:rsid w:val="00E83C71"/>
    <w:pPr>
      <w:tabs>
        <w:tab w:val="center" w:pos="4252"/>
        <w:tab w:val="right" w:pos="8504"/>
      </w:tabs>
    </w:pPr>
  </w:style>
  <w:style w:type="character" w:customStyle="1" w:styleId="EncabezadoCar">
    <w:name w:val="Encabezado Car"/>
    <w:basedOn w:val="Fuentedeprrafopredeter"/>
    <w:link w:val="Encabezado"/>
    <w:semiHidden/>
    <w:rsid w:val="00E83C71"/>
    <w:rPr>
      <w:rFonts w:ascii="Times New Roman" w:eastAsia="Times New Roman" w:hAnsi="Times New Roman" w:cs="Times New Roman"/>
      <w:kern w:val="0"/>
      <w:sz w:val="20"/>
      <w:szCs w:val="20"/>
      <w:lang w:val="es-ES_tradnl" w:eastAsia="es-ES"/>
      <w14:ligatures w14:val="none"/>
    </w:rPr>
  </w:style>
  <w:style w:type="paragraph" w:styleId="Sangradetextonormal">
    <w:name w:val="Body Text Indent"/>
    <w:basedOn w:val="Normal"/>
    <w:link w:val="SangradetextonormalCar"/>
    <w:semiHidden/>
    <w:rsid w:val="00E83C71"/>
    <w:pPr>
      <w:ind w:left="708"/>
      <w:jc w:val="both"/>
    </w:pPr>
    <w:rPr>
      <w:rFonts w:ascii="Arial" w:hAnsi="Arial"/>
      <w:sz w:val="22"/>
    </w:rPr>
  </w:style>
  <w:style w:type="character" w:customStyle="1" w:styleId="SangradetextonormalCar">
    <w:name w:val="Sangría de texto normal Car"/>
    <w:basedOn w:val="Fuentedeprrafopredeter"/>
    <w:link w:val="Sangradetextonormal"/>
    <w:semiHidden/>
    <w:rsid w:val="00E83C71"/>
    <w:rPr>
      <w:rFonts w:ascii="Arial" w:eastAsia="Times New Roman" w:hAnsi="Arial" w:cs="Times New Roman"/>
      <w:kern w:val="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3121</Words>
  <Characters>17171</Characters>
  <Application>Microsoft Office Word</Application>
  <DocSecurity>0</DocSecurity>
  <Lines>143</Lines>
  <Paragraphs>40</Paragraphs>
  <ScaleCrop>false</ScaleCrop>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Garitano Iriondo, Joseba</dc:creator>
  <cp:keywords/>
  <dc:description/>
  <cp:lastModifiedBy>Garitano Iriondo, Joseba</cp:lastModifiedBy>
  <cp:revision>1</cp:revision>
  <dcterms:created xsi:type="dcterms:W3CDTF">2026-01-09T08:35:00Z</dcterms:created>
  <dcterms:modified xsi:type="dcterms:W3CDTF">2026-01-09T08:36:00Z</dcterms:modified>
</cp:coreProperties>
</file>