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209D" w14:textId="77777777" w:rsidR="00FD4DC0" w:rsidRPr="00DC4421" w:rsidRDefault="00FD4DC0" w:rsidP="00FD4DC0">
      <w:pPr>
        <w:tabs>
          <w:tab w:val="right" w:pos="8789"/>
        </w:tabs>
        <w:spacing w:after="360"/>
        <w:jc w:val="center"/>
        <w:rPr>
          <w:rFonts w:cs="Arial"/>
          <w:b/>
          <w:sz w:val="22"/>
          <w:szCs w:val="22"/>
          <w:u w:val="single"/>
          <w:lang w:bidi="or-IN"/>
        </w:rPr>
      </w:pPr>
      <w:r w:rsidRPr="00DC4421">
        <w:rPr>
          <w:rFonts w:cs="Arial"/>
          <w:b/>
          <w:sz w:val="22"/>
          <w:szCs w:val="22"/>
          <w:u w:val="single"/>
          <w:lang w:bidi="or-IN"/>
        </w:rPr>
        <w:t>ANEXO I</w:t>
      </w:r>
    </w:p>
    <w:p w14:paraId="7B35F45C" w14:textId="2ACF7919" w:rsidR="00FD4DC0" w:rsidRPr="00DC4421" w:rsidRDefault="00FD4DC0" w:rsidP="00A86D3C">
      <w:pPr>
        <w:spacing w:after="240"/>
        <w:jc w:val="both"/>
        <w:rPr>
          <w:b/>
          <w:sz w:val="22"/>
          <w:szCs w:val="22"/>
        </w:rPr>
      </w:pPr>
      <w:r w:rsidRPr="00DC4421">
        <w:rPr>
          <w:b/>
          <w:sz w:val="22"/>
          <w:szCs w:val="22"/>
        </w:rPr>
        <w:t>Bases reguladoras de las subvenciones</w:t>
      </w:r>
      <w:r w:rsidR="00A9473F">
        <w:rPr>
          <w:b/>
          <w:sz w:val="22"/>
          <w:szCs w:val="22"/>
        </w:rPr>
        <w:t>, en régimen de libre concurrencia,</w:t>
      </w:r>
      <w:r w:rsidRPr="00DC4421">
        <w:rPr>
          <w:b/>
          <w:sz w:val="22"/>
          <w:szCs w:val="22"/>
        </w:rPr>
        <w:t xml:space="preserve"> encaminadas a la financiación de acciones </w:t>
      </w:r>
      <w:r w:rsidR="00221BC9">
        <w:rPr>
          <w:b/>
          <w:sz w:val="22"/>
          <w:szCs w:val="22"/>
        </w:rPr>
        <w:t xml:space="preserve">conducentes a </w:t>
      </w:r>
      <w:r>
        <w:rPr>
          <w:b/>
          <w:sz w:val="22"/>
          <w:szCs w:val="22"/>
        </w:rPr>
        <w:t>la rehabilitación de vivienda</w:t>
      </w:r>
      <w:r w:rsidR="00C21362">
        <w:rPr>
          <w:b/>
          <w:sz w:val="22"/>
          <w:szCs w:val="22"/>
        </w:rPr>
        <w:t xml:space="preserve"> para su inclusión posterior en </w:t>
      </w:r>
      <w:r w:rsidR="00A86D3C" w:rsidRPr="00A86D3C">
        <w:rPr>
          <w:b/>
          <w:sz w:val="22"/>
          <w:szCs w:val="22"/>
        </w:rPr>
        <w:t>el programa de</w:t>
      </w:r>
      <w:r w:rsidR="00A86D3C">
        <w:rPr>
          <w:b/>
          <w:sz w:val="22"/>
          <w:szCs w:val="22"/>
        </w:rPr>
        <w:t xml:space="preserve"> </w:t>
      </w:r>
      <w:r w:rsidR="00A86D3C" w:rsidRPr="00A86D3C">
        <w:rPr>
          <w:b/>
          <w:sz w:val="22"/>
          <w:szCs w:val="22"/>
        </w:rPr>
        <w:t>garantías al alquiler de viviendas de la Diputación Foral de Álava</w:t>
      </w:r>
      <w:r w:rsidRPr="00DC4421">
        <w:rPr>
          <w:b/>
          <w:sz w:val="22"/>
          <w:szCs w:val="22"/>
        </w:rPr>
        <w:t>.</w:t>
      </w:r>
    </w:p>
    <w:p w14:paraId="5FEC58A5" w14:textId="77777777" w:rsidR="00FD4DC0" w:rsidRPr="00DC4421" w:rsidRDefault="00FD4DC0" w:rsidP="00FD4DC0">
      <w:pPr>
        <w:spacing w:after="240"/>
        <w:jc w:val="both"/>
        <w:rPr>
          <w:b/>
          <w:sz w:val="22"/>
          <w:szCs w:val="22"/>
        </w:rPr>
      </w:pPr>
      <w:r w:rsidRPr="00DC4421">
        <w:rPr>
          <w:b/>
          <w:sz w:val="22"/>
          <w:szCs w:val="22"/>
        </w:rPr>
        <w:t>1. Objeto.</w:t>
      </w:r>
    </w:p>
    <w:p w14:paraId="4BAC6597" w14:textId="6962DA63" w:rsidR="00515CA3" w:rsidRPr="00DA0BC4" w:rsidRDefault="00515CA3" w:rsidP="00515CA3">
      <w:pPr>
        <w:spacing w:after="240"/>
        <w:jc w:val="both"/>
        <w:rPr>
          <w:sz w:val="22"/>
          <w:szCs w:val="22"/>
        </w:rPr>
      </w:pPr>
      <w:r w:rsidRPr="00DA0BC4">
        <w:rPr>
          <w:sz w:val="22"/>
          <w:szCs w:val="22"/>
        </w:rPr>
        <w:t>Podrán ser objeto de subvención las acciones que se lleven a cabo para la rehabilitación de viviendas</w:t>
      </w:r>
      <w:r w:rsidR="009C0B65">
        <w:rPr>
          <w:sz w:val="22"/>
          <w:szCs w:val="22"/>
        </w:rPr>
        <w:t xml:space="preserve"> </w:t>
      </w:r>
      <w:r w:rsidRPr="00DA0BC4">
        <w:rPr>
          <w:sz w:val="22"/>
          <w:szCs w:val="22"/>
        </w:rPr>
        <w:t xml:space="preserve">en núcleos de población </w:t>
      </w:r>
      <w:r w:rsidR="00A17689">
        <w:rPr>
          <w:sz w:val="22"/>
          <w:szCs w:val="22"/>
        </w:rPr>
        <w:t>situados en municipios de m</w:t>
      </w:r>
      <w:r w:rsidR="00FC39A2">
        <w:rPr>
          <w:sz w:val="22"/>
          <w:szCs w:val="22"/>
        </w:rPr>
        <w:t>enos</w:t>
      </w:r>
      <w:r w:rsidR="00A17689">
        <w:rPr>
          <w:sz w:val="22"/>
          <w:szCs w:val="22"/>
        </w:rPr>
        <w:t xml:space="preserve"> de 20.000 habitantes</w:t>
      </w:r>
      <w:r w:rsidRPr="00DA0BC4">
        <w:rPr>
          <w:sz w:val="22"/>
          <w:szCs w:val="22"/>
        </w:rPr>
        <w:t>.</w:t>
      </w:r>
    </w:p>
    <w:p w14:paraId="72CA61CA" w14:textId="724523C7" w:rsidR="00C21362" w:rsidRDefault="00FD4DC0" w:rsidP="00A86D3C">
      <w:pPr>
        <w:spacing w:after="240"/>
        <w:jc w:val="both"/>
        <w:rPr>
          <w:sz w:val="22"/>
          <w:szCs w:val="22"/>
        </w:rPr>
      </w:pPr>
      <w:r w:rsidRPr="00F658AF">
        <w:rPr>
          <w:sz w:val="22"/>
          <w:szCs w:val="22"/>
        </w:rPr>
        <w:t xml:space="preserve">La subvención tiene por objeto la </w:t>
      </w:r>
      <w:r w:rsidR="00221BC9" w:rsidRPr="00F658AF">
        <w:rPr>
          <w:sz w:val="22"/>
          <w:szCs w:val="22"/>
        </w:rPr>
        <w:t>financiación de la rehabilitación de vivienda</w:t>
      </w:r>
      <w:r w:rsidR="00C21362">
        <w:rPr>
          <w:sz w:val="22"/>
          <w:szCs w:val="22"/>
        </w:rPr>
        <w:t>s</w:t>
      </w:r>
      <w:r w:rsidRPr="00F658AF">
        <w:rPr>
          <w:sz w:val="22"/>
          <w:szCs w:val="22"/>
        </w:rPr>
        <w:t xml:space="preserve"> en</w:t>
      </w:r>
      <w:r w:rsidR="00652EA8">
        <w:rPr>
          <w:sz w:val="22"/>
          <w:szCs w:val="22"/>
        </w:rPr>
        <w:t xml:space="preserve"> los citados</w:t>
      </w:r>
      <w:r w:rsidRPr="00F658AF">
        <w:rPr>
          <w:sz w:val="22"/>
          <w:szCs w:val="22"/>
        </w:rPr>
        <w:t xml:space="preserve"> núcleos</w:t>
      </w:r>
      <w:r w:rsidR="00C4036A">
        <w:rPr>
          <w:sz w:val="22"/>
          <w:szCs w:val="22"/>
        </w:rPr>
        <w:t xml:space="preserve"> de población</w:t>
      </w:r>
      <w:r w:rsidR="00221BC9" w:rsidRPr="00F658AF">
        <w:rPr>
          <w:sz w:val="22"/>
          <w:szCs w:val="22"/>
        </w:rPr>
        <w:t>,</w:t>
      </w:r>
      <w:r w:rsidRPr="00F658AF">
        <w:rPr>
          <w:sz w:val="22"/>
          <w:szCs w:val="22"/>
        </w:rPr>
        <w:t xml:space="preserve"> con la finalidad de </w:t>
      </w:r>
      <w:r w:rsidR="00C21362">
        <w:rPr>
          <w:sz w:val="22"/>
          <w:szCs w:val="22"/>
        </w:rPr>
        <w:t xml:space="preserve">que sean posteriormente incluidas en el </w:t>
      </w:r>
      <w:r w:rsidR="00A86D3C" w:rsidRPr="00A86D3C">
        <w:rPr>
          <w:sz w:val="22"/>
          <w:szCs w:val="22"/>
        </w:rPr>
        <w:t>programa de</w:t>
      </w:r>
      <w:r w:rsidR="00A86D3C">
        <w:rPr>
          <w:sz w:val="22"/>
          <w:szCs w:val="22"/>
        </w:rPr>
        <w:t xml:space="preserve"> </w:t>
      </w:r>
      <w:r w:rsidR="00A86D3C" w:rsidRPr="00A86D3C">
        <w:rPr>
          <w:sz w:val="22"/>
          <w:szCs w:val="22"/>
        </w:rPr>
        <w:t xml:space="preserve">garantías al alquiler de viviendas de la Diputación Foral de Álava </w:t>
      </w:r>
      <w:r w:rsidR="00C21362">
        <w:rPr>
          <w:sz w:val="22"/>
          <w:szCs w:val="22"/>
        </w:rPr>
        <w:t xml:space="preserve">vigente en el momento de </w:t>
      </w:r>
      <w:r w:rsidR="00AE08E3">
        <w:rPr>
          <w:sz w:val="22"/>
          <w:szCs w:val="22"/>
        </w:rPr>
        <w:t xml:space="preserve">aprobación de </w:t>
      </w:r>
      <w:r w:rsidR="00C21362">
        <w:rPr>
          <w:sz w:val="22"/>
          <w:szCs w:val="22"/>
        </w:rPr>
        <w:t>cada convocatoria. La convocatoria detallará el programa vigente en cada momento y los plazos para la adhesión al mismo.</w:t>
      </w:r>
    </w:p>
    <w:p w14:paraId="1F53175F" w14:textId="5040A4A5" w:rsidR="00FD4DC0" w:rsidRPr="00562FEE" w:rsidRDefault="00562FEE" w:rsidP="00562FEE">
      <w:pPr>
        <w:spacing w:after="240"/>
        <w:jc w:val="both"/>
        <w:rPr>
          <w:b/>
          <w:sz w:val="22"/>
          <w:szCs w:val="22"/>
        </w:rPr>
      </w:pPr>
      <w:r w:rsidRPr="00562FEE">
        <w:rPr>
          <w:b/>
          <w:sz w:val="22"/>
          <w:szCs w:val="22"/>
        </w:rPr>
        <w:t>2.</w:t>
      </w:r>
      <w:r>
        <w:rPr>
          <w:b/>
          <w:sz w:val="22"/>
          <w:szCs w:val="22"/>
        </w:rPr>
        <w:t xml:space="preserve"> </w:t>
      </w:r>
      <w:r w:rsidR="00FD4DC0" w:rsidRPr="00562FEE">
        <w:rPr>
          <w:b/>
          <w:sz w:val="22"/>
          <w:szCs w:val="22"/>
        </w:rPr>
        <w:t>Actuaciones subvencionables.</w:t>
      </w:r>
    </w:p>
    <w:p w14:paraId="4BA59159" w14:textId="77777777" w:rsidR="00562FEE" w:rsidRPr="003B5FCF" w:rsidRDefault="00562FEE" w:rsidP="00562FEE">
      <w:pPr>
        <w:jc w:val="both"/>
        <w:rPr>
          <w:sz w:val="22"/>
          <w:szCs w:val="22"/>
        </w:rPr>
      </w:pPr>
      <w:r>
        <w:rPr>
          <w:sz w:val="22"/>
          <w:szCs w:val="22"/>
        </w:rPr>
        <w:t>S</w:t>
      </w:r>
      <w:r w:rsidRPr="003B5FCF">
        <w:rPr>
          <w:sz w:val="22"/>
          <w:szCs w:val="22"/>
        </w:rPr>
        <w:t>e considerarán subvencionables</w:t>
      </w:r>
      <w:r>
        <w:rPr>
          <w:sz w:val="22"/>
          <w:szCs w:val="22"/>
        </w:rPr>
        <w:t xml:space="preserve"> </w:t>
      </w:r>
      <w:r w:rsidRPr="003B5FCF">
        <w:rPr>
          <w:sz w:val="22"/>
          <w:szCs w:val="22"/>
        </w:rPr>
        <w:t>y, por tanto, podrán ser objeto de financiación con cargo a esta convocatoria con los coeficientes que se determinen en cada convocatoria:</w:t>
      </w:r>
    </w:p>
    <w:p w14:paraId="29C5E5F0" w14:textId="77777777" w:rsidR="00562FEE" w:rsidRPr="003B5FCF" w:rsidRDefault="00562FEE" w:rsidP="00562FEE">
      <w:pPr>
        <w:jc w:val="both"/>
        <w:rPr>
          <w:sz w:val="22"/>
          <w:szCs w:val="22"/>
        </w:rPr>
      </w:pPr>
    </w:p>
    <w:p w14:paraId="28130387" w14:textId="77777777" w:rsidR="00562FEE" w:rsidRPr="003B5FCF" w:rsidRDefault="00562FEE" w:rsidP="00562FEE">
      <w:pPr>
        <w:jc w:val="both"/>
        <w:rPr>
          <w:sz w:val="22"/>
          <w:szCs w:val="22"/>
        </w:rPr>
      </w:pPr>
      <w:r w:rsidRPr="003B5FCF">
        <w:rPr>
          <w:sz w:val="22"/>
          <w:szCs w:val="22"/>
        </w:rPr>
        <w:t>a.</w:t>
      </w:r>
      <w:r w:rsidRPr="003B5FCF">
        <w:rPr>
          <w:sz w:val="22"/>
          <w:szCs w:val="22"/>
        </w:rPr>
        <w:tab/>
        <w:t>La redacción de proyectos de rehabilitación.</w:t>
      </w:r>
    </w:p>
    <w:p w14:paraId="7C7B15A0" w14:textId="77777777" w:rsidR="00562FEE" w:rsidRPr="003B5FCF" w:rsidRDefault="00562FEE" w:rsidP="00562FEE">
      <w:pPr>
        <w:jc w:val="both"/>
        <w:rPr>
          <w:sz w:val="22"/>
          <w:szCs w:val="22"/>
        </w:rPr>
      </w:pPr>
    </w:p>
    <w:p w14:paraId="18F99530" w14:textId="2BB7D148" w:rsidR="00562FEE" w:rsidRPr="003B5FCF" w:rsidRDefault="00562FEE" w:rsidP="00562FEE">
      <w:pPr>
        <w:jc w:val="both"/>
        <w:rPr>
          <w:sz w:val="22"/>
          <w:szCs w:val="22"/>
        </w:rPr>
      </w:pPr>
      <w:r w:rsidRPr="003B5FCF">
        <w:rPr>
          <w:sz w:val="22"/>
          <w:szCs w:val="22"/>
        </w:rPr>
        <w:t>b.</w:t>
      </w:r>
      <w:r w:rsidRPr="003B5FCF">
        <w:rPr>
          <w:sz w:val="22"/>
          <w:szCs w:val="22"/>
        </w:rPr>
        <w:tab/>
        <w:t>La ejecución material de la rehabilitación</w:t>
      </w:r>
      <w:r w:rsidR="005F5B47">
        <w:rPr>
          <w:sz w:val="22"/>
          <w:szCs w:val="22"/>
        </w:rPr>
        <w:t>,</w:t>
      </w:r>
      <w:r w:rsidR="009C0B65">
        <w:rPr>
          <w:sz w:val="22"/>
          <w:szCs w:val="22"/>
        </w:rPr>
        <w:t xml:space="preserve"> </w:t>
      </w:r>
      <w:r w:rsidR="009C0B65" w:rsidRPr="00652EA8">
        <w:rPr>
          <w:sz w:val="22"/>
          <w:szCs w:val="22"/>
        </w:rPr>
        <w:t>incluyendo actuaciones de urbanización</w:t>
      </w:r>
      <w:r w:rsidRPr="00652EA8">
        <w:rPr>
          <w:sz w:val="22"/>
          <w:szCs w:val="22"/>
        </w:rPr>
        <w:t>.</w:t>
      </w:r>
    </w:p>
    <w:p w14:paraId="39DD01DE" w14:textId="77777777" w:rsidR="00562FEE" w:rsidRPr="003B5FCF" w:rsidRDefault="00562FEE" w:rsidP="00562FEE">
      <w:pPr>
        <w:jc w:val="both"/>
        <w:rPr>
          <w:sz w:val="22"/>
          <w:szCs w:val="22"/>
        </w:rPr>
      </w:pPr>
    </w:p>
    <w:p w14:paraId="6E9D7AA9" w14:textId="77777777" w:rsidR="00562FEE" w:rsidRPr="003B5FCF" w:rsidRDefault="00562FEE" w:rsidP="00562FEE">
      <w:pPr>
        <w:jc w:val="both"/>
        <w:rPr>
          <w:sz w:val="22"/>
          <w:szCs w:val="22"/>
        </w:rPr>
      </w:pPr>
      <w:r w:rsidRPr="003B5FCF">
        <w:rPr>
          <w:sz w:val="22"/>
          <w:szCs w:val="22"/>
        </w:rPr>
        <w:t>c.</w:t>
      </w:r>
      <w:r w:rsidRPr="003B5FCF">
        <w:rPr>
          <w:sz w:val="22"/>
          <w:szCs w:val="22"/>
        </w:rPr>
        <w:tab/>
        <w:t>La dirección técnica de la ejecución del proyecto.</w:t>
      </w:r>
    </w:p>
    <w:p w14:paraId="2A779D82" w14:textId="77777777" w:rsidR="00562FEE" w:rsidRPr="00DA0BC4" w:rsidRDefault="00562FEE" w:rsidP="00562FEE">
      <w:pPr>
        <w:jc w:val="both"/>
        <w:rPr>
          <w:color w:val="0070C0"/>
          <w:sz w:val="22"/>
          <w:szCs w:val="22"/>
        </w:rPr>
      </w:pPr>
    </w:p>
    <w:p w14:paraId="49E23E4C" w14:textId="35753966" w:rsidR="00562FEE" w:rsidRDefault="00562FEE" w:rsidP="00562FEE">
      <w:pPr>
        <w:jc w:val="both"/>
        <w:rPr>
          <w:sz w:val="22"/>
          <w:szCs w:val="22"/>
        </w:rPr>
      </w:pPr>
      <w:r w:rsidRPr="009774F6">
        <w:rPr>
          <w:sz w:val="22"/>
          <w:szCs w:val="22"/>
        </w:rPr>
        <w:t xml:space="preserve">Serán subvencionables todas aquellas actividades de rehabilitación </w:t>
      </w:r>
      <w:r w:rsidRPr="00E26281">
        <w:rPr>
          <w:sz w:val="22"/>
          <w:szCs w:val="22"/>
        </w:rPr>
        <w:t xml:space="preserve">destinadas a favorecer el mantenimiento de la población en esos núcleos </w:t>
      </w:r>
      <w:r w:rsidR="003A73A8" w:rsidRPr="00E26281">
        <w:rPr>
          <w:sz w:val="22"/>
          <w:szCs w:val="22"/>
        </w:rPr>
        <w:t>poblacionales</w:t>
      </w:r>
      <w:r w:rsidRPr="00E26281">
        <w:rPr>
          <w:sz w:val="22"/>
          <w:szCs w:val="22"/>
        </w:rPr>
        <w:t xml:space="preserve"> que se clasifiquen en las siguientes tipologías:</w:t>
      </w:r>
    </w:p>
    <w:p w14:paraId="0CAC58D6" w14:textId="4AD8C160" w:rsidR="009774F6" w:rsidRDefault="009774F6" w:rsidP="00562FEE">
      <w:pPr>
        <w:jc w:val="both"/>
        <w:rPr>
          <w:sz w:val="22"/>
          <w:szCs w:val="22"/>
        </w:rPr>
      </w:pPr>
    </w:p>
    <w:p w14:paraId="44B9EEB8" w14:textId="77777777" w:rsidR="002A77FA" w:rsidRDefault="002A77FA" w:rsidP="002A77FA">
      <w:pPr>
        <w:pStyle w:val="Prrafodelista"/>
        <w:numPr>
          <w:ilvl w:val="0"/>
          <w:numId w:val="25"/>
        </w:numPr>
        <w:suppressAutoHyphens/>
        <w:rPr>
          <w:sz w:val="22"/>
          <w:szCs w:val="22"/>
        </w:rPr>
      </w:pPr>
      <w:r>
        <w:rPr>
          <w:sz w:val="22"/>
          <w:szCs w:val="22"/>
        </w:rPr>
        <w:t>I</w:t>
      </w:r>
      <w:r w:rsidRPr="00131B33">
        <w:rPr>
          <w:sz w:val="22"/>
          <w:szCs w:val="22"/>
        </w:rPr>
        <w:t>ntervenciones que contemplen la rehabilitación integral conservadora en viviendas</w:t>
      </w:r>
      <w:r>
        <w:rPr>
          <w:sz w:val="22"/>
          <w:szCs w:val="22"/>
        </w:rPr>
        <w:t>:</w:t>
      </w:r>
    </w:p>
    <w:p w14:paraId="2C07EA2D" w14:textId="77777777" w:rsidR="002A77FA" w:rsidRPr="00131B33" w:rsidRDefault="002A77FA" w:rsidP="002A77FA">
      <w:pPr>
        <w:pStyle w:val="Prrafodelista"/>
        <w:rPr>
          <w:sz w:val="22"/>
          <w:szCs w:val="22"/>
        </w:rPr>
      </w:pPr>
    </w:p>
    <w:p w14:paraId="46AF9850" w14:textId="77777777" w:rsidR="002A77FA" w:rsidRPr="00131B33" w:rsidRDefault="002A77FA" w:rsidP="002A77FA">
      <w:pPr>
        <w:numPr>
          <w:ilvl w:val="0"/>
          <w:numId w:val="22"/>
        </w:numPr>
        <w:spacing w:after="240"/>
        <w:ind w:left="643"/>
        <w:contextualSpacing/>
        <w:jc w:val="both"/>
        <w:rPr>
          <w:sz w:val="22"/>
          <w:szCs w:val="22"/>
        </w:rPr>
      </w:pPr>
      <w:r w:rsidRPr="00131B33">
        <w:rPr>
          <w:sz w:val="22"/>
          <w:szCs w:val="22"/>
        </w:rPr>
        <w:t>Obras de adecuación estructural y/o rehabilitación de fachadas y cubiertas</w:t>
      </w:r>
      <w:r>
        <w:rPr>
          <w:sz w:val="22"/>
          <w:szCs w:val="22"/>
        </w:rPr>
        <w:t>.</w:t>
      </w:r>
      <w:r w:rsidRPr="00131B33">
        <w:rPr>
          <w:sz w:val="22"/>
          <w:szCs w:val="22"/>
        </w:rPr>
        <w:t xml:space="preserve"> </w:t>
      </w:r>
    </w:p>
    <w:p w14:paraId="59731857" w14:textId="77777777" w:rsidR="002A77FA" w:rsidRDefault="002A77FA" w:rsidP="002A77FA">
      <w:pPr>
        <w:numPr>
          <w:ilvl w:val="0"/>
          <w:numId w:val="22"/>
        </w:numPr>
        <w:spacing w:after="240"/>
        <w:ind w:left="643"/>
        <w:contextualSpacing/>
        <w:jc w:val="both"/>
        <w:rPr>
          <w:sz w:val="22"/>
          <w:szCs w:val="22"/>
        </w:rPr>
      </w:pPr>
      <w:r w:rsidRPr="00104054">
        <w:rPr>
          <w:sz w:val="22"/>
          <w:szCs w:val="22"/>
        </w:rPr>
        <w:t>Obras interiores de adecuación de habitabilidad y/o acabados.</w:t>
      </w:r>
    </w:p>
    <w:p w14:paraId="2F79B54C" w14:textId="77777777" w:rsidR="002A77FA" w:rsidRPr="00131B33" w:rsidRDefault="002A77FA" w:rsidP="002A77FA">
      <w:pPr>
        <w:pStyle w:val="Prrafodelista"/>
        <w:numPr>
          <w:ilvl w:val="0"/>
          <w:numId w:val="25"/>
        </w:numPr>
        <w:spacing w:after="240"/>
        <w:jc w:val="both"/>
        <w:rPr>
          <w:sz w:val="22"/>
          <w:szCs w:val="22"/>
        </w:rPr>
      </w:pPr>
      <w:r>
        <w:rPr>
          <w:sz w:val="22"/>
          <w:szCs w:val="22"/>
        </w:rPr>
        <w:t>I</w:t>
      </w:r>
      <w:r w:rsidRPr="00131B33">
        <w:rPr>
          <w:sz w:val="22"/>
          <w:szCs w:val="22"/>
        </w:rPr>
        <w:t xml:space="preserve">ntervenciones que contemplen la rehabilitación o reforma </w:t>
      </w:r>
      <w:r>
        <w:rPr>
          <w:sz w:val="22"/>
          <w:szCs w:val="22"/>
        </w:rPr>
        <w:t>parcial</w:t>
      </w:r>
      <w:r w:rsidRPr="00131B33">
        <w:rPr>
          <w:sz w:val="22"/>
          <w:szCs w:val="22"/>
        </w:rPr>
        <w:t xml:space="preserve"> de las viviendas</w:t>
      </w:r>
      <w:r>
        <w:rPr>
          <w:sz w:val="22"/>
          <w:szCs w:val="22"/>
        </w:rPr>
        <w:t>:</w:t>
      </w:r>
    </w:p>
    <w:p w14:paraId="6B2CE977" w14:textId="77777777" w:rsidR="002A77FA" w:rsidRDefault="002A77FA" w:rsidP="002A77FA">
      <w:pPr>
        <w:numPr>
          <w:ilvl w:val="0"/>
          <w:numId w:val="26"/>
        </w:numPr>
        <w:spacing w:after="240"/>
        <w:contextualSpacing/>
        <w:jc w:val="both"/>
        <w:rPr>
          <w:sz w:val="22"/>
          <w:szCs w:val="22"/>
        </w:rPr>
      </w:pPr>
      <w:r w:rsidRPr="00131B33">
        <w:rPr>
          <w:sz w:val="22"/>
          <w:szCs w:val="22"/>
        </w:rPr>
        <w:t>Obras de adecuación estructural y/o rehabilitación de fachadas y cubiertas.</w:t>
      </w:r>
    </w:p>
    <w:p w14:paraId="350577A9" w14:textId="77777777" w:rsidR="002A77FA" w:rsidRPr="00131B33" w:rsidRDefault="002A77FA" w:rsidP="002A77FA">
      <w:pPr>
        <w:numPr>
          <w:ilvl w:val="0"/>
          <w:numId w:val="26"/>
        </w:numPr>
        <w:spacing w:after="240"/>
        <w:contextualSpacing/>
        <w:jc w:val="both"/>
        <w:rPr>
          <w:sz w:val="22"/>
          <w:szCs w:val="22"/>
        </w:rPr>
      </w:pPr>
      <w:r w:rsidRPr="00131B33">
        <w:rPr>
          <w:sz w:val="22"/>
          <w:szCs w:val="22"/>
        </w:rPr>
        <w:t>Obras interiores de adecuación de habitabilidad y/o acabados.</w:t>
      </w:r>
    </w:p>
    <w:p w14:paraId="6DAEFF00" w14:textId="77777777" w:rsidR="002A77FA" w:rsidRDefault="002A77FA" w:rsidP="0033687C">
      <w:pPr>
        <w:jc w:val="both"/>
        <w:rPr>
          <w:sz w:val="22"/>
          <w:szCs w:val="22"/>
        </w:rPr>
      </w:pPr>
    </w:p>
    <w:p w14:paraId="54FF7F9C" w14:textId="17CEA57A" w:rsidR="00FD4DC0" w:rsidRDefault="00622028" w:rsidP="0033687C">
      <w:pPr>
        <w:jc w:val="both"/>
        <w:rPr>
          <w:sz w:val="22"/>
          <w:szCs w:val="22"/>
        </w:rPr>
      </w:pPr>
      <w:r w:rsidRPr="00652EA8">
        <w:rPr>
          <w:sz w:val="22"/>
          <w:szCs w:val="22"/>
        </w:rPr>
        <w:t>En todo caso,</w:t>
      </w:r>
      <w:r w:rsidR="00FD4DC0" w:rsidRPr="00652EA8">
        <w:rPr>
          <w:sz w:val="22"/>
          <w:szCs w:val="22"/>
        </w:rPr>
        <w:t xml:space="preserve"> </w:t>
      </w:r>
      <w:r w:rsidR="004E3C31" w:rsidRPr="00652EA8">
        <w:rPr>
          <w:sz w:val="22"/>
          <w:szCs w:val="22"/>
        </w:rPr>
        <w:t>l</w:t>
      </w:r>
      <w:r w:rsidR="002F6C2B">
        <w:rPr>
          <w:sz w:val="22"/>
          <w:szCs w:val="22"/>
        </w:rPr>
        <w:t>a</w:t>
      </w:r>
      <w:r w:rsidR="004E3C31" w:rsidRPr="00652EA8">
        <w:rPr>
          <w:sz w:val="22"/>
          <w:szCs w:val="22"/>
        </w:rPr>
        <w:t>s</w:t>
      </w:r>
      <w:r w:rsidR="002F6C2B">
        <w:rPr>
          <w:sz w:val="22"/>
          <w:szCs w:val="22"/>
        </w:rPr>
        <w:t xml:space="preserve"> personas</w:t>
      </w:r>
      <w:r w:rsidR="004E3C31" w:rsidRPr="00652EA8">
        <w:rPr>
          <w:sz w:val="22"/>
          <w:szCs w:val="22"/>
        </w:rPr>
        <w:t xml:space="preserve"> beneficiari</w:t>
      </w:r>
      <w:r w:rsidR="002F6C2B">
        <w:rPr>
          <w:sz w:val="22"/>
          <w:szCs w:val="22"/>
        </w:rPr>
        <w:t>a</w:t>
      </w:r>
      <w:r w:rsidR="004E3C31" w:rsidRPr="00652EA8">
        <w:rPr>
          <w:sz w:val="22"/>
          <w:szCs w:val="22"/>
        </w:rPr>
        <w:t>s deberán ser propietari</w:t>
      </w:r>
      <w:r w:rsidR="002F6C2B">
        <w:rPr>
          <w:sz w:val="22"/>
          <w:szCs w:val="22"/>
        </w:rPr>
        <w:t>a</w:t>
      </w:r>
      <w:r w:rsidR="004E3C31" w:rsidRPr="00652EA8">
        <w:rPr>
          <w:sz w:val="22"/>
          <w:szCs w:val="22"/>
        </w:rPr>
        <w:t>s,</w:t>
      </w:r>
      <w:r w:rsidR="00C21362">
        <w:rPr>
          <w:sz w:val="22"/>
          <w:szCs w:val="22"/>
        </w:rPr>
        <w:t xml:space="preserve"> </w:t>
      </w:r>
      <w:r w:rsidR="004E3C31" w:rsidRPr="00652EA8">
        <w:rPr>
          <w:sz w:val="22"/>
          <w:szCs w:val="22"/>
        </w:rPr>
        <w:t>usufructuari</w:t>
      </w:r>
      <w:r w:rsidR="002F6C2B">
        <w:rPr>
          <w:sz w:val="22"/>
          <w:szCs w:val="22"/>
        </w:rPr>
        <w:t>a</w:t>
      </w:r>
      <w:r w:rsidR="004E3C31" w:rsidRPr="00652EA8">
        <w:rPr>
          <w:sz w:val="22"/>
          <w:szCs w:val="22"/>
        </w:rPr>
        <w:t>s o cualesquiera otros titulares de derechos de uso o disfrute sobre las viviendas a rehabilitar</w:t>
      </w:r>
      <w:r w:rsidR="00C21362">
        <w:rPr>
          <w:sz w:val="22"/>
          <w:szCs w:val="22"/>
        </w:rPr>
        <w:t xml:space="preserve"> que permitan un alquiler posterior</w:t>
      </w:r>
      <w:r w:rsidR="00AE08E3">
        <w:rPr>
          <w:sz w:val="22"/>
          <w:szCs w:val="22"/>
        </w:rPr>
        <w:t xml:space="preserve"> según la legislación vigente. L</w:t>
      </w:r>
      <w:r w:rsidR="0033687C" w:rsidRPr="00652EA8">
        <w:rPr>
          <w:sz w:val="22"/>
          <w:szCs w:val="22"/>
        </w:rPr>
        <w:t>as actuaciones de rehabilitación</w:t>
      </w:r>
      <w:r w:rsidR="00FD4DC0" w:rsidRPr="00652EA8">
        <w:rPr>
          <w:sz w:val="22"/>
          <w:szCs w:val="22"/>
        </w:rPr>
        <w:t xml:space="preserve"> deberán cumplir la legislación urbanística </w:t>
      </w:r>
      <w:r w:rsidR="00F56BA4" w:rsidRPr="00652EA8">
        <w:rPr>
          <w:sz w:val="22"/>
          <w:szCs w:val="22"/>
        </w:rPr>
        <w:t>vigente</w:t>
      </w:r>
      <w:r w:rsidR="00FD4DC0" w:rsidRPr="00652EA8">
        <w:rPr>
          <w:sz w:val="22"/>
          <w:szCs w:val="22"/>
        </w:rPr>
        <w:t>.</w:t>
      </w:r>
    </w:p>
    <w:p w14:paraId="706E0729" w14:textId="4815A143" w:rsidR="00FF6811" w:rsidRDefault="00FF6811" w:rsidP="0033687C">
      <w:pPr>
        <w:jc w:val="both"/>
        <w:rPr>
          <w:sz w:val="22"/>
          <w:szCs w:val="22"/>
        </w:rPr>
      </w:pPr>
    </w:p>
    <w:p w14:paraId="00D85A71" w14:textId="3731E5EF" w:rsidR="00FF6811" w:rsidRDefault="00FF6811" w:rsidP="0033687C">
      <w:pPr>
        <w:jc w:val="both"/>
        <w:rPr>
          <w:sz w:val="22"/>
          <w:szCs w:val="22"/>
        </w:rPr>
      </w:pPr>
      <w:r>
        <w:rPr>
          <w:sz w:val="22"/>
          <w:szCs w:val="22"/>
        </w:rPr>
        <w:t>La convocatoria anual concretará las condiciones que deben cumplir las obras amparables.</w:t>
      </w:r>
    </w:p>
    <w:p w14:paraId="68CF586A" w14:textId="77777777" w:rsidR="0033687C" w:rsidRPr="00DC4421" w:rsidRDefault="0033687C" w:rsidP="0033687C">
      <w:pPr>
        <w:jc w:val="both"/>
        <w:rPr>
          <w:sz w:val="22"/>
          <w:szCs w:val="22"/>
        </w:rPr>
      </w:pPr>
    </w:p>
    <w:p w14:paraId="757FC50E" w14:textId="77777777" w:rsidR="00FD4DC0" w:rsidRPr="00DC4421" w:rsidRDefault="00FD4DC0" w:rsidP="00FD4DC0">
      <w:pPr>
        <w:spacing w:after="240"/>
        <w:jc w:val="both"/>
        <w:rPr>
          <w:b/>
          <w:sz w:val="22"/>
          <w:szCs w:val="22"/>
          <w:u w:val="single"/>
        </w:rPr>
      </w:pPr>
      <w:r w:rsidRPr="00DC4421">
        <w:rPr>
          <w:b/>
          <w:sz w:val="22"/>
          <w:szCs w:val="22"/>
        </w:rPr>
        <w:t>3. Inversiones y gastos subvencionables y condiciones adicionales.</w:t>
      </w:r>
    </w:p>
    <w:p w14:paraId="41B78F2A" w14:textId="127A4AB4" w:rsidR="00FD4DC0" w:rsidRPr="00DC4421" w:rsidRDefault="00FD4DC0" w:rsidP="00FD4DC0">
      <w:pPr>
        <w:numPr>
          <w:ilvl w:val="0"/>
          <w:numId w:val="13"/>
        </w:numPr>
        <w:spacing w:after="240"/>
        <w:jc w:val="both"/>
        <w:rPr>
          <w:sz w:val="22"/>
          <w:szCs w:val="22"/>
        </w:rPr>
      </w:pPr>
      <w:r w:rsidRPr="00DC4421">
        <w:rPr>
          <w:sz w:val="22"/>
          <w:szCs w:val="22"/>
        </w:rPr>
        <w:lastRenderedPageBreak/>
        <w:t xml:space="preserve">Únicamente se consideran gastos subvencionables aquellos que de manera indubitada respondan a la naturaleza de la actividad subvencionada y resulten estrictamente necesarios, y el IVA, en el caso de no ser recuperable por parte </w:t>
      </w:r>
      <w:r w:rsidR="009774F6">
        <w:rPr>
          <w:sz w:val="22"/>
          <w:szCs w:val="22"/>
        </w:rPr>
        <w:t>de la persona beneficiaria</w:t>
      </w:r>
      <w:r w:rsidRPr="00DC4421">
        <w:rPr>
          <w:sz w:val="22"/>
          <w:szCs w:val="22"/>
        </w:rPr>
        <w:t>.</w:t>
      </w:r>
    </w:p>
    <w:p w14:paraId="39FC1972" w14:textId="77777777" w:rsidR="00FD4DC0" w:rsidRDefault="00FD4DC0" w:rsidP="00FD4DC0">
      <w:pPr>
        <w:numPr>
          <w:ilvl w:val="0"/>
          <w:numId w:val="13"/>
        </w:numPr>
        <w:spacing w:after="240"/>
        <w:jc w:val="both"/>
        <w:rPr>
          <w:sz w:val="22"/>
          <w:szCs w:val="22"/>
        </w:rPr>
      </w:pPr>
      <w:r w:rsidRPr="00DC4421">
        <w:rPr>
          <w:sz w:val="22"/>
          <w:szCs w:val="22"/>
        </w:rPr>
        <w:t xml:space="preserve">Las subvenciones objeto de las presentes bases serán compatibles con otras subvenciones, ayudas, ingresos o recursos para la misma finalidad, procedentes de cualesquiera administraciones o entes públicos o privados, estatales, de la Unión Europea o de organismos internacionales. </w:t>
      </w:r>
    </w:p>
    <w:p w14:paraId="33285F89" w14:textId="77777777" w:rsidR="00FD4DC0" w:rsidRPr="00DC4421" w:rsidRDefault="00FD4DC0" w:rsidP="00FD4DC0">
      <w:pPr>
        <w:numPr>
          <w:ilvl w:val="0"/>
          <w:numId w:val="13"/>
        </w:numPr>
        <w:spacing w:after="240"/>
        <w:jc w:val="both"/>
        <w:rPr>
          <w:sz w:val="22"/>
          <w:szCs w:val="22"/>
        </w:rPr>
      </w:pPr>
      <w:r w:rsidRPr="00DC4421">
        <w:rPr>
          <w:sz w:val="22"/>
          <w:szCs w:val="22"/>
        </w:rPr>
        <w:t>El importe de la subvención en ningún caso podrá ser de tal cuantía que, aisladamente o en concurrencia con otras subvenciones u otros ingresos, supere el coste de la actividad.</w:t>
      </w:r>
    </w:p>
    <w:p w14:paraId="2EE5DFBD" w14:textId="3D92707B" w:rsidR="00FD4DC0" w:rsidRDefault="00FD4DC0" w:rsidP="00FD4DC0">
      <w:pPr>
        <w:numPr>
          <w:ilvl w:val="0"/>
          <w:numId w:val="13"/>
        </w:numPr>
        <w:spacing w:after="240"/>
        <w:jc w:val="both"/>
        <w:rPr>
          <w:sz w:val="22"/>
          <w:szCs w:val="22"/>
        </w:rPr>
      </w:pPr>
      <w:r w:rsidRPr="00DC4421">
        <w:rPr>
          <w:sz w:val="22"/>
          <w:szCs w:val="22"/>
        </w:rPr>
        <w:t xml:space="preserve">Las </w:t>
      </w:r>
      <w:r w:rsidR="008475FE">
        <w:rPr>
          <w:sz w:val="22"/>
          <w:szCs w:val="22"/>
        </w:rPr>
        <w:t>personas físicas beneficiarias</w:t>
      </w:r>
      <w:r w:rsidRPr="00DC4421">
        <w:rPr>
          <w:sz w:val="22"/>
          <w:szCs w:val="22"/>
        </w:rPr>
        <w:t xml:space="preserve"> deberán realizar cuantos trámites y obtener cuantas autorizaciones sean precisas para la correcta y total ejecución de las actuaciones subvencionadas, </w:t>
      </w:r>
      <w:r w:rsidRPr="009774F6">
        <w:rPr>
          <w:sz w:val="22"/>
          <w:szCs w:val="22"/>
        </w:rPr>
        <w:t>todo ello tanto desde el inicio de los trabajos como hasta la recepción definitiva de los mismos.</w:t>
      </w:r>
    </w:p>
    <w:p w14:paraId="3AA3784F" w14:textId="4A39B56D" w:rsidR="00D21B9C" w:rsidRPr="009774F6" w:rsidRDefault="00D21B9C" w:rsidP="00FD4DC0">
      <w:pPr>
        <w:numPr>
          <w:ilvl w:val="0"/>
          <w:numId w:val="13"/>
        </w:numPr>
        <w:spacing w:after="240"/>
        <w:jc w:val="both"/>
        <w:rPr>
          <w:sz w:val="22"/>
          <w:szCs w:val="22"/>
        </w:rPr>
      </w:pPr>
      <w:r>
        <w:rPr>
          <w:sz w:val="22"/>
          <w:szCs w:val="22"/>
        </w:rPr>
        <w:t xml:space="preserve">Las viviendas se deberán alquilar enteras, sin que quepa el alquiler de partes de </w:t>
      </w:r>
      <w:r w:rsidR="00AE08E3">
        <w:rPr>
          <w:sz w:val="22"/>
          <w:szCs w:val="22"/>
        </w:rPr>
        <w:t>estas</w:t>
      </w:r>
      <w:r>
        <w:rPr>
          <w:sz w:val="22"/>
          <w:szCs w:val="22"/>
        </w:rPr>
        <w:t>.</w:t>
      </w:r>
    </w:p>
    <w:p w14:paraId="43C52EC0" w14:textId="5F7A2223" w:rsidR="00FD4DC0" w:rsidRDefault="00FD4DC0" w:rsidP="00652EA8">
      <w:pPr>
        <w:spacing w:after="240"/>
        <w:jc w:val="both"/>
        <w:rPr>
          <w:sz w:val="22"/>
          <w:szCs w:val="22"/>
        </w:rPr>
      </w:pPr>
      <w:r w:rsidRPr="00652EA8">
        <w:rPr>
          <w:sz w:val="22"/>
          <w:szCs w:val="22"/>
        </w:rPr>
        <w:t>De acuerdo</w:t>
      </w:r>
      <w:r w:rsidRPr="00DC4421">
        <w:rPr>
          <w:sz w:val="22"/>
          <w:szCs w:val="22"/>
        </w:rPr>
        <w:t xml:space="preserve"> con el artículo 3 de la Ley 4/2005 para la Igualdad de Mujeres y Hombres, los principios generales que deben regir y orientar la actuación de los poderes públicos vascos en materia de igualdad de mujeres y hombres son los siguientes: la igualdad de trato; la igualdad de oportunidades; el respeto a la diversidad y a la diferencia; la integración de la perspectiva de género; la acción positiva; la eliminación de roles y estereotipos en función del sexo; la representación equilibrada y la coordinación y colaboración. </w:t>
      </w:r>
    </w:p>
    <w:p w14:paraId="6B7C758C" w14:textId="155DC0EB" w:rsidR="00807A34" w:rsidRDefault="00B64D06" w:rsidP="00652EA8">
      <w:pPr>
        <w:spacing w:after="240"/>
        <w:jc w:val="both"/>
        <w:rPr>
          <w:sz w:val="22"/>
          <w:szCs w:val="22"/>
        </w:rPr>
      </w:pPr>
      <w:r>
        <w:rPr>
          <w:sz w:val="22"/>
          <w:szCs w:val="22"/>
        </w:rPr>
        <w:t xml:space="preserve">También en </w:t>
      </w:r>
      <w:r w:rsidR="00807A34">
        <w:rPr>
          <w:sz w:val="22"/>
          <w:szCs w:val="22"/>
        </w:rPr>
        <w:t>el artículo 46.1 de la misma Ley se recoge que se deben arbitrar los medios necesarios para garantizar que las políticas y programas en materia de medio ambiente, vivienda, urbanismo y transporte integren la perspectiva de género, considerando, entre otras, cuestiones relativas a la seguridad de las personas, a facilitar la realización del trabajo doméstico y de cuidado de las personas y la conciliación de la vida personal, familiar y laboral, así como a fomentar una mayor participación de las mujeres en el diseño y ejecución de las citadas políticas y programas.</w:t>
      </w:r>
    </w:p>
    <w:p w14:paraId="48BEA7ED" w14:textId="069F4E1F" w:rsidR="00B64D06" w:rsidRDefault="00B64D06" w:rsidP="00B64D06">
      <w:pPr>
        <w:spacing w:after="240"/>
        <w:jc w:val="both"/>
        <w:rPr>
          <w:sz w:val="22"/>
          <w:szCs w:val="22"/>
        </w:rPr>
      </w:pPr>
      <w:r>
        <w:rPr>
          <w:sz w:val="22"/>
          <w:szCs w:val="22"/>
        </w:rPr>
        <w:t xml:space="preserve">Además, </w:t>
      </w:r>
      <w:proofErr w:type="gramStart"/>
      <w:r>
        <w:rPr>
          <w:sz w:val="22"/>
          <w:szCs w:val="22"/>
        </w:rPr>
        <w:t>de acuerdo al</w:t>
      </w:r>
      <w:proofErr w:type="gramEnd"/>
      <w:r>
        <w:rPr>
          <w:sz w:val="22"/>
          <w:szCs w:val="22"/>
        </w:rPr>
        <w:t xml:space="preserve"> artículo 31.1 de la Ley Orgánica 3/2007 para la igualdad efectiva de mujeres y hombres referido a </w:t>
      </w:r>
      <w:r w:rsidRPr="00B64D06">
        <w:rPr>
          <w:sz w:val="22"/>
          <w:szCs w:val="22"/>
        </w:rPr>
        <w:t>Políticas urbanas, de ordenación territorial y vivienda</w:t>
      </w:r>
      <w:r>
        <w:rPr>
          <w:sz w:val="22"/>
          <w:szCs w:val="22"/>
        </w:rPr>
        <w:t>, se establece que l</w:t>
      </w:r>
      <w:r w:rsidRPr="00B64D06">
        <w:rPr>
          <w:sz w:val="22"/>
          <w:szCs w:val="22"/>
        </w:rPr>
        <w:t>as políticas y planes de las Administraciones públicas en materia de acceso a la vivienda incluirán medidas destinadas a hacer efectivo el principio de igualdad entre mujeres y hombres.</w:t>
      </w:r>
    </w:p>
    <w:p w14:paraId="41783578" w14:textId="77777777" w:rsidR="00FD4DC0" w:rsidRPr="00DC4421" w:rsidRDefault="00FD4DC0" w:rsidP="00FD4DC0">
      <w:pPr>
        <w:spacing w:after="240"/>
        <w:jc w:val="both"/>
        <w:rPr>
          <w:b/>
          <w:sz w:val="22"/>
          <w:szCs w:val="22"/>
        </w:rPr>
      </w:pPr>
      <w:r w:rsidRPr="00DC4421">
        <w:rPr>
          <w:b/>
          <w:sz w:val="22"/>
          <w:szCs w:val="22"/>
        </w:rPr>
        <w:t>4. Recursos económicos.</w:t>
      </w:r>
    </w:p>
    <w:p w14:paraId="3BA80726" w14:textId="77777777" w:rsidR="00FD4DC0" w:rsidRPr="00DC4421" w:rsidRDefault="00FD4DC0" w:rsidP="00FD4DC0">
      <w:pPr>
        <w:spacing w:after="240"/>
        <w:jc w:val="both"/>
        <w:rPr>
          <w:sz w:val="22"/>
          <w:szCs w:val="22"/>
        </w:rPr>
      </w:pPr>
      <w:r w:rsidRPr="00DC4421">
        <w:rPr>
          <w:sz w:val="22"/>
          <w:szCs w:val="22"/>
        </w:rPr>
        <w:t>La correspondiente convocatoria fijará la cuantía total máxima destinada a las subvenciones convocadas mediante las presentes bases, así como las partidas presupuestarias a las que se imputen.</w:t>
      </w:r>
    </w:p>
    <w:p w14:paraId="38270C61" w14:textId="77777777" w:rsidR="00FD4DC0" w:rsidRPr="00DC4421" w:rsidRDefault="00FD4DC0" w:rsidP="00FD4DC0">
      <w:pPr>
        <w:spacing w:after="240"/>
        <w:jc w:val="both"/>
        <w:rPr>
          <w:b/>
          <w:sz w:val="22"/>
          <w:szCs w:val="22"/>
        </w:rPr>
      </w:pPr>
      <w:r w:rsidRPr="00DC4421">
        <w:rPr>
          <w:b/>
          <w:sz w:val="22"/>
          <w:szCs w:val="22"/>
        </w:rPr>
        <w:t xml:space="preserve">5. </w:t>
      </w:r>
      <w:r w:rsidR="00EA61EE">
        <w:rPr>
          <w:b/>
          <w:sz w:val="22"/>
          <w:szCs w:val="22"/>
        </w:rPr>
        <w:t>Personas beneficiarias</w:t>
      </w:r>
      <w:r w:rsidRPr="00DC4421">
        <w:rPr>
          <w:b/>
          <w:sz w:val="22"/>
          <w:szCs w:val="22"/>
        </w:rPr>
        <w:t>.</w:t>
      </w:r>
    </w:p>
    <w:p w14:paraId="2A949BA7" w14:textId="6B18394C" w:rsidR="00562FEE" w:rsidRPr="00DA0BC4" w:rsidRDefault="00562FEE" w:rsidP="00562FEE">
      <w:pPr>
        <w:spacing w:after="240"/>
        <w:jc w:val="both"/>
        <w:rPr>
          <w:sz w:val="22"/>
          <w:szCs w:val="22"/>
        </w:rPr>
      </w:pPr>
      <w:r w:rsidRPr="00DA0BC4">
        <w:rPr>
          <w:sz w:val="22"/>
          <w:szCs w:val="22"/>
        </w:rPr>
        <w:t xml:space="preserve">Podrán ser beneficiarias de estas subvenciones las </w:t>
      </w:r>
      <w:r w:rsidR="00C21362" w:rsidRPr="00C21362">
        <w:rPr>
          <w:sz w:val="22"/>
          <w:szCs w:val="22"/>
        </w:rPr>
        <w:t xml:space="preserve">personas físicas </w:t>
      </w:r>
      <w:r w:rsidR="00C21362">
        <w:rPr>
          <w:sz w:val="22"/>
          <w:szCs w:val="22"/>
        </w:rPr>
        <w:t>propietarias o titulares de un derecho real</w:t>
      </w:r>
      <w:r w:rsidR="003E1738">
        <w:rPr>
          <w:sz w:val="22"/>
          <w:szCs w:val="22"/>
        </w:rPr>
        <w:t>, según se definen en la base segunda,</w:t>
      </w:r>
      <w:r w:rsidR="00C21362">
        <w:rPr>
          <w:sz w:val="22"/>
          <w:szCs w:val="22"/>
        </w:rPr>
        <w:t xml:space="preserve"> sobre viviendas radicadas en</w:t>
      </w:r>
      <w:r w:rsidRPr="00DA0BC4">
        <w:rPr>
          <w:sz w:val="22"/>
          <w:szCs w:val="22"/>
        </w:rPr>
        <w:t xml:space="preserve"> núcleos de población</w:t>
      </w:r>
      <w:r w:rsidR="001F61D8">
        <w:rPr>
          <w:sz w:val="22"/>
          <w:szCs w:val="22"/>
        </w:rPr>
        <w:t xml:space="preserve"> situados en municipios menores de 20.000 habitantes.</w:t>
      </w:r>
    </w:p>
    <w:p w14:paraId="26AA8863" w14:textId="6A64D273" w:rsidR="00562FEE" w:rsidRPr="00DA0BC4" w:rsidRDefault="00562FEE" w:rsidP="00562FEE">
      <w:pPr>
        <w:spacing w:after="240"/>
        <w:jc w:val="both"/>
        <w:rPr>
          <w:sz w:val="22"/>
          <w:szCs w:val="22"/>
        </w:rPr>
      </w:pPr>
      <w:r w:rsidRPr="00DA0BC4">
        <w:rPr>
          <w:sz w:val="22"/>
          <w:szCs w:val="22"/>
        </w:rPr>
        <w:t xml:space="preserve">No podrán tener la condición de </w:t>
      </w:r>
      <w:r w:rsidR="00D862D7">
        <w:rPr>
          <w:sz w:val="22"/>
          <w:szCs w:val="22"/>
        </w:rPr>
        <w:t>personas</w:t>
      </w:r>
      <w:r w:rsidRPr="00DA0BC4">
        <w:rPr>
          <w:sz w:val="22"/>
          <w:szCs w:val="22"/>
        </w:rPr>
        <w:t xml:space="preserve"> beneficiarias aquellas que hayan sido sancionadas por las infracciones a que se refiere el título IV de la Ley 38/2003 general de subvenciones, de 17 de noviembre, al igual que las que incurran en los supuestos contemplados en la Ley 4/2005, de 18 de febrero, del Parlamento Vasco, para la igualdad de mujeres y hombres y en la Ley Orgánica 3/2007, de 22 de marzo, para la igualdad efectiva de mujeres y hombres.</w:t>
      </w:r>
    </w:p>
    <w:p w14:paraId="5D7C712F" w14:textId="7FB39886" w:rsidR="00091CB1" w:rsidRPr="00091CB1" w:rsidRDefault="00091CB1" w:rsidP="00091CB1">
      <w:pPr>
        <w:spacing w:after="240"/>
        <w:jc w:val="both"/>
        <w:rPr>
          <w:b/>
          <w:sz w:val="22"/>
          <w:szCs w:val="22"/>
        </w:rPr>
      </w:pPr>
      <w:r w:rsidRPr="00091CB1">
        <w:rPr>
          <w:b/>
          <w:sz w:val="22"/>
          <w:szCs w:val="22"/>
        </w:rPr>
        <w:lastRenderedPageBreak/>
        <w:t>6. Procedimiento de concesión</w:t>
      </w:r>
      <w:r>
        <w:rPr>
          <w:b/>
          <w:sz w:val="22"/>
          <w:szCs w:val="22"/>
        </w:rPr>
        <w:t xml:space="preserve"> </w:t>
      </w:r>
      <w:r w:rsidRPr="00091CB1">
        <w:rPr>
          <w:b/>
          <w:sz w:val="22"/>
          <w:szCs w:val="22"/>
        </w:rPr>
        <w:t xml:space="preserve">de las subvenciones. Cuantificación de </w:t>
      </w:r>
      <w:proofErr w:type="gramStart"/>
      <w:r w:rsidRPr="00091CB1">
        <w:rPr>
          <w:b/>
          <w:sz w:val="22"/>
          <w:szCs w:val="22"/>
        </w:rPr>
        <w:t>las mismas</w:t>
      </w:r>
      <w:proofErr w:type="gramEnd"/>
      <w:r w:rsidRPr="00091CB1">
        <w:rPr>
          <w:b/>
          <w:sz w:val="22"/>
          <w:szCs w:val="22"/>
        </w:rPr>
        <w:t>.</w:t>
      </w:r>
    </w:p>
    <w:p w14:paraId="4566ECDA" w14:textId="77777777" w:rsidR="00FD4DC0" w:rsidRDefault="00FD4DC0" w:rsidP="00FD4DC0">
      <w:pPr>
        <w:spacing w:after="240"/>
        <w:jc w:val="both"/>
        <w:rPr>
          <w:sz w:val="22"/>
          <w:szCs w:val="22"/>
        </w:rPr>
      </w:pPr>
      <w:r w:rsidRPr="001B2BD9">
        <w:rPr>
          <w:sz w:val="22"/>
          <w:szCs w:val="22"/>
        </w:rPr>
        <w:t xml:space="preserve">La concesión de las subvenciones se realizará en régimen </w:t>
      </w:r>
      <w:r w:rsidR="00F56BA4">
        <w:rPr>
          <w:sz w:val="22"/>
          <w:szCs w:val="22"/>
        </w:rPr>
        <w:t>de libre concurrencia</w:t>
      </w:r>
      <w:r w:rsidRPr="001B2BD9">
        <w:rPr>
          <w:sz w:val="22"/>
          <w:szCs w:val="22"/>
        </w:rPr>
        <w:t xml:space="preserve">. </w:t>
      </w:r>
    </w:p>
    <w:p w14:paraId="18994994" w14:textId="644AE1FF" w:rsidR="00457780" w:rsidRDefault="00457780" w:rsidP="00FD4DC0">
      <w:pPr>
        <w:spacing w:after="240"/>
        <w:jc w:val="both"/>
        <w:rPr>
          <w:sz w:val="22"/>
          <w:szCs w:val="22"/>
        </w:rPr>
      </w:pPr>
      <w:r w:rsidRPr="009774F6">
        <w:rPr>
          <w:sz w:val="22"/>
          <w:szCs w:val="22"/>
        </w:rPr>
        <w:t xml:space="preserve">Los proyectos de rehabilitación serán </w:t>
      </w:r>
      <w:r w:rsidR="00C21362">
        <w:rPr>
          <w:sz w:val="22"/>
          <w:szCs w:val="22"/>
        </w:rPr>
        <w:t>ordenados</w:t>
      </w:r>
      <w:r w:rsidRPr="009774F6">
        <w:rPr>
          <w:sz w:val="22"/>
          <w:szCs w:val="22"/>
        </w:rPr>
        <w:t xml:space="preserve"> por los servicios técnicos del Departamento de Equilibrio Territorial atendiendo al orden de solicitud.</w:t>
      </w:r>
    </w:p>
    <w:p w14:paraId="193E697B" w14:textId="565F5D53" w:rsidR="00FD4DC0" w:rsidRPr="001B2BD9" w:rsidRDefault="00FD4DC0" w:rsidP="00FD4DC0">
      <w:pPr>
        <w:spacing w:after="240"/>
        <w:jc w:val="both"/>
        <w:rPr>
          <w:sz w:val="22"/>
          <w:szCs w:val="22"/>
        </w:rPr>
      </w:pPr>
      <w:r w:rsidRPr="00266A2E">
        <w:rPr>
          <w:sz w:val="22"/>
          <w:szCs w:val="22"/>
        </w:rPr>
        <w:t xml:space="preserve">El porcentaje máximo subvencionable se calculará sobre el coste </w:t>
      </w:r>
      <w:r w:rsidR="00457780" w:rsidRPr="00266A2E">
        <w:rPr>
          <w:sz w:val="22"/>
          <w:szCs w:val="22"/>
        </w:rPr>
        <w:t xml:space="preserve">total </w:t>
      </w:r>
      <w:r w:rsidRPr="00266A2E">
        <w:rPr>
          <w:sz w:val="22"/>
          <w:szCs w:val="22"/>
        </w:rPr>
        <w:t>de la actividad</w:t>
      </w:r>
      <w:r w:rsidR="00457780" w:rsidRPr="00266A2E">
        <w:rPr>
          <w:sz w:val="22"/>
          <w:szCs w:val="22"/>
        </w:rPr>
        <w:t xml:space="preserve"> de rehabilitación</w:t>
      </w:r>
      <w:r w:rsidRPr="00266A2E">
        <w:rPr>
          <w:sz w:val="22"/>
          <w:szCs w:val="22"/>
        </w:rPr>
        <w:t xml:space="preserve">. Se entenderá como coste de la actividad </w:t>
      </w:r>
      <w:r w:rsidR="00C92BAE">
        <w:rPr>
          <w:sz w:val="22"/>
          <w:szCs w:val="22"/>
        </w:rPr>
        <w:t>el definido en la base segunda, con inclusión de</w:t>
      </w:r>
      <w:r w:rsidRPr="001B2BD9">
        <w:rPr>
          <w:sz w:val="22"/>
          <w:szCs w:val="22"/>
        </w:rPr>
        <w:t>l porcentaje de IVA que no sea objeto de recuperación por parte del</w:t>
      </w:r>
      <w:r w:rsidR="00EA12B1">
        <w:rPr>
          <w:sz w:val="22"/>
          <w:szCs w:val="22"/>
        </w:rPr>
        <w:t xml:space="preserve"> </w:t>
      </w:r>
      <w:r w:rsidRPr="001B2BD9">
        <w:rPr>
          <w:sz w:val="22"/>
          <w:szCs w:val="22"/>
        </w:rPr>
        <w:t>beneficiari</w:t>
      </w:r>
      <w:r w:rsidR="00EA12B1">
        <w:rPr>
          <w:sz w:val="22"/>
          <w:szCs w:val="22"/>
        </w:rPr>
        <w:t>o</w:t>
      </w:r>
      <w:r w:rsidRPr="001B2BD9">
        <w:rPr>
          <w:sz w:val="22"/>
          <w:szCs w:val="22"/>
        </w:rPr>
        <w:t>.</w:t>
      </w:r>
    </w:p>
    <w:p w14:paraId="0A613FE5" w14:textId="2C191EE4" w:rsidR="00FD4DC0" w:rsidRPr="00DC4421" w:rsidRDefault="00FD4DC0" w:rsidP="00FD4DC0">
      <w:pPr>
        <w:spacing w:after="240"/>
        <w:jc w:val="both"/>
        <w:rPr>
          <w:sz w:val="22"/>
          <w:szCs w:val="22"/>
        </w:rPr>
      </w:pPr>
      <w:r w:rsidRPr="00DC4421">
        <w:rPr>
          <w:sz w:val="22"/>
          <w:szCs w:val="22"/>
        </w:rPr>
        <w:t xml:space="preserve">Se entenderá que las </w:t>
      </w:r>
      <w:r w:rsidR="00EA61EE">
        <w:rPr>
          <w:sz w:val="22"/>
          <w:szCs w:val="22"/>
        </w:rPr>
        <w:t xml:space="preserve">personas físicas </w:t>
      </w:r>
      <w:r w:rsidR="00223513">
        <w:rPr>
          <w:sz w:val="22"/>
          <w:szCs w:val="22"/>
        </w:rPr>
        <w:t>beneficiarias</w:t>
      </w:r>
      <w:r w:rsidRPr="00DC4421">
        <w:rPr>
          <w:sz w:val="22"/>
          <w:szCs w:val="22"/>
        </w:rPr>
        <w:t xml:space="preserve"> aceptan los términos de la subvención, siempre que en el </w:t>
      </w:r>
      <w:r w:rsidRPr="00331E2F">
        <w:rPr>
          <w:sz w:val="22"/>
          <w:szCs w:val="22"/>
        </w:rPr>
        <w:t>plazo de 10 días hábiles</w:t>
      </w:r>
      <w:r w:rsidRPr="00DC4421">
        <w:rPr>
          <w:sz w:val="22"/>
          <w:szCs w:val="22"/>
        </w:rPr>
        <w:t xml:space="preserve"> desde la notificación de la resolución no renuncien por escrito a la misma.</w:t>
      </w:r>
    </w:p>
    <w:p w14:paraId="2DEEC24D" w14:textId="02A39AB5" w:rsidR="00363AAA" w:rsidRPr="00F15552" w:rsidRDefault="00363AAA" w:rsidP="00363AAA">
      <w:pPr>
        <w:spacing w:after="240"/>
        <w:jc w:val="both"/>
        <w:rPr>
          <w:sz w:val="22"/>
          <w:szCs w:val="22"/>
        </w:rPr>
      </w:pPr>
      <w:bookmarkStart w:id="0" w:name="_Hlk72751518"/>
      <w:r w:rsidRPr="00F15552">
        <w:rPr>
          <w:sz w:val="22"/>
          <w:szCs w:val="22"/>
        </w:rPr>
        <w:t>Las solicitudes no atendidas por agotamiento de la dotación quedarán en bolsa en el orden de su p</w:t>
      </w:r>
      <w:r w:rsidR="00266A2E">
        <w:rPr>
          <w:sz w:val="22"/>
          <w:szCs w:val="22"/>
        </w:rPr>
        <w:t>resenta</w:t>
      </w:r>
      <w:r w:rsidRPr="00F15552">
        <w:rPr>
          <w:sz w:val="22"/>
          <w:szCs w:val="22"/>
        </w:rPr>
        <w:t>ción, y obtendrán subvención en el caso de que no se puedan aplicar los fondos inicialmente consignados por renuncias a las subvenciones originalmente otorgadas.</w:t>
      </w:r>
      <w:r>
        <w:rPr>
          <w:sz w:val="22"/>
          <w:szCs w:val="22"/>
        </w:rPr>
        <w:t xml:space="preserve"> Las renuncias deberán realizarse en el </w:t>
      </w:r>
      <w:r w:rsidRPr="00331E2F">
        <w:rPr>
          <w:sz w:val="22"/>
          <w:szCs w:val="22"/>
        </w:rPr>
        <w:t>plazo máximo de dos meses</w:t>
      </w:r>
      <w:r>
        <w:rPr>
          <w:sz w:val="22"/>
          <w:szCs w:val="22"/>
        </w:rPr>
        <w:t xml:space="preserve"> desde la notificación de la concesión.</w:t>
      </w:r>
    </w:p>
    <w:bookmarkEnd w:id="0"/>
    <w:p w14:paraId="69A791AB" w14:textId="77777777" w:rsidR="00FD4DC0" w:rsidRPr="00DC4421" w:rsidRDefault="00FD4DC0" w:rsidP="00FD4DC0">
      <w:pPr>
        <w:spacing w:after="240"/>
        <w:jc w:val="both"/>
        <w:rPr>
          <w:b/>
          <w:sz w:val="22"/>
          <w:szCs w:val="22"/>
        </w:rPr>
      </w:pPr>
      <w:r w:rsidRPr="00DC4421">
        <w:rPr>
          <w:b/>
          <w:sz w:val="22"/>
          <w:szCs w:val="22"/>
        </w:rPr>
        <w:t>7. Pago</w:t>
      </w:r>
      <w:r w:rsidR="00EB4B80">
        <w:rPr>
          <w:b/>
          <w:sz w:val="22"/>
          <w:szCs w:val="22"/>
        </w:rPr>
        <w:t>,</w:t>
      </w:r>
      <w:r w:rsidRPr="00DC4421">
        <w:rPr>
          <w:b/>
          <w:sz w:val="22"/>
          <w:szCs w:val="22"/>
        </w:rPr>
        <w:t xml:space="preserve"> plazo y forma de justificación por parte de la</w:t>
      </w:r>
      <w:r w:rsidR="006522CB">
        <w:rPr>
          <w:b/>
          <w:sz w:val="22"/>
          <w:szCs w:val="22"/>
        </w:rPr>
        <w:t>s personas</w:t>
      </w:r>
      <w:r w:rsidRPr="00DC4421">
        <w:rPr>
          <w:b/>
          <w:sz w:val="22"/>
          <w:szCs w:val="22"/>
        </w:rPr>
        <w:t xml:space="preserve"> beneficiaria</w:t>
      </w:r>
      <w:r w:rsidR="006522CB">
        <w:rPr>
          <w:b/>
          <w:sz w:val="22"/>
          <w:szCs w:val="22"/>
        </w:rPr>
        <w:t>s</w:t>
      </w:r>
      <w:r w:rsidRPr="00DC4421">
        <w:rPr>
          <w:b/>
          <w:sz w:val="22"/>
          <w:szCs w:val="22"/>
        </w:rPr>
        <w:t xml:space="preserve"> del cumplimiento de la finalidad para la que se concedió la subvención.</w:t>
      </w:r>
    </w:p>
    <w:p w14:paraId="11DB2CA8" w14:textId="70348A67" w:rsidR="00564EDC" w:rsidRDefault="00FD4DC0" w:rsidP="00FD4DC0">
      <w:pPr>
        <w:spacing w:after="240"/>
        <w:jc w:val="both"/>
        <w:rPr>
          <w:sz w:val="22"/>
          <w:szCs w:val="22"/>
        </w:rPr>
      </w:pPr>
      <w:r w:rsidRPr="00564EDC">
        <w:rPr>
          <w:sz w:val="22"/>
          <w:szCs w:val="22"/>
        </w:rPr>
        <w:t>El pago de las subvenciones se realizará</w:t>
      </w:r>
      <w:r w:rsidR="00564EDC" w:rsidRPr="00564EDC">
        <w:rPr>
          <w:sz w:val="22"/>
          <w:szCs w:val="22"/>
        </w:rPr>
        <w:t>,</w:t>
      </w:r>
      <w:r w:rsidRPr="00564EDC">
        <w:rPr>
          <w:sz w:val="22"/>
          <w:szCs w:val="22"/>
        </w:rPr>
        <w:t xml:space="preserve"> </w:t>
      </w:r>
      <w:r w:rsidR="00564EDC" w:rsidRPr="00564EDC">
        <w:rPr>
          <w:sz w:val="22"/>
          <w:szCs w:val="22"/>
        </w:rPr>
        <w:t xml:space="preserve">con carácter general, </w:t>
      </w:r>
      <w:r w:rsidRPr="00564EDC">
        <w:rPr>
          <w:sz w:val="22"/>
          <w:szCs w:val="22"/>
        </w:rPr>
        <w:t xml:space="preserve">previa justificación del cumplimiento de la actividad para la que se concedió. </w:t>
      </w:r>
      <w:r w:rsidR="00564EDC" w:rsidRPr="00564EDC">
        <w:rPr>
          <w:sz w:val="22"/>
          <w:szCs w:val="22"/>
        </w:rPr>
        <w:t>No obstante, la convocatoria anual podrá prever la existencia de anticipos a justificar.</w:t>
      </w:r>
    </w:p>
    <w:p w14:paraId="5C8C43BB" w14:textId="7CA64612" w:rsidR="00FD4DC0" w:rsidRPr="00DC4421" w:rsidRDefault="00FD4DC0" w:rsidP="00FD4DC0">
      <w:pPr>
        <w:spacing w:after="240"/>
        <w:jc w:val="both"/>
        <w:rPr>
          <w:sz w:val="22"/>
          <w:szCs w:val="22"/>
        </w:rPr>
      </w:pPr>
      <w:r w:rsidRPr="00266A2E">
        <w:rPr>
          <w:sz w:val="22"/>
          <w:szCs w:val="22"/>
        </w:rPr>
        <w:t>Para</w:t>
      </w:r>
      <w:r w:rsidRPr="00DC4421">
        <w:rPr>
          <w:sz w:val="22"/>
          <w:szCs w:val="22"/>
        </w:rPr>
        <w:t xml:space="preserve"> hacer efectivo el abono, se deberá aportar la documentación que se especifique en la convocatoria. El plazo máximo de presentación se establecerá en la correspondiente convocatoria.</w:t>
      </w:r>
    </w:p>
    <w:p w14:paraId="0C0F4B62" w14:textId="77777777" w:rsidR="00FD4DC0" w:rsidRPr="00DB598F" w:rsidRDefault="00FD4DC0" w:rsidP="00FD4DC0">
      <w:pPr>
        <w:spacing w:after="240"/>
        <w:jc w:val="both"/>
        <w:rPr>
          <w:sz w:val="22"/>
          <w:szCs w:val="22"/>
        </w:rPr>
      </w:pPr>
      <w:r w:rsidRPr="00DB598F">
        <w:rPr>
          <w:sz w:val="22"/>
          <w:szCs w:val="22"/>
        </w:rPr>
        <w:t>La justificación se realizará de la siguiente forma:</w:t>
      </w:r>
    </w:p>
    <w:p w14:paraId="41CB980A" w14:textId="77777777" w:rsidR="00FD4DC0" w:rsidRPr="00DB598F" w:rsidRDefault="00FD4DC0" w:rsidP="00FD4DC0">
      <w:pPr>
        <w:spacing w:after="240"/>
        <w:jc w:val="both"/>
        <w:rPr>
          <w:sz w:val="22"/>
          <w:szCs w:val="22"/>
        </w:rPr>
      </w:pPr>
      <w:r w:rsidRPr="00DB598F">
        <w:rPr>
          <w:sz w:val="22"/>
          <w:szCs w:val="22"/>
        </w:rPr>
        <w:t xml:space="preserve">a) </w:t>
      </w:r>
      <w:r w:rsidR="00153460" w:rsidRPr="00DB598F">
        <w:rPr>
          <w:sz w:val="22"/>
          <w:szCs w:val="22"/>
        </w:rPr>
        <w:t>Se entregará una m</w:t>
      </w:r>
      <w:r w:rsidRPr="00DB598F">
        <w:rPr>
          <w:sz w:val="22"/>
          <w:szCs w:val="22"/>
        </w:rPr>
        <w:t xml:space="preserve">emoria </w:t>
      </w:r>
      <w:r w:rsidR="00153460" w:rsidRPr="00DB598F">
        <w:rPr>
          <w:sz w:val="22"/>
          <w:szCs w:val="22"/>
        </w:rPr>
        <w:t>justificativa</w:t>
      </w:r>
      <w:r w:rsidRPr="00DB598F">
        <w:rPr>
          <w:sz w:val="22"/>
          <w:szCs w:val="22"/>
        </w:rPr>
        <w:t xml:space="preserve"> de la realización de las actuaciones, que incluya las partidas del presupuesto presentado en la solicitud como costes elegibles y realizados para llevar a cabo la inversión objeto de ayuda, comparándola con la ejecución real.</w:t>
      </w:r>
    </w:p>
    <w:p w14:paraId="3A947C45" w14:textId="01C52103" w:rsidR="00FD4DC0" w:rsidRDefault="00FD4DC0" w:rsidP="00FD4DC0">
      <w:pPr>
        <w:spacing w:after="240"/>
        <w:jc w:val="both"/>
        <w:rPr>
          <w:sz w:val="22"/>
          <w:szCs w:val="22"/>
        </w:rPr>
      </w:pPr>
      <w:r w:rsidRPr="00DB598F">
        <w:rPr>
          <w:sz w:val="22"/>
          <w:szCs w:val="22"/>
        </w:rPr>
        <w:t xml:space="preserve">b) </w:t>
      </w:r>
      <w:r w:rsidR="00326704">
        <w:rPr>
          <w:sz w:val="22"/>
          <w:szCs w:val="22"/>
        </w:rPr>
        <w:t>Certificaciones de obra, c</w:t>
      </w:r>
      <w:r w:rsidRPr="00DB598F">
        <w:rPr>
          <w:sz w:val="22"/>
          <w:szCs w:val="22"/>
        </w:rPr>
        <w:t>opia de las facturas y de sus correspondientes justificantes bancarios de pago.</w:t>
      </w:r>
    </w:p>
    <w:p w14:paraId="6D70253A" w14:textId="1264023B" w:rsidR="00FD4DC0" w:rsidRPr="00DC4421" w:rsidRDefault="00363AAA" w:rsidP="008248B5">
      <w:pPr>
        <w:spacing w:before="120" w:after="240"/>
        <w:jc w:val="both"/>
        <w:rPr>
          <w:b/>
          <w:sz w:val="22"/>
          <w:szCs w:val="22"/>
        </w:rPr>
      </w:pPr>
      <w:r w:rsidRPr="009B155D">
        <w:rPr>
          <w:b/>
          <w:sz w:val="22"/>
          <w:szCs w:val="22"/>
        </w:rPr>
        <w:t>8.</w:t>
      </w:r>
      <w:r w:rsidR="00FD4DC0" w:rsidRPr="00DC4421">
        <w:rPr>
          <w:b/>
          <w:sz w:val="22"/>
          <w:szCs w:val="22"/>
        </w:rPr>
        <w:t xml:space="preserve"> Reintegro de la subvención.</w:t>
      </w:r>
    </w:p>
    <w:p w14:paraId="02510AD3" w14:textId="77777777" w:rsidR="00FD4DC0" w:rsidRPr="00DC4421" w:rsidRDefault="00FD4DC0" w:rsidP="00FD4DC0">
      <w:pPr>
        <w:spacing w:after="240"/>
        <w:jc w:val="both"/>
        <w:rPr>
          <w:sz w:val="22"/>
          <w:szCs w:val="22"/>
        </w:rPr>
      </w:pPr>
      <w:r w:rsidRPr="00DC4421">
        <w:rPr>
          <w:sz w:val="22"/>
          <w:szCs w:val="22"/>
        </w:rPr>
        <w:t>Procederá el reintegro de las cantidades percibidas en los casos establecidos en la Norma Foral 11/2016, de subvenciones del Territorio Histórico de Álava y en la Ley 38/2003, de 17 de noviembre, General de Subvenciones y Real Decreto 887/2006, de 21 de julio, por el que se aprueba el Reglamento de la Ley 38/2003, de 17 de noviembre, General de Subvenciones.</w:t>
      </w:r>
    </w:p>
    <w:p w14:paraId="7A18F1BA" w14:textId="77777777" w:rsidR="00FD4DC0" w:rsidRPr="00DC4421" w:rsidRDefault="00FD4DC0" w:rsidP="00FD4DC0">
      <w:pPr>
        <w:spacing w:after="240"/>
        <w:jc w:val="both"/>
        <w:rPr>
          <w:sz w:val="22"/>
          <w:szCs w:val="22"/>
        </w:rPr>
      </w:pPr>
      <w:r w:rsidRPr="00DC4421">
        <w:rPr>
          <w:sz w:val="22"/>
          <w:szCs w:val="22"/>
        </w:rPr>
        <w:t>El reintegro de las cantidades percibidas sobre la subvención aprobada tendrá la consideración de ingresos de derecho público y su cobro se realizará conforme a lo previsto en el Título II, Capítulo I, de la Norma Foral 53/1992, de 18 de diciembre, de Régimen Económico y Presupuestario.</w:t>
      </w:r>
    </w:p>
    <w:p w14:paraId="29FE6BCD" w14:textId="77777777" w:rsidR="00FD4DC0" w:rsidRPr="00DC4421" w:rsidRDefault="00FD4DC0" w:rsidP="00FD4DC0">
      <w:pPr>
        <w:spacing w:after="240"/>
        <w:jc w:val="both"/>
        <w:rPr>
          <w:sz w:val="22"/>
          <w:szCs w:val="22"/>
        </w:rPr>
      </w:pPr>
      <w:r w:rsidRPr="00DC4421">
        <w:rPr>
          <w:sz w:val="22"/>
          <w:szCs w:val="22"/>
        </w:rPr>
        <w:t>Supuestos de incumplimiento:</w:t>
      </w:r>
    </w:p>
    <w:p w14:paraId="7ADEC5DB" w14:textId="2261B1BE" w:rsidR="00C21362" w:rsidRPr="004E3D9B" w:rsidRDefault="00C21362" w:rsidP="00E95A0A">
      <w:pPr>
        <w:pStyle w:val="Prrafodelista"/>
        <w:numPr>
          <w:ilvl w:val="0"/>
          <w:numId w:val="24"/>
        </w:numPr>
        <w:spacing w:after="240"/>
        <w:jc w:val="both"/>
        <w:rPr>
          <w:sz w:val="22"/>
          <w:szCs w:val="22"/>
        </w:rPr>
      </w:pPr>
      <w:r w:rsidRPr="004E3D9B">
        <w:rPr>
          <w:sz w:val="22"/>
          <w:szCs w:val="22"/>
        </w:rPr>
        <w:t xml:space="preserve">No incluir la vivienda, una vez rehabilitada, en </w:t>
      </w:r>
      <w:r w:rsidR="004E3D9B" w:rsidRPr="004E3D9B">
        <w:rPr>
          <w:sz w:val="22"/>
          <w:szCs w:val="22"/>
        </w:rPr>
        <w:t>el programa de</w:t>
      </w:r>
      <w:r w:rsidR="004E3D9B">
        <w:rPr>
          <w:sz w:val="22"/>
          <w:szCs w:val="22"/>
        </w:rPr>
        <w:t xml:space="preserve"> </w:t>
      </w:r>
      <w:r w:rsidR="004E3D9B" w:rsidRPr="004E3D9B">
        <w:rPr>
          <w:sz w:val="22"/>
          <w:szCs w:val="22"/>
        </w:rPr>
        <w:t xml:space="preserve">garantías al alquiler de viviendas de la Diputación Foral de Álava </w:t>
      </w:r>
      <w:r w:rsidR="00BD5F43">
        <w:rPr>
          <w:sz w:val="22"/>
          <w:szCs w:val="22"/>
        </w:rPr>
        <w:t>que señale</w:t>
      </w:r>
      <w:r w:rsidRPr="004E3D9B">
        <w:rPr>
          <w:sz w:val="22"/>
          <w:szCs w:val="22"/>
        </w:rPr>
        <w:t xml:space="preserve"> la convocatoria</w:t>
      </w:r>
      <w:r w:rsidR="00326704">
        <w:rPr>
          <w:sz w:val="22"/>
          <w:szCs w:val="22"/>
        </w:rPr>
        <w:t>, con un mínimo de 5 años</w:t>
      </w:r>
      <w:r w:rsidR="00BD5F43">
        <w:rPr>
          <w:sz w:val="22"/>
          <w:szCs w:val="22"/>
        </w:rPr>
        <w:t>.</w:t>
      </w:r>
    </w:p>
    <w:p w14:paraId="6E7DFEE0" w14:textId="77777777" w:rsidR="00C21362" w:rsidRDefault="00C21362" w:rsidP="00C21362">
      <w:pPr>
        <w:pStyle w:val="Prrafodelista"/>
        <w:spacing w:after="240"/>
        <w:jc w:val="both"/>
        <w:rPr>
          <w:sz w:val="22"/>
          <w:szCs w:val="22"/>
        </w:rPr>
      </w:pPr>
    </w:p>
    <w:p w14:paraId="207A725D" w14:textId="27CCE7A1" w:rsidR="00FD4DC0" w:rsidRDefault="00FD4DC0" w:rsidP="00A71B5D">
      <w:pPr>
        <w:pStyle w:val="Prrafodelista"/>
        <w:numPr>
          <w:ilvl w:val="0"/>
          <w:numId w:val="24"/>
        </w:numPr>
        <w:spacing w:after="240"/>
        <w:jc w:val="both"/>
        <w:rPr>
          <w:sz w:val="22"/>
          <w:szCs w:val="22"/>
        </w:rPr>
      </w:pPr>
      <w:r w:rsidRPr="00A71B5D">
        <w:rPr>
          <w:sz w:val="22"/>
          <w:szCs w:val="22"/>
        </w:rPr>
        <w:t>Incumplimiento de la obligación de justificación.</w:t>
      </w:r>
    </w:p>
    <w:p w14:paraId="3BE77432" w14:textId="77777777" w:rsidR="00A71B5D" w:rsidRPr="00A71B5D" w:rsidRDefault="00A71B5D" w:rsidP="00A71B5D">
      <w:pPr>
        <w:pStyle w:val="Prrafodelista"/>
        <w:spacing w:after="240"/>
        <w:jc w:val="both"/>
        <w:rPr>
          <w:sz w:val="22"/>
          <w:szCs w:val="22"/>
        </w:rPr>
      </w:pPr>
    </w:p>
    <w:p w14:paraId="148219ED" w14:textId="3C1C3AD5" w:rsidR="00FD4DC0" w:rsidRPr="00A71B5D" w:rsidRDefault="00FD4DC0" w:rsidP="00A71B5D">
      <w:pPr>
        <w:pStyle w:val="Prrafodelista"/>
        <w:numPr>
          <w:ilvl w:val="0"/>
          <w:numId w:val="24"/>
        </w:numPr>
        <w:spacing w:after="240"/>
        <w:jc w:val="both"/>
        <w:rPr>
          <w:sz w:val="22"/>
          <w:szCs w:val="22"/>
        </w:rPr>
      </w:pPr>
      <w:r w:rsidRPr="00A71B5D">
        <w:rPr>
          <w:sz w:val="22"/>
          <w:szCs w:val="22"/>
        </w:rPr>
        <w:t>Obtención de la subvención sin reunir las condiciones requeridas para ello.</w:t>
      </w:r>
    </w:p>
    <w:p w14:paraId="5E295F27" w14:textId="77777777" w:rsidR="00FD4DC0" w:rsidRPr="00DC4421" w:rsidRDefault="00FD4DC0" w:rsidP="00A71B5D">
      <w:pPr>
        <w:numPr>
          <w:ilvl w:val="0"/>
          <w:numId w:val="24"/>
        </w:numPr>
        <w:spacing w:after="240"/>
        <w:jc w:val="both"/>
        <w:rPr>
          <w:sz w:val="22"/>
          <w:szCs w:val="22"/>
        </w:rPr>
      </w:pPr>
      <w:r w:rsidRPr="00DC4421">
        <w:rPr>
          <w:sz w:val="22"/>
          <w:szCs w:val="22"/>
        </w:rPr>
        <w:t>Incumplimiento de la finalidad para la que la subvención fue concedida.</w:t>
      </w:r>
    </w:p>
    <w:p w14:paraId="74345500" w14:textId="1B65FCFB" w:rsidR="00FD4DC0" w:rsidRPr="00DC4421" w:rsidRDefault="00FD4DC0" w:rsidP="00A71B5D">
      <w:pPr>
        <w:numPr>
          <w:ilvl w:val="0"/>
          <w:numId w:val="24"/>
        </w:numPr>
        <w:spacing w:after="240"/>
        <w:jc w:val="both"/>
        <w:rPr>
          <w:sz w:val="22"/>
          <w:szCs w:val="22"/>
        </w:rPr>
      </w:pPr>
      <w:r w:rsidRPr="00DC4421">
        <w:rPr>
          <w:sz w:val="22"/>
          <w:szCs w:val="22"/>
        </w:rPr>
        <w:t xml:space="preserve">Incumplimiento de las condiciones impuestas a la </w:t>
      </w:r>
      <w:r w:rsidR="00D862D7">
        <w:rPr>
          <w:sz w:val="22"/>
          <w:szCs w:val="22"/>
        </w:rPr>
        <w:t>persona</w:t>
      </w:r>
      <w:r w:rsidRPr="00DC4421">
        <w:rPr>
          <w:sz w:val="22"/>
          <w:szCs w:val="22"/>
        </w:rPr>
        <w:t xml:space="preserve"> beneficiaria con motivo de la concesión de la subvención.</w:t>
      </w:r>
    </w:p>
    <w:p w14:paraId="16ADC82E" w14:textId="77777777" w:rsidR="00FD4DC0" w:rsidRPr="00DC4421" w:rsidRDefault="00FD4DC0" w:rsidP="00A71B5D">
      <w:pPr>
        <w:numPr>
          <w:ilvl w:val="0"/>
          <w:numId w:val="24"/>
        </w:numPr>
        <w:spacing w:after="240"/>
        <w:jc w:val="both"/>
        <w:rPr>
          <w:sz w:val="22"/>
          <w:szCs w:val="22"/>
        </w:rPr>
      </w:pPr>
      <w:r w:rsidRPr="00DC4421">
        <w:rPr>
          <w:sz w:val="22"/>
          <w:szCs w:val="22"/>
        </w:rPr>
        <w:t>Negativa u obstrucción a las actuaciones de control o comprobación.</w:t>
      </w:r>
    </w:p>
    <w:p w14:paraId="23E544D6" w14:textId="77777777" w:rsidR="00FD4DC0" w:rsidRPr="00DC4421" w:rsidRDefault="00FD4DC0" w:rsidP="00A71B5D">
      <w:pPr>
        <w:numPr>
          <w:ilvl w:val="0"/>
          <w:numId w:val="24"/>
        </w:numPr>
        <w:spacing w:after="240"/>
        <w:jc w:val="both"/>
        <w:rPr>
          <w:sz w:val="22"/>
          <w:szCs w:val="22"/>
        </w:rPr>
      </w:pPr>
      <w:r w:rsidRPr="00DC4421">
        <w:rPr>
          <w:sz w:val="22"/>
          <w:szCs w:val="22"/>
        </w:rPr>
        <w:t>Percepción de subvenciones superiores al coste de la actividad a desarrollar. En este caso procederá el reintegro del exceso obtenido sobre el coste de la actividad, junto con los intereses de demora correspondientes.</w:t>
      </w:r>
    </w:p>
    <w:p w14:paraId="2D8E7B18" w14:textId="77777777" w:rsidR="00FD4DC0" w:rsidRPr="00DC4421" w:rsidRDefault="00FD4DC0" w:rsidP="00A71B5D">
      <w:pPr>
        <w:numPr>
          <w:ilvl w:val="0"/>
          <w:numId w:val="24"/>
        </w:numPr>
        <w:spacing w:after="240"/>
        <w:jc w:val="both"/>
        <w:rPr>
          <w:sz w:val="22"/>
          <w:szCs w:val="22"/>
        </w:rPr>
      </w:pPr>
      <w:r w:rsidRPr="00DC4421">
        <w:rPr>
          <w:sz w:val="22"/>
          <w:szCs w:val="22"/>
        </w:rPr>
        <w:t>La existencia no declarada previamente de otras subvenciones con el mismo destino.</w:t>
      </w:r>
    </w:p>
    <w:p w14:paraId="4E1507C8" w14:textId="58F90084" w:rsidR="00FD4DC0" w:rsidRPr="00DC4421" w:rsidRDefault="008248B5" w:rsidP="00FD4DC0">
      <w:pPr>
        <w:spacing w:after="240"/>
        <w:jc w:val="both"/>
        <w:rPr>
          <w:b/>
          <w:sz w:val="22"/>
          <w:szCs w:val="22"/>
        </w:rPr>
      </w:pPr>
      <w:r>
        <w:rPr>
          <w:b/>
          <w:sz w:val="22"/>
          <w:szCs w:val="22"/>
        </w:rPr>
        <w:t>9</w:t>
      </w:r>
      <w:r w:rsidR="00FD4DC0" w:rsidRPr="00DC4421">
        <w:rPr>
          <w:b/>
          <w:sz w:val="22"/>
          <w:szCs w:val="22"/>
        </w:rPr>
        <w:t>. Comprobación.</w:t>
      </w:r>
    </w:p>
    <w:p w14:paraId="17D8691D" w14:textId="7693487F" w:rsidR="00FD4DC0" w:rsidRPr="00DC4421" w:rsidRDefault="00FD4DC0" w:rsidP="00FD4DC0">
      <w:pPr>
        <w:spacing w:after="240"/>
        <w:jc w:val="both"/>
        <w:rPr>
          <w:sz w:val="22"/>
          <w:szCs w:val="22"/>
        </w:rPr>
      </w:pPr>
      <w:r w:rsidRPr="00DC4421">
        <w:rPr>
          <w:sz w:val="22"/>
          <w:szCs w:val="22"/>
        </w:rPr>
        <w:t>Por la</w:t>
      </w:r>
      <w:r w:rsidR="00CA594B">
        <w:rPr>
          <w:sz w:val="22"/>
          <w:szCs w:val="22"/>
        </w:rPr>
        <w:t xml:space="preserve"> persona titular del departamento</w:t>
      </w:r>
      <w:r w:rsidRPr="00DC4421">
        <w:rPr>
          <w:sz w:val="22"/>
          <w:szCs w:val="22"/>
        </w:rPr>
        <w:t xml:space="preserve"> de Equilibrio Territorial se procederá a dictar las resoluciones que se estimen oportunas para el desarrollo de </w:t>
      </w:r>
      <w:r w:rsidR="00357471" w:rsidRPr="00DC4421">
        <w:rPr>
          <w:sz w:val="22"/>
          <w:szCs w:val="22"/>
        </w:rPr>
        <w:t>las presentes bases reguladoras</w:t>
      </w:r>
      <w:r w:rsidR="00CA594B">
        <w:rPr>
          <w:sz w:val="22"/>
          <w:szCs w:val="22"/>
        </w:rPr>
        <w:t xml:space="preserve"> </w:t>
      </w:r>
      <w:r w:rsidRPr="00DC4421">
        <w:rPr>
          <w:sz w:val="22"/>
          <w:szCs w:val="22"/>
        </w:rPr>
        <w:t>a iniciativa de la unidad orgánica que tramita la subvención, pudiendo ejercer acciones que permitan exigir y comprobar la veracidad de los datos aportados por la</w:t>
      </w:r>
      <w:r w:rsidR="00F56BA4">
        <w:rPr>
          <w:sz w:val="22"/>
          <w:szCs w:val="22"/>
        </w:rPr>
        <w:t>s</w:t>
      </w:r>
      <w:r w:rsidR="00A67485">
        <w:rPr>
          <w:sz w:val="22"/>
          <w:szCs w:val="22"/>
        </w:rPr>
        <w:t xml:space="preserve"> personas</w:t>
      </w:r>
      <w:r w:rsidRPr="00DC4421">
        <w:rPr>
          <w:sz w:val="22"/>
          <w:szCs w:val="22"/>
        </w:rPr>
        <w:t xml:space="preserve"> beneficiarias y el cumplimiento de lo regulado en las presentes bases. </w:t>
      </w:r>
    </w:p>
    <w:p w14:paraId="64452EC3" w14:textId="77777777" w:rsidR="00FD4DC0" w:rsidRPr="00DC4421" w:rsidRDefault="00FD4DC0" w:rsidP="00FD4DC0">
      <w:pPr>
        <w:spacing w:after="240"/>
        <w:jc w:val="both"/>
        <w:rPr>
          <w:sz w:val="22"/>
          <w:szCs w:val="22"/>
        </w:rPr>
      </w:pPr>
      <w:r w:rsidRPr="00DC4421">
        <w:rPr>
          <w:sz w:val="22"/>
          <w:szCs w:val="22"/>
        </w:rPr>
        <w:t>Para ello, los colectivos beneficiarios quedan comprometidos a facilitar cuantos datos y documentos tengan relación con las actividades desarrolladas por ellos y sean solicitados por el Departamento de Equilibrio Territorial. Igualmente deberán facilitar cuanta información pueda ser requerida por el Departamento de Hacienda, Finanzas y Presupuestos, Tribunal de Cuentas u otros organismos competentes.</w:t>
      </w:r>
    </w:p>
    <w:p w14:paraId="4D1FD5A4" w14:textId="7E167E4B" w:rsidR="00FD4DC0" w:rsidRPr="00DC4421" w:rsidRDefault="00FD4DC0" w:rsidP="00FD4DC0">
      <w:pPr>
        <w:spacing w:after="240"/>
        <w:jc w:val="both"/>
        <w:rPr>
          <w:b/>
          <w:sz w:val="22"/>
          <w:szCs w:val="22"/>
        </w:rPr>
      </w:pPr>
      <w:r w:rsidRPr="00DC4421">
        <w:rPr>
          <w:b/>
          <w:sz w:val="22"/>
          <w:szCs w:val="22"/>
        </w:rPr>
        <w:t>1</w:t>
      </w:r>
      <w:r w:rsidR="008248B5">
        <w:rPr>
          <w:b/>
          <w:sz w:val="22"/>
          <w:szCs w:val="22"/>
        </w:rPr>
        <w:t>0</w:t>
      </w:r>
      <w:r w:rsidRPr="00DC4421">
        <w:rPr>
          <w:b/>
          <w:sz w:val="22"/>
          <w:szCs w:val="22"/>
        </w:rPr>
        <w:t>. Responsabilidades.</w:t>
      </w:r>
    </w:p>
    <w:p w14:paraId="5953D682" w14:textId="1E6FDB52" w:rsidR="00FD4DC0" w:rsidRPr="00DC4421" w:rsidRDefault="00FD4DC0" w:rsidP="00FD4DC0">
      <w:pPr>
        <w:spacing w:after="240"/>
        <w:jc w:val="both"/>
        <w:rPr>
          <w:sz w:val="22"/>
          <w:szCs w:val="22"/>
        </w:rPr>
      </w:pPr>
      <w:r w:rsidRPr="00DC4421">
        <w:rPr>
          <w:sz w:val="22"/>
          <w:szCs w:val="22"/>
        </w:rPr>
        <w:t xml:space="preserve">Las </w:t>
      </w:r>
      <w:r w:rsidR="00A67485" w:rsidRPr="00DB598F">
        <w:rPr>
          <w:sz w:val="22"/>
          <w:szCs w:val="22"/>
        </w:rPr>
        <w:t>personas físicas</w:t>
      </w:r>
      <w:r w:rsidRPr="00DC4421">
        <w:rPr>
          <w:sz w:val="22"/>
          <w:szCs w:val="22"/>
        </w:rPr>
        <w:t xml:space="preserve"> beneficiarias asumen las responsabilidades que pudieran derivarse de la realización del programa y/o actividad, y a solicitar las autorizaciones que para su desarrollo sean exigidas por la legislación vigente.</w:t>
      </w:r>
    </w:p>
    <w:p w14:paraId="00592294" w14:textId="29DF968F" w:rsidR="00FD4DC0" w:rsidRPr="00DC4421" w:rsidRDefault="00FD4DC0" w:rsidP="00FD4DC0">
      <w:pPr>
        <w:spacing w:after="240"/>
        <w:jc w:val="both"/>
        <w:rPr>
          <w:b/>
          <w:sz w:val="22"/>
          <w:szCs w:val="22"/>
        </w:rPr>
      </w:pPr>
      <w:r w:rsidRPr="00DC4421">
        <w:rPr>
          <w:b/>
          <w:sz w:val="22"/>
          <w:szCs w:val="22"/>
        </w:rPr>
        <w:t>1</w:t>
      </w:r>
      <w:r w:rsidR="008248B5">
        <w:rPr>
          <w:b/>
          <w:sz w:val="22"/>
          <w:szCs w:val="22"/>
        </w:rPr>
        <w:t>1</w:t>
      </w:r>
      <w:r w:rsidRPr="00DC4421">
        <w:rPr>
          <w:b/>
          <w:sz w:val="22"/>
          <w:szCs w:val="22"/>
        </w:rPr>
        <w:t>. Modificaciones.</w:t>
      </w:r>
    </w:p>
    <w:p w14:paraId="76904A13" w14:textId="77777777" w:rsidR="00FD4DC0" w:rsidRPr="00DC4421" w:rsidRDefault="00FD4DC0" w:rsidP="00FD4DC0">
      <w:pPr>
        <w:spacing w:after="240"/>
        <w:jc w:val="both"/>
        <w:rPr>
          <w:sz w:val="22"/>
          <w:szCs w:val="22"/>
        </w:rPr>
      </w:pPr>
      <w:r w:rsidRPr="00DC4421">
        <w:rPr>
          <w:sz w:val="22"/>
          <w:szCs w:val="22"/>
        </w:rPr>
        <w:t xml:space="preserve">La subvención aprobada será revisada, una vez conocida la financiación del gasto a través de las aportaciones complementarias de ayudas de otras </w:t>
      </w:r>
      <w:proofErr w:type="gramStart"/>
      <w:r w:rsidRPr="00DC4421">
        <w:rPr>
          <w:sz w:val="22"/>
          <w:szCs w:val="22"/>
        </w:rPr>
        <w:t>entidades</w:t>
      </w:r>
      <w:proofErr w:type="gramEnd"/>
      <w:r w:rsidRPr="00DC4421">
        <w:rPr>
          <w:sz w:val="22"/>
          <w:szCs w:val="22"/>
        </w:rPr>
        <w:t xml:space="preserve"> así como, en su caso, otros ingresos, de tal forma que su cuantía definitiva máxima, sea el resultado deficitario de la liquidación final de gastos-ingresos de la actividad o actividades subvencionada/s.</w:t>
      </w:r>
    </w:p>
    <w:p w14:paraId="1876B198" w14:textId="77777777" w:rsidR="00FD4DC0" w:rsidRPr="00DC4421" w:rsidRDefault="00FD4DC0" w:rsidP="00FD4DC0">
      <w:pPr>
        <w:spacing w:after="240"/>
        <w:jc w:val="both"/>
        <w:rPr>
          <w:sz w:val="22"/>
          <w:szCs w:val="22"/>
        </w:rPr>
      </w:pPr>
      <w:r w:rsidRPr="00DC4421">
        <w:rPr>
          <w:sz w:val="22"/>
          <w:szCs w:val="22"/>
        </w:rPr>
        <w:t xml:space="preserve">Toda alteración de las condiciones tenidas en cuenta para la concesión de la subvención y, en todo caso, la obtención concurrente de subvenciones o ayudas concedidas por cualquier entidad pública o </w:t>
      </w:r>
      <w:r w:rsidR="00E24B94" w:rsidRPr="00DC4421">
        <w:rPr>
          <w:sz w:val="22"/>
          <w:szCs w:val="22"/>
        </w:rPr>
        <w:t>privada</w:t>
      </w:r>
      <w:r w:rsidRPr="00DC4421">
        <w:rPr>
          <w:sz w:val="22"/>
          <w:szCs w:val="22"/>
        </w:rPr>
        <w:t xml:space="preserve"> dará lugar a la modificación de la resolución de concesión, así como al reintegro parcial de la misma. Una vez aprobada la subvención, cuando las circunstancias de hecho que motivaron su concesión puedan dar lugar a una modificación de </w:t>
      </w:r>
      <w:r w:rsidR="00AB45D5">
        <w:rPr>
          <w:sz w:val="22"/>
          <w:szCs w:val="22"/>
        </w:rPr>
        <w:t>dicha subvención</w:t>
      </w:r>
      <w:r w:rsidRPr="00DC4421">
        <w:rPr>
          <w:sz w:val="22"/>
          <w:szCs w:val="22"/>
        </w:rPr>
        <w:t>, a propuesta razonada de su beneficiaria, la Diputada de Equilibrio Territorial podrá modificar ésta mediante la correspondiente Orden Foral.</w:t>
      </w:r>
    </w:p>
    <w:p w14:paraId="1C87CB4B" w14:textId="66F864A2" w:rsidR="00FD4DC0" w:rsidRPr="00DC4421" w:rsidRDefault="00FD4DC0" w:rsidP="00FD4DC0">
      <w:pPr>
        <w:spacing w:after="240"/>
        <w:jc w:val="both"/>
        <w:rPr>
          <w:b/>
          <w:sz w:val="22"/>
          <w:szCs w:val="22"/>
        </w:rPr>
      </w:pPr>
      <w:r w:rsidRPr="00DC4421">
        <w:rPr>
          <w:b/>
          <w:sz w:val="22"/>
          <w:szCs w:val="22"/>
        </w:rPr>
        <w:t>1</w:t>
      </w:r>
      <w:r w:rsidR="008248B5">
        <w:rPr>
          <w:b/>
          <w:sz w:val="22"/>
          <w:szCs w:val="22"/>
        </w:rPr>
        <w:t>2</w:t>
      </w:r>
      <w:r w:rsidRPr="00DC4421">
        <w:rPr>
          <w:b/>
          <w:sz w:val="22"/>
          <w:szCs w:val="22"/>
        </w:rPr>
        <w:t>. Interpretación.</w:t>
      </w:r>
    </w:p>
    <w:p w14:paraId="208EC321" w14:textId="46E9A020" w:rsidR="00FD4DC0" w:rsidRPr="00DC4421" w:rsidRDefault="00FD4DC0" w:rsidP="00FD4DC0">
      <w:pPr>
        <w:spacing w:after="240"/>
        <w:jc w:val="both"/>
        <w:rPr>
          <w:sz w:val="22"/>
          <w:szCs w:val="22"/>
        </w:rPr>
      </w:pPr>
      <w:r w:rsidRPr="00DC4421">
        <w:rPr>
          <w:sz w:val="22"/>
          <w:szCs w:val="22"/>
        </w:rPr>
        <w:t xml:space="preserve">Cualquier duda que pudiera surgir en torno a la interpretación de estas bases será resuelta por </w:t>
      </w:r>
      <w:r w:rsidR="00B7090F">
        <w:rPr>
          <w:sz w:val="22"/>
          <w:szCs w:val="22"/>
        </w:rPr>
        <w:t>la persona titular del d</w:t>
      </w:r>
      <w:r w:rsidRPr="00DC4421">
        <w:rPr>
          <w:sz w:val="22"/>
          <w:szCs w:val="22"/>
        </w:rPr>
        <w:t>epartamento de Equilibrio Territorial de esta Diputación</w:t>
      </w:r>
      <w:r w:rsidR="006840D1">
        <w:rPr>
          <w:sz w:val="22"/>
          <w:szCs w:val="22"/>
        </w:rPr>
        <w:t xml:space="preserve"> Foral</w:t>
      </w:r>
      <w:r w:rsidRPr="00DC4421">
        <w:rPr>
          <w:sz w:val="22"/>
          <w:szCs w:val="22"/>
        </w:rPr>
        <w:t>.</w:t>
      </w:r>
    </w:p>
    <w:p w14:paraId="1FE09C63" w14:textId="556EB732" w:rsidR="00FD4DC0" w:rsidRPr="00DC4421" w:rsidRDefault="00FD4DC0" w:rsidP="00FD4DC0">
      <w:pPr>
        <w:spacing w:after="240"/>
        <w:jc w:val="both"/>
        <w:rPr>
          <w:b/>
          <w:sz w:val="22"/>
          <w:szCs w:val="22"/>
        </w:rPr>
      </w:pPr>
      <w:r w:rsidRPr="00DC4421">
        <w:rPr>
          <w:b/>
          <w:sz w:val="22"/>
          <w:szCs w:val="22"/>
        </w:rPr>
        <w:t>1</w:t>
      </w:r>
      <w:r w:rsidR="008248B5">
        <w:rPr>
          <w:b/>
          <w:sz w:val="22"/>
          <w:szCs w:val="22"/>
        </w:rPr>
        <w:t>3</w:t>
      </w:r>
      <w:r w:rsidRPr="00DC4421">
        <w:rPr>
          <w:b/>
          <w:sz w:val="22"/>
          <w:szCs w:val="22"/>
        </w:rPr>
        <w:t>. Recursos.</w:t>
      </w:r>
    </w:p>
    <w:p w14:paraId="06DC3BD0" w14:textId="77777777" w:rsidR="00FD4DC0" w:rsidRPr="00DC4421" w:rsidRDefault="00FD4DC0" w:rsidP="00FD4DC0">
      <w:pPr>
        <w:spacing w:after="240"/>
        <w:jc w:val="both"/>
        <w:rPr>
          <w:sz w:val="22"/>
          <w:szCs w:val="22"/>
        </w:rPr>
      </w:pPr>
      <w:r w:rsidRPr="00DC4421">
        <w:rPr>
          <w:sz w:val="22"/>
          <w:szCs w:val="22"/>
        </w:rPr>
        <w:t>Las presentes bases y cuantos actos administrativos se deriven de ella, podrán ser impugnados en los casos y en la forma establecidos por la Ley 39/2015, de 1 de octubre, del Procedimiento Administrativo Común de las Administraciones Públicas.</w:t>
      </w:r>
    </w:p>
    <w:p w14:paraId="49EF56BB" w14:textId="549FEFF6" w:rsidR="00E24B94" w:rsidRPr="00DC4421" w:rsidRDefault="00E24B94" w:rsidP="00E24B94">
      <w:pPr>
        <w:spacing w:after="240"/>
        <w:jc w:val="both"/>
        <w:rPr>
          <w:b/>
          <w:sz w:val="22"/>
          <w:szCs w:val="22"/>
        </w:rPr>
      </w:pPr>
      <w:r w:rsidRPr="00DC4421">
        <w:rPr>
          <w:b/>
          <w:sz w:val="22"/>
          <w:szCs w:val="22"/>
        </w:rPr>
        <w:t>1</w:t>
      </w:r>
      <w:r w:rsidR="008248B5">
        <w:rPr>
          <w:b/>
          <w:sz w:val="22"/>
          <w:szCs w:val="22"/>
        </w:rPr>
        <w:t>4</w:t>
      </w:r>
      <w:r w:rsidRPr="00DC4421">
        <w:rPr>
          <w:b/>
          <w:sz w:val="22"/>
          <w:szCs w:val="22"/>
        </w:rPr>
        <w:t xml:space="preserve">. </w:t>
      </w:r>
      <w:r>
        <w:rPr>
          <w:b/>
          <w:sz w:val="22"/>
          <w:szCs w:val="22"/>
        </w:rPr>
        <w:t>Normativa aplicable</w:t>
      </w:r>
      <w:r w:rsidRPr="00DC4421">
        <w:rPr>
          <w:b/>
          <w:sz w:val="22"/>
          <w:szCs w:val="22"/>
        </w:rPr>
        <w:t>.</w:t>
      </w:r>
    </w:p>
    <w:p w14:paraId="7DDF184D" w14:textId="09FD57CD" w:rsidR="00FD4DC0" w:rsidRPr="002F2E6F" w:rsidRDefault="002F2E6F" w:rsidP="00FD4DC0">
      <w:pPr>
        <w:spacing w:after="240"/>
        <w:jc w:val="both"/>
        <w:rPr>
          <w:sz w:val="22"/>
          <w:szCs w:val="22"/>
        </w:rPr>
      </w:pPr>
      <w:r w:rsidRPr="002F2E6F">
        <w:rPr>
          <w:sz w:val="22"/>
          <w:szCs w:val="22"/>
        </w:rPr>
        <w:t>En lo no dispuesto en las presentes bases se regulará por la Norma Foral 11/2016, de subvenciones del Territorio Histórico de Álava, la Ley 38/2003, de 17 de noviembre, General de Subvenciones, el Real Decreto 887/2006, de 21 de julio, por el que se aprueba el Reglamento de la Ley 38/2003, de 17 de noviembre, General de Subvenciones, la Norma Foral 3/2023, de 25 de enero, General Presupuestaria del Territorio Histórico de Álava, la Norma Foral de ejecución presupuestaria que se encuentre vigente, la Ley 39/2015, de 1 de octubre, del Procedimiento Administrativo Común de las Administraciones Públicas y demás normativa que le sea de aplicación</w:t>
      </w:r>
      <w:r w:rsidR="00FD4DC0" w:rsidRPr="002F2E6F">
        <w:rPr>
          <w:sz w:val="22"/>
          <w:szCs w:val="22"/>
        </w:rPr>
        <w:t>.</w:t>
      </w:r>
    </w:p>
    <w:sectPr w:rsidR="00FD4DC0" w:rsidRPr="002F2E6F" w:rsidSect="00534EE4">
      <w:headerReference w:type="default" r:id="rId8"/>
      <w:footerReference w:type="even" r:id="rId9"/>
      <w:footerReference w:type="default" r:id="rId10"/>
      <w:headerReference w:type="first" r:id="rId11"/>
      <w:pgSz w:w="11906" w:h="16838" w:code="9"/>
      <w:pgMar w:top="2127" w:right="1418" w:bottom="1135"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09D7" w14:textId="77777777" w:rsidR="005C1881" w:rsidRDefault="005C1881">
      <w:r>
        <w:separator/>
      </w:r>
    </w:p>
  </w:endnote>
  <w:endnote w:type="continuationSeparator" w:id="0">
    <w:p w14:paraId="22080E36" w14:textId="77777777" w:rsidR="005C1881" w:rsidRDefault="005C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15B2" w14:textId="77777777" w:rsidR="00EB3DF6" w:rsidRDefault="00EB3D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EF1DC3" w14:textId="77777777" w:rsidR="00EB3DF6" w:rsidRDefault="00EB3D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085F" w14:textId="77777777" w:rsidR="001F5720" w:rsidRDefault="001F5720" w:rsidP="0008252C">
    <w:pPr>
      <w:pStyle w:val="Piedepgina"/>
      <w:jc w:val="center"/>
    </w:pPr>
  </w:p>
  <w:p w14:paraId="1A480EC3" w14:textId="77777777" w:rsidR="001F5720" w:rsidRDefault="001F57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272B" w14:textId="77777777" w:rsidR="005C1881" w:rsidRDefault="005C1881">
      <w:r>
        <w:separator/>
      </w:r>
    </w:p>
  </w:footnote>
  <w:footnote w:type="continuationSeparator" w:id="0">
    <w:p w14:paraId="6FAE2CE0" w14:textId="77777777" w:rsidR="005C1881" w:rsidRDefault="005C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B3DF6" w14:paraId="3A381298" w14:textId="77777777">
      <w:trPr>
        <w:cantSplit/>
        <w:trHeight w:val="338"/>
      </w:trPr>
      <w:tc>
        <w:tcPr>
          <w:tcW w:w="3856" w:type="dxa"/>
        </w:tcPr>
        <w:p w14:paraId="29D588EE" w14:textId="77777777" w:rsidR="00EB3DF6" w:rsidRDefault="00EB3DF6">
          <w:pPr>
            <w:pStyle w:val="Encabezado"/>
          </w:pPr>
        </w:p>
      </w:tc>
      <w:tc>
        <w:tcPr>
          <w:tcW w:w="1361" w:type="dxa"/>
          <w:vMerge w:val="restart"/>
        </w:tcPr>
        <w:p w14:paraId="7FF2C9E8" w14:textId="77777777" w:rsidR="00EB3DF6" w:rsidRDefault="00EB3DF6">
          <w:pPr>
            <w:pStyle w:val="Encabezado"/>
            <w:jc w:val="center"/>
          </w:pPr>
          <w:r>
            <w:rPr>
              <w:noProof/>
            </w:rPr>
            <w:drawing>
              <wp:inline distT="0" distB="0" distL="0" distR="0" wp14:anchorId="339625D7" wp14:editId="22367B14">
                <wp:extent cx="428625" cy="428625"/>
                <wp:effectExtent l="0" t="0" r="9525" b="9525"/>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038B302" w14:textId="77777777" w:rsidR="00EB3DF6" w:rsidRDefault="00EB3DF6">
          <w:pPr>
            <w:pStyle w:val="Encabezado"/>
          </w:pPr>
        </w:p>
      </w:tc>
    </w:tr>
    <w:tr w:rsidR="00EB3DF6" w14:paraId="02F7FC3E" w14:textId="77777777">
      <w:trPr>
        <w:cantSplit/>
        <w:trHeight w:val="337"/>
      </w:trPr>
      <w:tc>
        <w:tcPr>
          <w:tcW w:w="3856" w:type="dxa"/>
        </w:tcPr>
        <w:p w14:paraId="142E13E8" w14:textId="77777777" w:rsidR="00EB3DF6" w:rsidRDefault="00EB3DF6">
          <w:pPr>
            <w:pStyle w:val="Encabezado"/>
          </w:pPr>
        </w:p>
      </w:tc>
      <w:tc>
        <w:tcPr>
          <w:tcW w:w="1361" w:type="dxa"/>
          <w:vMerge/>
        </w:tcPr>
        <w:p w14:paraId="46BE7815" w14:textId="77777777" w:rsidR="00EB3DF6" w:rsidRDefault="00EB3DF6">
          <w:pPr>
            <w:pStyle w:val="Encabezado"/>
            <w:jc w:val="center"/>
          </w:pPr>
        </w:p>
      </w:tc>
      <w:tc>
        <w:tcPr>
          <w:tcW w:w="3856" w:type="dxa"/>
        </w:tcPr>
        <w:p w14:paraId="14119E70" w14:textId="77777777" w:rsidR="00EB3DF6" w:rsidRDefault="00EB3DF6">
          <w:pPr>
            <w:pStyle w:val="Encabezado"/>
          </w:pPr>
        </w:p>
      </w:tc>
    </w:tr>
  </w:tbl>
  <w:p w14:paraId="7E9489EC" w14:textId="77777777" w:rsidR="00EB3DF6" w:rsidRDefault="00EB3DF6">
    <w:pPr>
      <w:pStyle w:val="Encabezado"/>
    </w:pPr>
  </w:p>
  <w:p w14:paraId="237C13CE" w14:textId="77777777" w:rsidR="00EB3DF6" w:rsidRDefault="00EB3D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7B73EF" w14:paraId="3B76A2B5" w14:textId="77777777" w:rsidTr="00E43874">
      <w:trPr>
        <w:cantSplit/>
        <w:trHeight w:val="338"/>
      </w:trPr>
      <w:tc>
        <w:tcPr>
          <w:tcW w:w="3856" w:type="dxa"/>
        </w:tcPr>
        <w:p w14:paraId="7C864997" w14:textId="77777777" w:rsidR="007B73EF" w:rsidRDefault="007B73EF" w:rsidP="00E43874">
          <w:pPr>
            <w:pStyle w:val="Encabezado"/>
          </w:pPr>
        </w:p>
      </w:tc>
      <w:tc>
        <w:tcPr>
          <w:tcW w:w="1361" w:type="dxa"/>
          <w:vMerge w:val="restart"/>
        </w:tcPr>
        <w:p w14:paraId="46C21FC4" w14:textId="77777777" w:rsidR="007B73EF" w:rsidRDefault="007B73EF" w:rsidP="00E43874">
          <w:pPr>
            <w:pStyle w:val="Encabezado"/>
            <w:jc w:val="center"/>
          </w:pPr>
          <w:r>
            <w:rPr>
              <w:noProof/>
            </w:rPr>
            <w:drawing>
              <wp:inline distT="0" distB="0" distL="0" distR="0" wp14:anchorId="1F1C7D2B" wp14:editId="22FA985D">
                <wp:extent cx="428625" cy="428625"/>
                <wp:effectExtent l="0" t="0" r="9525" b="9525"/>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0496A10" w14:textId="77777777" w:rsidR="007B73EF" w:rsidRDefault="007B73EF" w:rsidP="00E43874">
          <w:pPr>
            <w:pStyle w:val="Encabezado"/>
          </w:pPr>
        </w:p>
      </w:tc>
    </w:tr>
    <w:tr w:rsidR="007B73EF" w14:paraId="731725A4" w14:textId="77777777" w:rsidTr="00E43874">
      <w:trPr>
        <w:cantSplit/>
        <w:trHeight w:val="337"/>
      </w:trPr>
      <w:tc>
        <w:tcPr>
          <w:tcW w:w="3856" w:type="dxa"/>
        </w:tcPr>
        <w:p w14:paraId="514CCAC0" w14:textId="77777777" w:rsidR="007B73EF" w:rsidRDefault="007B73EF" w:rsidP="00E43874">
          <w:pPr>
            <w:pStyle w:val="Encabezado"/>
          </w:pPr>
        </w:p>
      </w:tc>
      <w:tc>
        <w:tcPr>
          <w:tcW w:w="1361" w:type="dxa"/>
          <w:vMerge/>
        </w:tcPr>
        <w:p w14:paraId="0A0B0F28" w14:textId="77777777" w:rsidR="007B73EF" w:rsidRDefault="007B73EF" w:rsidP="00E43874">
          <w:pPr>
            <w:pStyle w:val="Encabezado"/>
            <w:jc w:val="center"/>
          </w:pPr>
        </w:p>
      </w:tc>
      <w:tc>
        <w:tcPr>
          <w:tcW w:w="3856" w:type="dxa"/>
        </w:tcPr>
        <w:p w14:paraId="6551181E" w14:textId="77777777" w:rsidR="007B73EF" w:rsidRDefault="007B73EF" w:rsidP="00E43874">
          <w:pPr>
            <w:pStyle w:val="Encabezado"/>
          </w:pPr>
        </w:p>
      </w:tc>
    </w:tr>
  </w:tbl>
  <w:p w14:paraId="5A0BF040" w14:textId="77777777" w:rsidR="00EE0AED" w:rsidRPr="007B73EF" w:rsidRDefault="00EE0AED" w:rsidP="007B73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B3C4E"/>
    <w:multiLevelType w:val="singleLevel"/>
    <w:tmpl w:val="69487144"/>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E8C3EC2"/>
    <w:multiLevelType w:val="hybridMultilevel"/>
    <w:tmpl w:val="E4AAE0FE"/>
    <w:lvl w:ilvl="0" w:tplc="2C96DB12">
      <w:start w:val="15"/>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11231D9D"/>
    <w:multiLevelType w:val="hybridMultilevel"/>
    <w:tmpl w:val="6EAC29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A1235"/>
    <w:multiLevelType w:val="singleLevel"/>
    <w:tmpl w:val="D3ECB866"/>
    <w:lvl w:ilvl="0">
      <w:numFmt w:val="bullet"/>
      <w:lvlText w:val="-"/>
      <w:lvlJc w:val="left"/>
      <w:pPr>
        <w:tabs>
          <w:tab w:val="num" w:pos="360"/>
        </w:tabs>
        <w:ind w:left="360" w:hanging="360"/>
      </w:pPr>
      <w:rPr>
        <w:rFonts w:hint="default"/>
      </w:rPr>
    </w:lvl>
  </w:abstractNum>
  <w:abstractNum w:abstractNumId="5" w15:restartNumberingAfterBreak="0">
    <w:nsid w:val="17B6587F"/>
    <w:multiLevelType w:val="hybridMultilevel"/>
    <w:tmpl w:val="C60E8B5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264515"/>
    <w:multiLevelType w:val="singleLevel"/>
    <w:tmpl w:val="17EC08A0"/>
    <w:lvl w:ilvl="0">
      <w:start w:val="1"/>
      <w:numFmt w:val="lowerLetter"/>
      <w:lvlText w:val="%1)"/>
      <w:lvlJc w:val="left"/>
      <w:pPr>
        <w:tabs>
          <w:tab w:val="num" w:pos="1143"/>
        </w:tabs>
        <w:ind w:left="1143" w:hanging="435"/>
      </w:pPr>
      <w:rPr>
        <w:rFonts w:hint="default"/>
      </w:rPr>
    </w:lvl>
  </w:abstractNum>
  <w:abstractNum w:abstractNumId="7" w15:restartNumberingAfterBreak="0">
    <w:nsid w:val="1B622D2B"/>
    <w:multiLevelType w:val="hybridMultilevel"/>
    <w:tmpl w:val="F75C4C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9E72AA"/>
    <w:multiLevelType w:val="hybridMultilevel"/>
    <w:tmpl w:val="AD088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D424D4"/>
    <w:multiLevelType w:val="hybridMultilevel"/>
    <w:tmpl w:val="E33C386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D103F8"/>
    <w:multiLevelType w:val="hybridMultilevel"/>
    <w:tmpl w:val="C60AE8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0B4B33"/>
    <w:multiLevelType w:val="hybridMultilevel"/>
    <w:tmpl w:val="45BA851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72068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94A1378"/>
    <w:multiLevelType w:val="singleLevel"/>
    <w:tmpl w:val="85963F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482145"/>
    <w:multiLevelType w:val="hybridMultilevel"/>
    <w:tmpl w:val="9A00A0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402575"/>
    <w:multiLevelType w:val="singleLevel"/>
    <w:tmpl w:val="0C0A000F"/>
    <w:lvl w:ilvl="0">
      <w:start w:val="1"/>
      <w:numFmt w:val="decimal"/>
      <w:lvlText w:val="%1."/>
      <w:lvlJc w:val="left"/>
      <w:pPr>
        <w:tabs>
          <w:tab w:val="num" w:pos="360"/>
        </w:tabs>
        <w:ind w:left="360" w:hanging="360"/>
      </w:pPr>
      <w:rPr>
        <w:rFonts w:hint="default"/>
      </w:rPr>
    </w:lvl>
  </w:abstractNum>
  <w:abstractNum w:abstractNumId="16" w15:restartNumberingAfterBreak="0">
    <w:nsid w:val="4CEE090F"/>
    <w:multiLevelType w:val="hybridMultilevel"/>
    <w:tmpl w:val="7338AE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D4F265C"/>
    <w:multiLevelType w:val="hybridMultilevel"/>
    <w:tmpl w:val="05F2596C"/>
    <w:lvl w:ilvl="0" w:tplc="B546DB2E">
      <w:start w:val="16"/>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52A12A27"/>
    <w:multiLevelType w:val="singleLevel"/>
    <w:tmpl w:val="A05EB764"/>
    <w:lvl w:ilvl="0">
      <w:start w:val="1"/>
      <w:numFmt w:val="lowerLetter"/>
      <w:lvlText w:val="%1)"/>
      <w:lvlJc w:val="left"/>
      <w:pPr>
        <w:tabs>
          <w:tab w:val="num" w:pos="1069"/>
        </w:tabs>
        <w:ind w:left="1069" w:hanging="360"/>
      </w:pPr>
      <w:rPr>
        <w:rFonts w:hint="default"/>
      </w:rPr>
    </w:lvl>
  </w:abstractNum>
  <w:abstractNum w:abstractNumId="19" w15:restartNumberingAfterBreak="0">
    <w:nsid w:val="56B814EE"/>
    <w:multiLevelType w:val="hybridMultilevel"/>
    <w:tmpl w:val="3CD2D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90451F"/>
    <w:multiLevelType w:val="hybridMultilevel"/>
    <w:tmpl w:val="0E82FB62"/>
    <w:lvl w:ilvl="0" w:tplc="38928AC8">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DD5F33"/>
    <w:multiLevelType w:val="multilevel"/>
    <w:tmpl w:val="B556417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8EF1565"/>
    <w:multiLevelType w:val="hybridMultilevel"/>
    <w:tmpl w:val="8AE4E5C0"/>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C3663B"/>
    <w:multiLevelType w:val="multilevel"/>
    <w:tmpl w:val="474A6E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453E6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AFC0364"/>
    <w:multiLevelType w:val="hybridMultilevel"/>
    <w:tmpl w:val="62BC2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9410843">
    <w:abstractNumId w:val="1"/>
  </w:num>
  <w:num w:numId="2" w16cid:durableId="22633961">
    <w:abstractNumId w:val="13"/>
  </w:num>
  <w:num w:numId="3" w16cid:durableId="416363989">
    <w:abstractNumId w:val="4"/>
  </w:num>
  <w:num w:numId="4" w16cid:durableId="828054258">
    <w:abstractNumId w:val="15"/>
  </w:num>
  <w:num w:numId="5" w16cid:durableId="210770520">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1648393959">
    <w:abstractNumId w:val="3"/>
  </w:num>
  <w:num w:numId="7" w16cid:durableId="530192520">
    <w:abstractNumId w:val="8"/>
  </w:num>
  <w:num w:numId="8" w16cid:durableId="1694530616">
    <w:abstractNumId w:val="14"/>
  </w:num>
  <w:num w:numId="9" w16cid:durableId="195194375">
    <w:abstractNumId w:val="9"/>
  </w:num>
  <w:num w:numId="10" w16cid:durableId="285358835">
    <w:abstractNumId w:val="16"/>
  </w:num>
  <w:num w:numId="11" w16cid:durableId="1948539365">
    <w:abstractNumId w:val="18"/>
  </w:num>
  <w:num w:numId="12" w16cid:durableId="406808485">
    <w:abstractNumId w:val="6"/>
  </w:num>
  <w:num w:numId="13" w16cid:durableId="1176962888">
    <w:abstractNumId w:val="21"/>
  </w:num>
  <w:num w:numId="14" w16cid:durableId="709451583">
    <w:abstractNumId w:val="2"/>
  </w:num>
  <w:num w:numId="15" w16cid:durableId="1156654534">
    <w:abstractNumId w:val="17"/>
  </w:num>
  <w:num w:numId="16" w16cid:durableId="1174341213">
    <w:abstractNumId w:val="10"/>
  </w:num>
  <w:num w:numId="17" w16cid:durableId="1853370414">
    <w:abstractNumId w:val="22"/>
  </w:num>
  <w:num w:numId="18" w16cid:durableId="220212771">
    <w:abstractNumId w:val="12"/>
  </w:num>
  <w:num w:numId="19" w16cid:durableId="1132938004">
    <w:abstractNumId w:val="25"/>
  </w:num>
  <w:num w:numId="20" w16cid:durableId="474444723">
    <w:abstractNumId w:val="23"/>
  </w:num>
  <w:num w:numId="21" w16cid:durableId="48264360">
    <w:abstractNumId w:val="24"/>
  </w:num>
  <w:num w:numId="22" w16cid:durableId="578174249">
    <w:abstractNumId w:val="5"/>
  </w:num>
  <w:num w:numId="23" w16cid:durableId="767697251">
    <w:abstractNumId w:val="11"/>
  </w:num>
  <w:num w:numId="24" w16cid:durableId="1319532702">
    <w:abstractNumId w:val="7"/>
  </w:num>
  <w:num w:numId="25" w16cid:durableId="1285039176">
    <w:abstractNumId w:val="19"/>
  </w:num>
  <w:num w:numId="26" w16cid:durableId="1190071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E8"/>
    <w:rsid w:val="0001026A"/>
    <w:rsid w:val="000202A0"/>
    <w:rsid w:val="000230F4"/>
    <w:rsid w:val="00023739"/>
    <w:rsid w:val="00024EC0"/>
    <w:rsid w:val="00040AB1"/>
    <w:rsid w:val="00044AC0"/>
    <w:rsid w:val="000506D6"/>
    <w:rsid w:val="000654B7"/>
    <w:rsid w:val="000761F4"/>
    <w:rsid w:val="0008252C"/>
    <w:rsid w:val="00082DE6"/>
    <w:rsid w:val="00083A68"/>
    <w:rsid w:val="00084B34"/>
    <w:rsid w:val="00091CB1"/>
    <w:rsid w:val="000A0CC2"/>
    <w:rsid w:val="000A1FC8"/>
    <w:rsid w:val="000B5E30"/>
    <w:rsid w:val="000B7636"/>
    <w:rsid w:val="000C193C"/>
    <w:rsid w:val="000C2975"/>
    <w:rsid w:val="000D0B96"/>
    <w:rsid w:val="000D4719"/>
    <w:rsid w:val="000D54F3"/>
    <w:rsid w:val="000D7804"/>
    <w:rsid w:val="000E0966"/>
    <w:rsid w:val="000F6233"/>
    <w:rsid w:val="00102CDC"/>
    <w:rsid w:val="00107B62"/>
    <w:rsid w:val="0012119B"/>
    <w:rsid w:val="00121218"/>
    <w:rsid w:val="00126207"/>
    <w:rsid w:val="001320C1"/>
    <w:rsid w:val="00137615"/>
    <w:rsid w:val="00142D89"/>
    <w:rsid w:val="00146BD4"/>
    <w:rsid w:val="00153460"/>
    <w:rsid w:val="00157E27"/>
    <w:rsid w:val="001624C0"/>
    <w:rsid w:val="001625AB"/>
    <w:rsid w:val="001635EA"/>
    <w:rsid w:val="00165C2F"/>
    <w:rsid w:val="001845F8"/>
    <w:rsid w:val="00185FBB"/>
    <w:rsid w:val="00191416"/>
    <w:rsid w:val="00194152"/>
    <w:rsid w:val="001964E0"/>
    <w:rsid w:val="001A00E4"/>
    <w:rsid w:val="001A093C"/>
    <w:rsid w:val="001C1178"/>
    <w:rsid w:val="001C6A51"/>
    <w:rsid w:val="001E208A"/>
    <w:rsid w:val="001E6893"/>
    <w:rsid w:val="001F5720"/>
    <w:rsid w:val="001F61D8"/>
    <w:rsid w:val="001F7189"/>
    <w:rsid w:val="00204D53"/>
    <w:rsid w:val="002120DC"/>
    <w:rsid w:val="0022071E"/>
    <w:rsid w:val="00221BC9"/>
    <w:rsid w:val="00223513"/>
    <w:rsid w:val="00223FC9"/>
    <w:rsid w:val="002259A0"/>
    <w:rsid w:val="002400D9"/>
    <w:rsid w:val="00242863"/>
    <w:rsid w:val="00242971"/>
    <w:rsid w:val="002443CE"/>
    <w:rsid w:val="00245EDD"/>
    <w:rsid w:val="00262F10"/>
    <w:rsid w:val="00266A2E"/>
    <w:rsid w:val="00276EF1"/>
    <w:rsid w:val="002826B3"/>
    <w:rsid w:val="00286E14"/>
    <w:rsid w:val="0029736E"/>
    <w:rsid w:val="002A77FA"/>
    <w:rsid w:val="002B5101"/>
    <w:rsid w:val="002C0A44"/>
    <w:rsid w:val="002D0944"/>
    <w:rsid w:val="002E2791"/>
    <w:rsid w:val="002F2E6F"/>
    <w:rsid w:val="002F6C2B"/>
    <w:rsid w:val="002F714C"/>
    <w:rsid w:val="0030656C"/>
    <w:rsid w:val="00307BE8"/>
    <w:rsid w:val="00311DB1"/>
    <w:rsid w:val="00321A80"/>
    <w:rsid w:val="00322EA4"/>
    <w:rsid w:val="00326704"/>
    <w:rsid w:val="003310CA"/>
    <w:rsid w:val="00331289"/>
    <w:rsid w:val="00331E2F"/>
    <w:rsid w:val="00335C21"/>
    <w:rsid w:val="0033620D"/>
    <w:rsid w:val="0033687C"/>
    <w:rsid w:val="0034337B"/>
    <w:rsid w:val="00357471"/>
    <w:rsid w:val="00357CD9"/>
    <w:rsid w:val="0036115D"/>
    <w:rsid w:val="00363AAA"/>
    <w:rsid w:val="00382415"/>
    <w:rsid w:val="003A36A2"/>
    <w:rsid w:val="003A4A41"/>
    <w:rsid w:val="003A73A8"/>
    <w:rsid w:val="003B047C"/>
    <w:rsid w:val="003C4FD2"/>
    <w:rsid w:val="003C6243"/>
    <w:rsid w:val="003D0850"/>
    <w:rsid w:val="003D40F2"/>
    <w:rsid w:val="003E1738"/>
    <w:rsid w:val="003E4D44"/>
    <w:rsid w:val="003F411A"/>
    <w:rsid w:val="00402707"/>
    <w:rsid w:val="004054CB"/>
    <w:rsid w:val="00422135"/>
    <w:rsid w:val="004301EA"/>
    <w:rsid w:val="00440E5B"/>
    <w:rsid w:val="00457780"/>
    <w:rsid w:val="00464473"/>
    <w:rsid w:val="0046618C"/>
    <w:rsid w:val="00486BDE"/>
    <w:rsid w:val="004A1D91"/>
    <w:rsid w:val="004B340E"/>
    <w:rsid w:val="004C091F"/>
    <w:rsid w:val="004D1B21"/>
    <w:rsid w:val="004D4256"/>
    <w:rsid w:val="004E3C31"/>
    <w:rsid w:val="004E3D9B"/>
    <w:rsid w:val="004F4C30"/>
    <w:rsid w:val="00502CB8"/>
    <w:rsid w:val="0050329A"/>
    <w:rsid w:val="005060CC"/>
    <w:rsid w:val="00512BD9"/>
    <w:rsid w:val="00514179"/>
    <w:rsid w:val="00515841"/>
    <w:rsid w:val="00515CA3"/>
    <w:rsid w:val="00516B0A"/>
    <w:rsid w:val="00521BE1"/>
    <w:rsid w:val="00522813"/>
    <w:rsid w:val="005259B0"/>
    <w:rsid w:val="00534EE4"/>
    <w:rsid w:val="00540312"/>
    <w:rsid w:val="005407BC"/>
    <w:rsid w:val="00543A4C"/>
    <w:rsid w:val="0055593E"/>
    <w:rsid w:val="005601C7"/>
    <w:rsid w:val="00562FEE"/>
    <w:rsid w:val="005646C1"/>
    <w:rsid w:val="00564EDC"/>
    <w:rsid w:val="00565191"/>
    <w:rsid w:val="00576598"/>
    <w:rsid w:val="00577A94"/>
    <w:rsid w:val="005814B6"/>
    <w:rsid w:val="0059102A"/>
    <w:rsid w:val="00595D07"/>
    <w:rsid w:val="005C1881"/>
    <w:rsid w:val="005C7CB4"/>
    <w:rsid w:val="005D5252"/>
    <w:rsid w:val="005E201D"/>
    <w:rsid w:val="005E4060"/>
    <w:rsid w:val="005E4E81"/>
    <w:rsid w:val="005E798A"/>
    <w:rsid w:val="005E7C56"/>
    <w:rsid w:val="005F5B47"/>
    <w:rsid w:val="006050CD"/>
    <w:rsid w:val="0061496F"/>
    <w:rsid w:val="00622028"/>
    <w:rsid w:val="006233CB"/>
    <w:rsid w:val="00625742"/>
    <w:rsid w:val="00632442"/>
    <w:rsid w:val="006366AF"/>
    <w:rsid w:val="00642729"/>
    <w:rsid w:val="0064623C"/>
    <w:rsid w:val="006522CB"/>
    <w:rsid w:val="00652EA8"/>
    <w:rsid w:val="0065313C"/>
    <w:rsid w:val="00661A46"/>
    <w:rsid w:val="00661DDC"/>
    <w:rsid w:val="00664FF7"/>
    <w:rsid w:val="00670428"/>
    <w:rsid w:val="0067315B"/>
    <w:rsid w:val="006840D1"/>
    <w:rsid w:val="0068742D"/>
    <w:rsid w:val="00693B6D"/>
    <w:rsid w:val="006A044C"/>
    <w:rsid w:val="006A4158"/>
    <w:rsid w:val="006A7570"/>
    <w:rsid w:val="006B0831"/>
    <w:rsid w:val="006B0A40"/>
    <w:rsid w:val="006B3D26"/>
    <w:rsid w:val="006C2E8A"/>
    <w:rsid w:val="006C599A"/>
    <w:rsid w:val="006D0302"/>
    <w:rsid w:val="006E1D2A"/>
    <w:rsid w:val="006E32C0"/>
    <w:rsid w:val="006E7C55"/>
    <w:rsid w:val="006F4D01"/>
    <w:rsid w:val="006F6E54"/>
    <w:rsid w:val="00703785"/>
    <w:rsid w:val="00712368"/>
    <w:rsid w:val="0071486D"/>
    <w:rsid w:val="0071600D"/>
    <w:rsid w:val="00727887"/>
    <w:rsid w:val="0072798C"/>
    <w:rsid w:val="0074213F"/>
    <w:rsid w:val="00742FA2"/>
    <w:rsid w:val="007465B2"/>
    <w:rsid w:val="00756A66"/>
    <w:rsid w:val="007576E9"/>
    <w:rsid w:val="00761232"/>
    <w:rsid w:val="0077458D"/>
    <w:rsid w:val="007747AE"/>
    <w:rsid w:val="00784FA0"/>
    <w:rsid w:val="00785043"/>
    <w:rsid w:val="00785313"/>
    <w:rsid w:val="007969B1"/>
    <w:rsid w:val="007A629F"/>
    <w:rsid w:val="007A7DBC"/>
    <w:rsid w:val="007B40DA"/>
    <w:rsid w:val="007B7173"/>
    <w:rsid w:val="007B73EF"/>
    <w:rsid w:val="007D1496"/>
    <w:rsid w:val="007E5625"/>
    <w:rsid w:val="007F1EF9"/>
    <w:rsid w:val="007F79F8"/>
    <w:rsid w:val="007F7DB8"/>
    <w:rsid w:val="00801448"/>
    <w:rsid w:val="008024D6"/>
    <w:rsid w:val="00803A83"/>
    <w:rsid w:val="00807570"/>
    <w:rsid w:val="00807A34"/>
    <w:rsid w:val="00820714"/>
    <w:rsid w:val="008248B5"/>
    <w:rsid w:val="008330FE"/>
    <w:rsid w:val="00841121"/>
    <w:rsid w:val="008475FE"/>
    <w:rsid w:val="00852E24"/>
    <w:rsid w:val="008533AC"/>
    <w:rsid w:val="0088375E"/>
    <w:rsid w:val="00885CB2"/>
    <w:rsid w:val="008B54C5"/>
    <w:rsid w:val="008B673E"/>
    <w:rsid w:val="008B6EC4"/>
    <w:rsid w:val="008D056B"/>
    <w:rsid w:val="008D2E4D"/>
    <w:rsid w:val="008D683C"/>
    <w:rsid w:val="008E33F7"/>
    <w:rsid w:val="008E6466"/>
    <w:rsid w:val="008F272B"/>
    <w:rsid w:val="008F41B4"/>
    <w:rsid w:val="008F6632"/>
    <w:rsid w:val="0090732C"/>
    <w:rsid w:val="00911204"/>
    <w:rsid w:val="0091218A"/>
    <w:rsid w:val="009238A6"/>
    <w:rsid w:val="0094018D"/>
    <w:rsid w:val="00945FB9"/>
    <w:rsid w:val="00952443"/>
    <w:rsid w:val="00956FB5"/>
    <w:rsid w:val="00972CB8"/>
    <w:rsid w:val="009736A5"/>
    <w:rsid w:val="0097488D"/>
    <w:rsid w:val="009774F6"/>
    <w:rsid w:val="0098213D"/>
    <w:rsid w:val="009850FB"/>
    <w:rsid w:val="00997DD5"/>
    <w:rsid w:val="009A722C"/>
    <w:rsid w:val="009B155D"/>
    <w:rsid w:val="009C0B65"/>
    <w:rsid w:val="009C1B23"/>
    <w:rsid w:val="009C205A"/>
    <w:rsid w:val="009D2EC5"/>
    <w:rsid w:val="009D718D"/>
    <w:rsid w:val="009E751F"/>
    <w:rsid w:val="009F0FFC"/>
    <w:rsid w:val="00A053DE"/>
    <w:rsid w:val="00A12212"/>
    <w:rsid w:val="00A17689"/>
    <w:rsid w:val="00A3179E"/>
    <w:rsid w:val="00A3466D"/>
    <w:rsid w:val="00A44861"/>
    <w:rsid w:val="00A46906"/>
    <w:rsid w:val="00A547D2"/>
    <w:rsid w:val="00A5587F"/>
    <w:rsid w:val="00A57B48"/>
    <w:rsid w:val="00A60C9B"/>
    <w:rsid w:val="00A61F2D"/>
    <w:rsid w:val="00A63580"/>
    <w:rsid w:val="00A640CD"/>
    <w:rsid w:val="00A6492C"/>
    <w:rsid w:val="00A67485"/>
    <w:rsid w:val="00A71B5D"/>
    <w:rsid w:val="00A81303"/>
    <w:rsid w:val="00A836EC"/>
    <w:rsid w:val="00A86D3C"/>
    <w:rsid w:val="00A94496"/>
    <w:rsid w:val="00A9473F"/>
    <w:rsid w:val="00AA2934"/>
    <w:rsid w:val="00AA2F8D"/>
    <w:rsid w:val="00AA3046"/>
    <w:rsid w:val="00AB45D5"/>
    <w:rsid w:val="00AD4BDB"/>
    <w:rsid w:val="00AE08E3"/>
    <w:rsid w:val="00AE7848"/>
    <w:rsid w:val="00AF6A34"/>
    <w:rsid w:val="00B043E3"/>
    <w:rsid w:val="00B215FE"/>
    <w:rsid w:val="00B26D6C"/>
    <w:rsid w:val="00B364C1"/>
    <w:rsid w:val="00B40AF9"/>
    <w:rsid w:val="00B55998"/>
    <w:rsid w:val="00B625C5"/>
    <w:rsid w:val="00B64D06"/>
    <w:rsid w:val="00B6762B"/>
    <w:rsid w:val="00B7090F"/>
    <w:rsid w:val="00B84E21"/>
    <w:rsid w:val="00B96CD0"/>
    <w:rsid w:val="00BA0BA3"/>
    <w:rsid w:val="00BA2D65"/>
    <w:rsid w:val="00BA3199"/>
    <w:rsid w:val="00BB5D6B"/>
    <w:rsid w:val="00BB6054"/>
    <w:rsid w:val="00BD5F43"/>
    <w:rsid w:val="00BD6A3C"/>
    <w:rsid w:val="00BE5877"/>
    <w:rsid w:val="00BE7057"/>
    <w:rsid w:val="00BF490D"/>
    <w:rsid w:val="00C0071C"/>
    <w:rsid w:val="00C012D8"/>
    <w:rsid w:val="00C07E5F"/>
    <w:rsid w:val="00C208A2"/>
    <w:rsid w:val="00C21362"/>
    <w:rsid w:val="00C21606"/>
    <w:rsid w:val="00C30281"/>
    <w:rsid w:val="00C4036A"/>
    <w:rsid w:val="00C4749C"/>
    <w:rsid w:val="00C5010B"/>
    <w:rsid w:val="00C55CC1"/>
    <w:rsid w:val="00C60632"/>
    <w:rsid w:val="00C6355A"/>
    <w:rsid w:val="00C657BD"/>
    <w:rsid w:val="00C67F8F"/>
    <w:rsid w:val="00C7457E"/>
    <w:rsid w:val="00C777E0"/>
    <w:rsid w:val="00C8343A"/>
    <w:rsid w:val="00C92BAE"/>
    <w:rsid w:val="00C95E45"/>
    <w:rsid w:val="00C975E9"/>
    <w:rsid w:val="00CA4E00"/>
    <w:rsid w:val="00CA594B"/>
    <w:rsid w:val="00CA7424"/>
    <w:rsid w:val="00CB54A1"/>
    <w:rsid w:val="00CE0B06"/>
    <w:rsid w:val="00CE4C23"/>
    <w:rsid w:val="00CF1113"/>
    <w:rsid w:val="00CF1AF9"/>
    <w:rsid w:val="00CF243F"/>
    <w:rsid w:val="00CF3537"/>
    <w:rsid w:val="00D21B9C"/>
    <w:rsid w:val="00D27C1B"/>
    <w:rsid w:val="00D32E5D"/>
    <w:rsid w:val="00D33E74"/>
    <w:rsid w:val="00D533ED"/>
    <w:rsid w:val="00D56B23"/>
    <w:rsid w:val="00D62161"/>
    <w:rsid w:val="00D6527D"/>
    <w:rsid w:val="00D71A90"/>
    <w:rsid w:val="00D722EA"/>
    <w:rsid w:val="00D7414D"/>
    <w:rsid w:val="00D76081"/>
    <w:rsid w:val="00D816B9"/>
    <w:rsid w:val="00D8224E"/>
    <w:rsid w:val="00D862D7"/>
    <w:rsid w:val="00D90862"/>
    <w:rsid w:val="00D96F8C"/>
    <w:rsid w:val="00DA6127"/>
    <w:rsid w:val="00DA7DE8"/>
    <w:rsid w:val="00DB598F"/>
    <w:rsid w:val="00DD2A79"/>
    <w:rsid w:val="00DE774A"/>
    <w:rsid w:val="00DF0FDE"/>
    <w:rsid w:val="00DF416C"/>
    <w:rsid w:val="00DF434B"/>
    <w:rsid w:val="00E0295F"/>
    <w:rsid w:val="00E05B86"/>
    <w:rsid w:val="00E060A4"/>
    <w:rsid w:val="00E13083"/>
    <w:rsid w:val="00E171D0"/>
    <w:rsid w:val="00E23D80"/>
    <w:rsid w:val="00E24B94"/>
    <w:rsid w:val="00E26281"/>
    <w:rsid w:val="00E30F4E"/>
    <w:rsid w:val="00E33AC7"/>
    <w:rsid w:val="00E33BC2"/>
    <w:rsid w:val="00E43DE2"/>
    <w:rsid w:val="00E44B5F"/>
    <w:rsid w:val="00E73D9C"/>
    <w:rsid w:val="00E91119"/>
    <w:rsid w:val="00E92E0E"/>
    <w:rsid w:val="00E95C47"/>
    <w:rsid w:val="00E95C8B"/>
    <w:rsid w:val="00E95D54"/>
    <w:rsid w:val="00E960EA"/>
    <w:rsid w:val="00E96B20"/>
    <w:rsid w:val="00EA07F1"/>
    <w:rsid w:val="00EA12B1"/>
    <w:rsid w:val="00EA61EE"/>
    <w:rsid w:val="00EA6C55"/>
    <w:rsid w:val="00EB3DF6"/>
    <w:rsid w:val="00EB4B80"/>
    <w:rsid w:val="00EC3422"/>
    <w:rsid w:val="00EC3A48"/>
    <w:rsid w:val="00ED5050"/>
    <w:rsid w:val="00EE041D"/>
    <w:rsid w:val="00EE0AED"/>
    <w:rsid w:val="00F105AF"/>
    <w:rsid w:val="00F15552"/>
    <w:rsid w:val="00F17263"/>
    <w:rsid w:val="00F3686D"/>
    <w:rsid w:val="00F41E1D"/>
    <w:rsid w:val="00F4266D"/>
    <w:rsid w:val="00F43771"/>
    <w:rsid w:val="00F56BA4"/>
    <w:rsid w:val="00F658AF"/>
    <w:rsid w:val="00F70882"/>
    <w:rsid w:val="00FA0216"/>
    <w:rsid w:val="00FA14BD"/>
    <w:rsid w:val="00FA214D"/>
    <w:rsid w:val="00FA3512"/>
    <w:rsid w:val="00FA77C5"/>
    <w:rsid w:val="00FB22EA"/>
    <w:rsid w:val="00FB27F7"/>
    <w:rsid w:val="00FC01E6"/>
    <w:rsid w:val="00FC39A2"/>
    <w:rsid w:val="00FD0617"/>
    <w:rsid w:val="00FD4DC0"/>
    <w:rsid w:val="00FF3D2D"/>
    <w:rsid w:val="00FF6811"/>
    <w:rsid w:val="00FF7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CCC3E86"/>
  <w15:docId w15:val="{9A81700D-6DC6-4A8F-8BC8-BDBD7EBA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7B"/>
  </w:style>
  <w:style w:type="paragraph" w:styleId="Ttulo1">
    <w:name w:val="heading 1"/>
    <w:basedOn w:val="Normal"/>
    <w:next w:val="Normal"/>
    <w:qFormat/>
    <w:pPr>
      <w:keepNext/>
      <w:spacing w:before="1560" w:after="60" w:line="240" w:lineRule="exact"/>
      <w:outlineLvl w:val="0"/>
    </w:pPr>
    <w:rPr>
      <w:b/>
      <w:sz w:val="22"/>
    </w:rPr>
  </w:style>
  <w:style w:type="paragraph" w:styleId="Ttulo2">
    <w:name w:val="heading 2"/>
    <w:basedOn w:val="Normal"/>
    <w:next w:val="Normal"/>
    <w:qFormat/>
    <w:pPr>
      <w:keepNext/>
      <w:spacing w:before="240" w:after="480"/>
      <w:jc w:val="center"/>
      <w:outlineLvl w:val="1"/>
    </w:pPr>
    <w:rPr>
      <w:rFonts w:ascii="Arial" w:hAnsi="Arial"/>
      <w:b/>
      <w:sz w:val="22"/>
    </w:rPr>
  </w:style>
  <w:style w:type="paragraph" w:styleId="Ttulo3">
    <w:name w:val="heading 3"/>
    <w:basedOn w:val="Normal"/>
    <w:next w:val="Normal"/>
    <w:qFormat/>
    <w:pPr>
      <w:keepNext/>
      <w:spacing w:before="240" w:after="360"/>
      <w:outlineLvl w:val="2"/>
    </w:pPr>
    <w:rPr>
      <w:b/>
      <w:sz w:val="24"/>
    </w:rPr>
  </w:style>
  <w:style w:type="paragraph" w:styleId="Ttulo4">
    <w:name w:val="heading 4"/>
    <w:basedOn w:val="Normal"/>
    <w:next w:val="Normal"/>
    <w:qFormat/>
    <w:pPr>
      <w:keepNext/>
      <w:spacing w:before="1560" w:after="60" w:line="240" w:lineRule="exact"/>
      <w:outlineLvl w:val="3"/>
    </w:pPr>
    <w:rPr>
      <w:rFonts w:ascii="Arial" w:hAnsi="Arial"/>
      <w:b/>
      <w:sz w:val="22"/>
    </w:rPr>
  </w:style>
  <w:style w:type="paragraph" w:styleId="Ttulo5">
    <w:name w:val="heading 5"/>
    <w:basedOn w:val="Normal"/>
    <w:next w:val="Normal"/>
    <w:qFormat/>
    <w:pPr>
      <w:keepNext/>
      <w:tabs>
        <w:tab w:val="left" w:pos="8505"/>
      </w:tabs>
      <w:spacing w:after="240"/>
      <w:ind w:right="2835"/>
      <w:jc w:val="center"/>
      <w:outlineLvl w:val="4"/>
    </w:pPr>
    <w:rPr>
      <w:b/>
      <w:sz w:val="22"/>
      <w:lang w:val="es-ES_tradnl"/>
    </w:rPr>
  </w:style>
  <w:style w:type="paragraph" w:styleId="Ttulo6">
    <w:name w:val="heading 6"/>
    <w:basedOn w:val="Normal"/>
    <w:next w:val="Normal"/>
    <w:qFormat/>
    <w:pPr>
      <w:keepNext/>
      <w:ind w:left="10"/>
      <w:jc w:val="center"/>
      <w:outlineLvl w:val="5"/>
    </w:pPr>
    <w:rPr>
      <w:rFonts w:ascii="Arial" w:hAnsi="Arial"/>
      <w:b/>
    </w:rPr>
  </w:style>
  <w:style w:type="paragraph" w:styleId="Ttulo7">
    <w:name w:val="heading 7"/>
    <w:basedOn w:val="Normal"/>
    <w:next w:val="Normal"/>
    <w:qFormat/>
    <w:pPr>
      <w:keepNext/>
      <w:tabs>
        <w:tab w:val="left" w:pos="8505"/>
      </w:tabs>
      <w:spacing w:after="240"/>
      <w:jc w:val="both"/>
      <w:outlineLvl w:val="6"/>
    </w:pPr>
    <w:rPr>
      <w:b/>
    </w:rPr>
  </w:style>
  <w:style w:type="paragraph" w:styleId="Ttulo8">
    <w:name w:val="heading 8"/>
    <w:basedOn w:val="Normal"/>
    <w:next w:val="Normal"/>
    <w:qFormat/>
    <w:pPr>
      <w:keepNext/>
      <w:outlineLvl w:val="7"/>
    </w:pPr>
    <w:rPr>
      <w:rFonts w:ascii="Arial" w:hAnsi="Arial"/>
      <w:b/>
      <w:snapToGrid w:val="0"/>
      <w:color w:val="000000"/>
    </w:rPr>
  </w:style>
  <w:style w:type="paragraph" w:styleId="Ttulo9">
    <w:name w:val="heading 9"/>
    <w:basedOn w:val="Normal"/>
    <w:next w:val="Normal"/>
    <w:qFormat/>
    <w:pPr>
      <w:keepNext/>
      <w:ind w:left="567"/>
      <w:jc w:val="both"/>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spacing w:after="600"/>
      <w:jc w:val="both"/>
    </w:pPr>
    <w:rPr>
      <w:rFonts w:ascii="Arial" w:hAnsi="Arial"/>
      <w:sz w:val="22"/>
    </w:rPr>
  </w:style>
  <w:style w:type="paragraph" w:styleId="Encabezado">
    <w:name w:val="header"/>
    <w:basedOn w:val="Normal"/>
    <w:link w:val="EncabezadoCar"/>
    <w:uiPriority w:val="99"/>
    <w:pPr>
      <w:tabs>
        <w:tab w:val="center" w:pos="4252"/>
        <w:tab w:val="right" w:pos="8504"/>
      </w:tabs>
    </w:pPr>
  </w:style>
  <w:style w:type="paragraph" w:styleId="Textoindependiente2">
    <w:name w:val="Body Text 2"/>
    <w:basedOn w:val="Normal"/>
    <w:semiHidden/>
    <w:pPr>
      <w:spacing w:after="600"/>
      <w:jc w:val="both"/>
    </w:pPr>
    <w:rPr>
      <w:rFonts w:ascii="Arial" w:hAnsi="Arial"/>
      <w:b/>
      <w:sz w:val="22"/>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Sangradetextonormal">
    <w:name w:val="Body Text Indent"/>
    <w:basedOn w:val="Normal"/>
    <w:semiHidden/>
    <w:pPr>
      <w:spacing w:after="600"/>
      <w:jc w:val="both"/>
    </w:pPr>
    <w:rPr>
      <w:rFonts w:ascii="Arial" w:hAnsi="Arial"/>
      <w:b/>
      <w:sz w:val="22"/>
    </w:rPr>
  </w:style>
  <w:style w:type="paragraph" w:styleId="Textoindependiente3">
    <w:name w:val="Body Text 3"/>
    <w:basedOn w:val="Normal"/>
    <w:semiHidden/>
    <w:pPr>
      <w:spacing w:before="240"/>
    </w:pPr>
    <w:rPr>
      <w:sz w:val="22"/>
    </w:rPr>
  </w:style>
  <w:style w:type="paragraph" w:styleId="Mapadeldocumento">
    <w:name w:val="Document Map"/>
    <w:basedOn w:val="Normal"/>
    <w:semiHidden/>
    <w:pPr>
      <w:shd w:val="clear" w:color="auto" w:fill="000080"/>
    </w:pPr>
    <w:rPr>
      <w:rFonts w:ascii="Tahoma" w:hAnsi="Tahoma"/>
    </w:rPr>
  </w:style>
  <w:style w:type="paragraph" w:customStyle="1" w:styleId="Predeterminado">
    <w:name w:val="Predetermina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Arial Unicode MS" w:eastAsia="Arial Unicode MS" w:hAnsi="Arial"/>
      <w:color w:val="FFFFFF"/>
      <w:sz w:val="36"/>
    </w:rPr>
  </w:style>
  <w:style w:type="character" w:styleId="Textoennegrita">
    <w:name w:val="Strong"/>
    <w:qFormat/>
    <w:rPr>
      <w:b/>
    </w:rPr>
  </w:style>
  <w:style w:type="character" w:customStyle="1" w:styleId="TextoindependienteCar">
    <w:name w:val="Texto independiente Car"/>
    <w:link w:val="Textoindependiente"/>
    <w:semiHidden/>
    <w:rsid w:val="006C2E8A"/>
    <w:rPr>
      <w:rFonts w:ascii="Arial" w:hAnsi="Arial"/>
      <w:sz w:val="22"/>
    </w:rPr>
  </w:style>
  <w:style w:type="character" w:customStyle="1" w:styleId="PiedepginaCar">
    <w:name w:val="Pie de página Car"/>
    <w:link w:val="Piedepgina"/>
    <w:uiPriority w:val="99"/>
    <w:rsid w:val="00534EE4"/>
  </w:style>
  <w:style w:type="paragraph" w:styleId="Textodeglobo">
    <w:name w:val="Balloon Text"/>
    <w:basedOn w:val="Normal"/>
    <w:link w:val="TextodegloboCar"/>
    <w:uiPriority w:val="99"/>
    <w:semiHidden/>
    <w:unhideWhenUsed/>
    <w:rsid w:val="00DF0FDE"/>
    <w:rPr>
      <w:rFonts w:ascii="Tahoma" w:hAnsi="Tahoma" w:cs="Tahoma"/>
      <w:sz w:val="16"/>
      <w:szCs w:val="16"/>
    </w:rPr>
  </w:style>
  <w:style w:type="character" w:customStyle="1" w:styleId="TextodegloboCar">
    <w:name w:val="Texto de globo Car"/>
    <w:link w:val="Textodeglobo"/>
    <w:uiPriority w:val="99"/>
    <w:semiHidden/>
    <w:rsid w:val="00DF0FDE"/>
    <w:rPr>
      <w:rFonts w:ascii="Tahoma" w:hAnsi="Tahoma" w:cs="Tahoma"/>
      <w:sz w:val="16"/>
      <w:szCs w:val="16"/>
    </w:rPr>
  </w:style>
  <w:style w:type="paragraph" w:styleId="Prrafodelista">
    <w:name w:val="List Paragraph"/>
    <w:basedOn w:val="Normal"/>
    <w:uiPriority w:val="34"/>
    <w:qFormat/>
    <w:rsid w:val="002B5101"/>
    <w:pPr>
      <w:ind w:left="720"/>
      <w:contextualSpacing/>
    </w:pPr>
  </w:style>
  <w:style w:type="paragraph" w:customStyle="1" w:styleId="Default">
    <w:name w:val="Default"/>
    <w:rsid w:val="0065313C"/>
    <w:pPr>
      <w:autoSpaceDE w:val="0"/>
      <w:autoSpaceDN w:val="0"/>
      <w:adjustRightInd w:val="0"/>
    </w:pPr>
    <w:rPr>
      <w:rFonts w:ascii="Calibri" w:hAnsi="Calibri" w:cs="Calibri"/>
      <w:color w:val="000000"/>
      <w:sz w:val="24"/>
      <w:szCs w:val="24"/>
    </w:rPr>
  </w:style>
  <w:style w:type="character" w:customStyle="1" w:styleId="EncabezadoCar">
    <w:name w:val="Encabezado Car"/>
    <w:link w:val="Encabezado"/>
    <w:uiPriority w:val="99"/>
    <w:rsid w:val="00EE0AED"/>
  </w:style>
  <w:style w:type="paragraph" w:styleId="Textonotapie">
    <w:name w:val="footnote text"/>
    <w:basedOn w:val="Normal"/>
    <w:link w:val="TextonotapieCar"/>
    <w:uiPriority w:val="99"/>
    <w:semiHidden/>
    <w:rsid w:val="001F5720"/>
    <w:rPr>
      <w:rFonts w:ascii="Calibri" w:eastAsia="Calibri" w:hAnsi="Calibri" w:cs="Calibri"/>
      <w:lang w:eastAsia="en-US"/>
    </w:rPr>
  </w:style>
  <w:style w:type="character" w:customStyle="1" w:styleId="TextonotapieCar">
    <w:name w:val="Texto nota pie Car"/>
    <w:basedOn w:val="Fuentedeprrafopredeter"/>
    <w:link w:val="Textonotapie"/>
    <w:uiPriority w:val="99"/>
    <w:semiHidden/>
    <w:rsid w:val="001F5720"/>
    <w:rPr>
      <w:rFonts w:ascii="Calibri" w:eastAsia="Calibri" w:hAnsi="Calibri" w:cs="Calibri"/>
      <w:lang w:eastAsia="en-US"/>
    </w:rPr>
  </w:style>
  <w:style w:type="character" w:styleId="Refdenotaalpie">
    <w:name w:val="footnote reference"/>
    <w:basedOn w:val="Fuentedeprrafopredeter"/>
    <w:uiPriority w:val="99"/>
    <w:semiHidden/>
    <w:rsid w:val="001F5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314065">
      <w:bodyDiv w:val="1"/>
      <w:marLeft w:val="0"/>
      <w:marRight w:val="0"/>
      <w:marTop w:val="0"/>
      <w:marBottom w:val="0"/>
      <w:divBdr>
        <w:top w:val="none" w:sz="0" w:space="0" w:color="auto"/>
        <w:left w:val="none" w:sz="0" w:space="0" w:color="auto"/>
        <w:bottom w:val="none" w:sz="0" w:space="0" w:color="auto"/>
        <w:right w:val="none" w:sz="0" w:space="0" w:color="auto"/>
      </w:divBdr>
    </w:div>
    <w:div w:id="16640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952F-0109-41EC-821F-4C72BB19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1976</Words>
  <Characters>10947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DECRETO FORAL</vt:lpstr>
    </vt:vector>
  </TitlesOfParts>
  <Company>DFA_AFA</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dc:title>
  <dc:creator>amgonzalez</dc:creator>
  <cp:lastModifiedBy>Alday Galan, Eduardo</cp:lastModifiedBy>
  <cp:revision>48</cp:revision>
  <cp:lastPrinted>2021-05-24T08:40:00Z</cp:lastPrinted>
  <dcterms:created xsi:type="dcterms:W3CDTF">2021-09-27T09:48:00Z</dcterms:created>
  <dcterms:modified xsi:type="dcterms:W3CDTF">2026-02-20T11:44:00Z</dcterms:modified>
</cp:coreProperties>
</file>