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23F4" w14:textId="01E489B3" w:rsidR="006C0A5E" w:rsidRPr="00104054" w:rsidRDefault="00D21F05" w:rsidP="0032696E">
      <w:pPr>
        <w:tabs>
          <w:tab w:val="right" w:pos="8789"/>
        </w:tabs>
        <w:suppressAutoHyphens w:val="0"/>
        <w:spacing w:after="480"/>
        <w:jc w:val="center"/>
        <w:rPr>
          <w:b/>
          <w:sz w:val="22"/>
          <w:szCs w:val="22"/>
          <w:u w:val="single"/>
          <w:lang w:eastAsia="es-ES"/>
        </w:rPr>
      </w:pPr>
      <w:r>
        <w:rPr>
          <w:b/>
          <w:sz w:val="22"/>
          <w:szCs w:val="22"/>
          <w:u w:val="single"/>
          <w:lang w:eastAsia="es-ES"/>
        </w:rPr>
        <w:t>ERANSKINA</w:t>
      </w:r>
    </w:p>
    <w:p w14:paraId="291423E1" w14:textId="3EEEB05B" w:rsidR="006C0A5E" w:rsidRPr="00104054" w:rsidRDefault="00D21F05" w:rsidP="00D21F05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D21F05">
        <w:rPr>
          <w:rFonts w:cs="Times New Roman"/>
          <w:b/>
          <w:sz w:val="22"/>
          <w:szCs w:val="22"/>
          <w:lang w:eastAsia="es-ES" w:bidi="ar-SA"/>
        </w:rPr>
        <w:t>Toki-</w:t>
      </w:r>
      <w:proofErr w:type="spellStart"/>
      <w:r w:rsidRPr="00D21F05">
        <w:rPr>
          <w:rFonts w:cs="Times New Roman"/>
          <w:b/>
          <w:sz w:val="22"/>
          <w:szCs w:val="22"/>
          <w:lang w:eastAsia="es-ES" w:bidi="ar-SA"/>
        </w:rPr>
        <w:t>erakundeek</w:t>
      </w:r>
      <w:proofErr w:type="spellEnd"/>
      <w:r w:rsidRPr="00D21F05">
        <w:rPr>
          <w:rFonts w:cs="Times New Roman"/>
          <w:b/>
          <w:sz w:val="22"/>
          <w:szCs w:val="22"/>
          <w:lang w:eastAsia="es-ES" w:bidi="ar-SA"/>
        </w:rPr>
        <w:t xml:space="preserve"> eta </w:t>
      </w:r>
      <w:proofErr w:type="spellStart"/>
      <w:r w:rsidRPr="00D21F05">
        <w:rPr>
          <w:rFonts w:cs="Times New Roman"/>
          <w:b/>
          <w:sz w:val="22"/>
          <w:szCs w:val="22"/>
          <w:lang w:eastAsia="es-ES" w:bidi="ar-SA"/>
        </w:rPr>
        <w:t>pertsona</w:t>
      </w:r>
      <w:proofErr w:type="spellEnd"/>
      <w:r w:rsidRPr="00D21F05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b/>
          <w:sz w:val="22"/>
          <w:szCs w:val="22"/>
          <w:lang w:eastAsia="es-ES" w:bidi="ar-SA"/>
        </w:rPr>
        <w:t>fisikoek</w:t>
      </w:r>
      <w:proofErr w:type="spellEnd"/>
      <w:r w:rsidRPr="00D21F05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b/>
          <w:sz w:val="22"/>
          <w:szCs w:val="22"/>
          <w:lang w:eastAsia="es-ES" w:bidi="ar-SA"/>
        </w:rPr>
        <w:t>energia-komunitateei</w:t>
      </w:r>
      <w:proofErr w:type="spellEnd"/>
      <w:r w:rsidRPr="00D21F05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b/>
          <w:sz w:val="22"/>
          <w:szCs w:val="22"/>
          <w:lang w:eastAsia="es-ES" w:bidi="ar-SA"/>
        </w:rPr>
        <w:t>atxikitzeko</w:t>
      </w:r>
      <w:proofErr w:type="spellEnd"/>
      <w:r w:rsidRPr="00D21F05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b/>
          <w:sz w:val="22"/>
          <w:szCs w:val="22"/>
          <w:lang w:eastAsia="es-ES" w:bidi="ar-SA"/>
        </w:rPr>
        <w:t>dirulaguntzen</w:t>
      </w:r>
      <w:proofErr w:type="spellEnd"/>
      <w:r w:rsidRPr="00D21F05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b/>
          <w:sz w:val="22"/>
          <w:szCs w:val="22"/>
          <w:lang w:eastAsia="es-ES" w:bidi="ar-SA"/>
        </w:rPr>
        <w:t>oinarri</w:t>
      </w:r>
      <w:proofErr w:type="spellEnd"/>
      <w:r w:rsidRPr="00D21F05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b/>
          <w:sz w:val="22"/>
          <w:szCs w:val="22"/>
          <w:lang w:eastAsia="es-ES" w:bidi="ar-SA"/>
        </w:rPr>
        <w:t>arautzaile</w:t>
      </w:r>
      <w:proofErr w:type="spellEnd"/>
      <w:r w:rsidRPr="00D21F05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b/>
          <w:sz w:val="22"/>
          <w:szCs w:val="22"/>
          <w:lang w:eastAsia="es-ES" w:bidi="ar-SA"/>
        </w:rPr>
        <w:t>orokorrak</w:t>
      </w:r>
      <w:proofErr w:type="spellEnd"/>
      <w:r w:rsidR="006C0A5E"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04B13939" w14:textId="0D240635" w:rsidR="006C0A5E" w:rsidRPr="00104054" w:rsidRDefault="006C0A5E" w:rsidP="006C0A5E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 xml:space="preserve">1. </w:t>
      </w:r>
      <w:proofErr w:type="spellStart"/>
      <w:r w:rsidR="00D21F05">
        <w:rPr>
          <w:rFonts w:cs="Times New Roman"/>
          <w:b/>
          <w:sz w:val="22"/>
          <w:szCs w:val="22"/>
          <w:lang w:eastAsia="es-ES" w:bidi="ar-SA"/>
        </w:rPr>
        <w:t>Xedea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0E828EFE" w14:textId="77777777" w:rsidR="00D21F05" w:rsidRPr="00D21F05" w:rsidRDefault="00D21F05" w:rsidP="00D21F05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Dirulaguntzaren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xedea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da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toki-erakundeek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pertsona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fisikoek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energia-komunitateei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atxikitzea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finantzatzea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>.</w:t>
      </w:r>
    </w:p>
    <w:p w14:paraId="41B457BA" w14:textId="77777777" w:rsidR="00D21F05" w:rsidRPr="00D21F05" w:rsidRDefault="00D21F05" w:rsidP="00D21F05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Honelako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erakundeak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honela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definitzen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>:</w:t>
      </w:r>
    </w:p>
    <w:p w14:paraId="3E964FEA" w14:textId="77777777" w:rsidR="00D21F05" w:rsidRDefault="00D21F05" w:rsidP="00D21F05">
      <w:pPr>
        <w:pStyle w:val="Prrafodelista"/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D21F05">
        <w:rPr>
          <w:rFonts w:cs="Times New Roman"/>
          <w:sz w:val="22"/>
          <w:szCs w:val="22"/>
          <w:lang w:eastAsia="es-ES" w:bidi="ar-SA"/>
        </w:rPr>
        <w:t xml:space="preserve">a)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Energia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Berriztagarrien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Erkidegoak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: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Sektore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Elektrikoari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buruzko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abenduaren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26ko 24/2013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Legearen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6.1 j)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artikuluaren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arabera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juridiko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horiek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partaidetza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irekian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borondatezkoan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oinarritzen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autonomoak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eta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juridiko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horien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jabetzakoak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horiek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garatu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dituzten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energia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berriztagarrien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proiektuen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inguruan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dauden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bazkideek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kideek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kontrolatzen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dituzte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.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Gainera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juridiko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horietako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bazkideek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kideek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pertsona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fisikoak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ETEak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toki-erakundeak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izan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behar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dute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eta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haien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helburu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nagusia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izan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behar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da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bazkideei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kideei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jarduten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duten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tokiko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eremuei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ingurumen-onurak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onura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ekonomikoak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sozialak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ematea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finantza-irabaziak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eman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beharrean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>.</w:t>
      </w:r>
    </w:p>
    <w:p w14:paraId="2505153F" w14:textId="77777777" w:rsidR="00D21F05" w:rsidRPr="00D21F05" w:rsidRDefault="00D21F05" w:rsidP="00D21F05">
      <w:pPr>
        <w:pStyle w:val="Prrafodelista"/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</w:p>
    <w:p w14:paraId="27849994" w14:textId="77777777" w:rsidR="00D21F05" w:rsidRDefault="00D21F05" w:rsidP="00D21F05">
      <w:pPr>
        <w:pStyle w:val="Prrafodelista"/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D21F05">
        <w:rPr>
          <w:rFonts w:cs="Times New Roman"/>
          <w:sz w:val="22"/>
          <w:szCs w:val="22"/>
          <w:lang w:eastAsia="es-ES" w:bidi="ar-SA"/>
        </w:rPr>
        <w:t xml:space="preserve">b)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Energiaren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herritar-erkidegoak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: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abenduaren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26ko 24/2013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Legearen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6.1 k)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artikuluaren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arabera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borondatezko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partaidetza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irekian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oinarritutako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juridikoak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eta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pertsona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fisikoak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tokiko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agintariak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–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udalerriak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barne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–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enpresa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txikiak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bazkideek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kideek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kontrolatzen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dituzte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benetan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.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Haien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helburu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nagusia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da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kideei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bazkideei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jarduera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garatzen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duten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herriari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ingurumen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-,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ekonomia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-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gizarte-onurak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eskaintzea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finantza-errentagarritasuna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sortu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baino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gehiago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>.</w:t>
      </w:r>
    </w:p>
    <w:p w14:paraId="250486E1" w14:textId="77777777" w:rsidR="00D21F05" w:rsidRPr="00D21F05" w:rsidRDefault="00D21F05" w:rsidP="00D21F05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horiek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honako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jarduera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hauek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egin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ahal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izango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dituzte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>:</w:t>
      </w:r>
    </w:p>
    <w:p w14:paraId="39B71D7C" w14:textId="5660E73D" w:rsidR="00D21F05" w:rsidRPr="00D21F05" w:rsidRDefault="00D21F05" w:rsidP="00D21F05">
      <w:pPr>
        <w:pStyle w:val="Prrafodelista"/>
        <w:numPr>
          <w:ilvl w:val="0"/>
          <w:numId w:val="12"/>
        </w:num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D21F05">
        <w:rPr>
          <w:rFonts w:cs="Times New Roman"/>
          <w:sz w:val="22"/>
          <w:szCs w:val="22"/>
          <w:lang w:eastAsia="es-ES" w:bidi="ar-SA"/>
        </w:rPr>
        <w:t xml:space="preserve">Iturri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berriztagarrietatik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datorren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energia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sortzea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>.</w:t>
      </w:r>
    </w:p>
    <w:p w14:paraId="40F2FD48" w14:textId="0513744A" w:rsidR="00D21F05" w:rsidRPr="00D21F05" w:rsidRDefault="00D21F05" w:rsidP="00D21F05">
      <w:pPr>
        <w:pStyle w:val="Prrafodelista"/>
        <w:numPr>
          <w:ilvl w:val="0"/>
          <w:numId w:val="12"/>
        </w:num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Energia-efizientziako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zerbitzuak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ematea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(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adibidez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eraikinak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berritzea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>).</w:t>
      </w:r>
    </w:p>
    <w:p w14:paraId="44EB87D3" w14:textId="6E6C537E" w:rsidR="00D21F05" w:rsidRPr="00D21F05" w:rsidRDefault="00D21F05" w:rsidP="00D21F05">
      <w:pPr>
        <w:pStyle w:val="Prrafodelista"/>
        <w:numPr>
          <w:ilvl w:val="0"/>
          <w:numId w:val="12"/>
        </w:num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Energiaren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hornidura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kontsumoa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agregazioa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biltegiratzea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, eta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banaketa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potentziala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>.</w:t>
      </w:r>
    </w:p>
    <w:p w14:paraId="3294603A" w14:textId="492DFFD4" w:rsidR="00C22393" w:rsidRPr="00C22393" w:rsidRDefault="00D21F05" w:rsidP="00D21F05">
      <w:pPr>
        <w:pStyle w:val="Prrafodelista"/>
        <w:numPr>
          <w:ilvl w:val="0"/>
          <w:numId w:val="12"/>
        </w:num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Ibilgailu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elektrikoak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kargatzeko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zerbitzuak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beste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energia-zerbitzu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batzuk</w:t>
      </w:r>
      <w:proofErr w:type="spellEnd"/>
      <w:r w:rsidRPr="00D21F05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D21F05">
        <w:rPr>
          <w:rFonts w:cs="Times New Roman"/>
          <w:sz w:val="22"/>
          <w:szCs w:val="22"/>
          <w:lang w:eastAsia="es-ES" w:bidi="ar-SA"/>
        </w:rPr>
        <w:t>ematea</w:t>
      </w:r>
      <w:proofErr w:type="spellEnd"/>
      <w:r w:rsidR="00C22393" w:rsidRPr="00C22393">
        <w:rPr>
          <w:rFonts w:cs="Times New Roman"/>
          <w:sz w:val="22"/>
          <w:szCs w:val="22"/>
          <w:lang w:eastAsia="es-ES" w:bidi="ar-SA"/>
        </w:rPr>
        <w:t>.</w:t>
      </w:r>
    </w:p>
    <w:p w14:paraId="23A5017E" w14:textId="291F9DC8" w:rsidR="006C0A5E" w:rsidRPr="00104054" w:rsidRDefault="006C0A5E" w:rsidP="004F455C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 xml:space="preserve">2. </w:t>
      </w:r>
      <w:proofErr w:type="spellStart"/>
      <w:r w:rsidR="004F455C" w:rsidRPr="004F455C">
        <w:rPr>
          <w:rFonts w:cs="Times New Roman"/>
          <w:b/>
          <w:sz w:val="22"/>
          <w:szCs w:val="22"/>
          <w:lang w:eastAsia="es-ES" w:bidi="ar-SA"/>
        </w:rPr>
        <w:t>Dirulaguntzen</w:t>
      </w:r>
      <w:proofErr w:type="spellEnd"/>
      <w:r w:rsidR="004F455C" w:rsidRPr="004F455C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4F455C" w:rsidRPr="004F455C">
        <w:rPr>
          <w:rFonts w:cs="Times New Roman"/>
          <w:b/>
          <w:sz w:val="22"/>
          <w:szCs w:val="22"/>
          <w:lang w:eastAsia="es-ES" w:bidi="ar-SA"/>
        </w:rPr>
        <w:t>lerroak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0C370CED" w14:textId="27079DAF" w:rsidR="006C0A5E" w:rsidRDefault="004F455C" w:rsidP="004F455C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Urteko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deialdiak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dirulaguntza-lerroak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zehaztuko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ditu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, eta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horien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helburua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izango da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energia-komunitateei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atxikitzea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Arabako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kontzejuak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pertsona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F455C">
        <w:rPr>
          <w:rFonts w:cs="Times New Roman"/>
          <w:sz w:val="22"/>
          <w:szCs w:val="22"/>
          <w:lang w:eastAsia="es-ES" w:bidi="ar-SA"/>
        </w:rPr>
        <w:t>fisikoak</w:t>
      </w:r>
      <w:proofErr w:type="spellEnd"/>
      <w:r w:rsidRPr="004F455C">
        <w:rPr>
          <w:rFonts w:cs="Times New Roman"/>
          <w:sz w:val="22"/>
          <w:szCs w:val="22"/>
          <w:lang w:eastAsia="es-ES" w:bidi="ar-SA"/>
        </w:rPr>
        <w:t>.</w:t>
      </w:r>
    </w:p>
    <w:p w14:paraId="41617F09" w14:textId="7946589E" w:rsidR="006C0A5E" w:rsidRPr="00104054" w:rsidRDefault="006C0A5E" w:rsidP="003C0A5F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 xml:space="preserve">3. </w:t>
      </w:r>
      <w:proofErr w:type="spellStart"/>
      <w:r w:rsidR="003C0A5F" w:rsidRPr="003C0A5F">
        <w:rPr>
          <w:rFonts w:cs="Times New Roman"/>
          <w:b/>
          <w:sz w:val="22"/>
          <w:szCs w:val="22"/>
          <w:lang w:eastAsia="es-ES" w:bidi="ar-SA"/>
        </w:rPr>
        <w:t>Diruz</w:t>
      </w:r>
      <w:proofErr w:type="spellEnd"/>
      <w:r w:rsidR="003C0A5F" w:rsidRPr="003C0A5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3C0A5F" w:rsidRPr="003C0A5F">
        <w:rPr>
          <w:rFonts w:cs="Times New Roman"/>
          <w:b/>
          <w:sz w:val="22"/>
          <w:szCs w:val="22"/>
          <w:lang w:eastAsia="es-ES" w:bidi="ar-SA"/>
        </w:rPr>
        <w:t>lagundu</w:t>
      </w:r>
      <w:proofErr w:type="spellEnd"/>
      <w:r w:rsidR="003C0A5F" w:rsidRPr="003C0A5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3C0A5F" w:rsidRPr="003C0A5F">
        <w:rPr>
          <w:rFonts w:cs="Times New Roman"/>
          <w:b/>
          <w:sz w:val="22"/>
          <w:szCs w:val="22"/>
          <w:lang w:eastAsia="es-ES" w:bidi="ar-SA"/>
        </w:rPr>
        <w:t>daitezkeen</w:t>
      </w:r>
      <w:proofErr w:type="spellEnd"/>
      <w:r w:rsidR="003C0A5F" w:rsidRPr="003C0A5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3C0A5F" w:rsidRPr="003C0A5F">
        <w:rPr>
          <w:rFonts w:cs="Times New Roman"/>
          <w:b/>
          <w:sz w:val="22"/>
          <w:szCs w:val="22"/>
          <w:lang w:eastAsia="es-ES" w:bidi="ar-SA"/>
        </w:rPr>
        <w:t>jarduketak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59DB18AF" w14:textId="77777777" w:rsidR="003C0A5F" w:rsidRPr="003C0A5F" w:rsidRDefault="003C0A5F" w:rsidP="003C0A5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Diruz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laguntzeko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modukotzat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hartuko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, eta,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beraz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hurrengo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deialdien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kargura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finantzatu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ahal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izango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deialdi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bakoitzean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zehazten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koefizienteekin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energia-komunitate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batean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sartzearen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ondorioz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onuradunek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ordaintzen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dituzten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gastuak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azken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horren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inbertsioaren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eraginaren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ondorioz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>.</w:t>
      </w:r>
    </w:p>
    <w:p w14:paraId="454EE26B" w14:textId="77777777" w:rsidR="003C0A5F" w:rsidRPr="003C0A5F" w:rsidRDefault="003C0A5F" w:rsidP="003C0A5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Sarrera-gastuak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, eta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onuradunaren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autokontsumoarekiko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proportzioa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gorde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dute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.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Pertsona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fisikoen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kasuan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>, 5,4 kW/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ordu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baino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gutxiago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izan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.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Kontzejuen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kasuan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herriko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gunean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herriko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argiteria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tokiko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erakundearen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jabetzako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eraikinak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kontsumitzeko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behar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den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potentzia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instalatua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hartuko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da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kontuan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>.</w:t>
      </w:r>
    </w:p>
    <w:p w14:paraId="23E45E90" w14:textId="0166818A" w:rsidR="006C0A5E" w:rsidRPr="00104054" w:rsidRDefault="003C0A5F" w:rsidP="003C0A5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Urteko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deialdian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zehaztuko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babestu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beharreko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jarduketek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bete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behar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dituzten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0A5F">
        <w:rPr>
          <w:rFonts w:cs="Times New Roman"/>
          <w:sz w:val="22"/>
          <w:szCs w:val="22"/>
          <w:lang w:eastAsia="es-ES" w:bidi="ar-SA"/>
        </w:rPr>
        <w:t>baldintzak</w:t>
      </w:r>
      <w:proofErr w:type="spellEnd"/>
      <w:r w:rsidRPr="003C0A5F">
        <w:rPr>
          <w:rFonts w:cs="Times New Roman"/>
          <w:sz w:val="22"/>
          <w:szCs w:val="22"/>
          <w:lang w:eastAsia="es-ES" w:bidi="ar-SA"/>
        </w:rPr>
        <w:t>.</w:t>
      </w:r>
    </w:p>
    <w:p w14:paraId="0B0C8E3C" w14:textId="2C8C2CFA" w:rsidR="006C0A5E" w:rsidRPr="00104054" w:rsidRDefault="006C0A5E" w:rsidP="00A432BB">
      <w:pPr>
        <w:suppressAutoHyphens w:val="0"/>
        <w:spacing w:after="240"/>
        <w:jc w:val="both"/>
        <w:rPr>
          <w:rFonts w:cs="Times New Roman"/>
          <w:b/>
          <w:sz w:val="22"/>
          <w:szCs w:val="22"/>
          <w:u w:val="single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 xml:space="preserve">4. </w:t>
      </w:r>
      <w:proofErr w:type="spellStart"/>
      <w:r w:rsidR="00A432BB" w:rsidRPr="00A432BB">
        <w:rPr>
          <w:rFonts w:cs="Times New Roman"/>
          <w:b/>
          <w:sz w:val="22"/>
          <w:szCs w:val="22"/>
          <w:lang w:eastAsia="es-ES" w:bidi="ar-SA"/>
        </w:rPr>
        <w:t>Diruz</w:t>
      </w:r>
      <w:proofErr w:type="spellEnd"/>
      <w:r w:rsidR="00A432BB" w:rsidRPr="00A432BB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A432BB" w:rsidRPr="00A432BB">
        <w:rPr>
          <w:rFonts w:cs="Times New Roman"/>
          <w:b/>
          <w:sz w:val="22"/>
          <w:szCs w:val="22"/>
          <w:lang w:eastAsia="es-ES" w:bidi="ar-SA"/>
        </w:rPr>
        <w:t>lagun</w:t>
      </w:r>
      <w:proofErr w:type="spellEnd"/>
      <w:r w:rsidR="00A432BB" w:rsidRPr="00A432BB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A432BB" w:rsidRPr="00A432BB">
        <w:rPr>
          <w:rFonts w:cs="Times New Roman"/>
          <w:b/>
          <w:sz w:val="22"/>
          <w:szCs w:val="22"/>
          <w:lang w:eastAsia="es-ES" w:bidi="ar-SA"/>
        </w:rPr>
        <w:t>daitezkeen</w:t>
      </w:r>
      <w:proofErr w:type="spellEnd"/>
      <w:r w:rsidR="00A432BB" w:rsidRPr="00A432BB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A432BB" w:rsidRPr="00A432BB">
        <w:rPr>
          <w:rFonts w:cs="Times New Roman"/>
          <w:b/>
          <w:sz w:val="22"/>
          <w:szCs w:val="22"/>
          <w:lang w:eastAsia="es-ES" w:bidi="ar-SA"/>
        </w:rPr>
        <w:t>inbertsioak</w:t>
      </w:r>
      <w:proofErr w:type="spellEnd"/>
      <w:r w:rsidR="00A432BB" w:rsidRPr="00A432BB">
        <w:rPr>
          <w:rFonts w:cs="Times New Roman"/>
          <w:b/>
          <w:sz w:val="22"/>
          <w:szCs w:val="22"/>
          <w:lang w:eastAsia="es-ES" w:bidi="ar-SA"/>
        </w:rPr>
        <w:t xml:space="preserve"> eta </w:t>
      </w:r>
      <w:proofErr w:type="spellStart"/>
      <w:r w:rsidR="00A432BB" w:rsidRPr="00A432BB">
        <w:rPr>
          <w:rFonts w:cs="Times New Roman"/>
          <w:b/>
          <w:sz w:val="22"/>
          <w:szCs w:val="22"/>
          <w:lang w:eastAsia="es-ES" w:bidi="ar-SA"/>
        </w:rPr>
        <w:t>gastuak</w:t>
      </w:r>
      <w:proofErr w:type="spellEnd"/>
      <w:r w:rsidR="00A432BB" w:rsidRPr="00A432BB">
        <w:rPr>
          <w:rFonts w:cs="Times New Roman"/>
          <w:b/>
          <w:sz w:val="22"/>
          <w:szCs w:val="22"/>
          <w:lang w:eastAsia="es-ES" w:bidi="ar-SA"/>
        </w:rPr>
        <w:t xml:space="preserve"> eta </w:t>
      </w:r>
      <w:proofErr w:type="spellStart"/>
      <w:r w:rsidR="00A432BB" w:rsidRPr="00A432BB">
        <w:rPr>
          <w:rFonts w:cs="Times New Roman"/>
          <w:b/>
          <w:sz w:val="22"/>
          <w:szCs w:val="22"/>
          <w:lang w:eastAsia="es-ES" w:bidi="ar-SA"/>
        </w:rPr>
        <w:t>baldintza</w:t>
      </w:r>
      <w:proofErr w:type="spellEnd"/>
      <w:r w:rsidR="00A432BB" w:rsidRPr="00A432BB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A432BB" w:rsidRPr="00A432BB">
        <w:rPr>
          <w:rFonts w:cs="Times New Roman"/>
          <w:b/>
          <w:sz w:val="22"/>
          <w:szCs w:val="22"/>
          <w:lang w:eastAsia="es-ES" w:bidi="ar-SA"/>
        </w:rPr>
        <w:t>gehigarriak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13CAA4F5" w14:textId="3E86123A" w:rsidR="00184AA2" w:rsidRPr="00184AA2" w:rsidRDefault="00184AA2" w:rsidP="00184AA2">
      <w:pPr>
        <w:numPr>
          <w:ilvl w:val="0"/>
          <w:numId w:val="1"/>
        </w:num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Diruz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lagundu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daitezkeen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gastutzat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hartuko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soilik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diruz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lagundutako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jardueraren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izaerari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zalantzarik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gabe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erantzuten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diotenak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behar-beharrezkoak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direnak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, bai eta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BEZa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ere,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onuradunek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berreskuratu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ezin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badute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>.</w:t>
      </w:r>
    </w:p>
    <w:p w14:paraId="60270166" w14:textId="613299E5" w:rsidR="00184AA2" w:rsidRPr="00184AA2" w:rsidRDefault="00184AA2" w:rsidP="00184AA2">
      <w:pPr>
        <w:numPr>
          <w:ilvl w:val="0"/>
          <w:numId w:val="1"/>
        </w:num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Oinarri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hauen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xede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dirulaguntzak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bateragarriak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izango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edozein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administraziok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publiko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zein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pribatuk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Estatuak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Europar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Batasunak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nazioarteko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erakundek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helburu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bererako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emandako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beste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laguntza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diru-sarrera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baliabide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batzuekin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>.</w:t>
      </w:r>
    </w:p>
    <w:p w14:paraId="536DA150" w14:textId="73602F80" w:rsidR="00184AA2" w:rsidRPr="00184AA2" w:rsidRDefault="00184AA2" w:rsidP="00184AA2">
      <w:pPr>
        <w:numPr>
          <w:ilvl w:val="0"/>
          <w:numId w:val="1"/>
        </w:num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Dirulaguntzaren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zenbatekoa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bera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bakarrik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beste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diru-sarrera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batzuekin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batera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hartuta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ez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da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inola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ere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jardueraren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kostua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baino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handiagoa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izango.</w:t>
      </w:r>
    </w:p>
    <w:p w14:paraId="69F83D20" w14:textId="7C23A79E" w:rsidR="006C0A5E" w:rsidRPr="00104054" w:rsidRDefault="00184AA2" w:rsidP="00184AA2">
      <w:pPr>
        <w:numPr>
          <w:ilvl w:val="0"/>
          <w:numId w:val="1"/>
        </w:num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Onuradunek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behar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izapideak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egin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baimenak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lortu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dituzte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diruz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lagundutako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jarduketak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zuzen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osorik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gauzatzeko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, bai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lanak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hasten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direnetik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bai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behin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betiko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jasotzen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184AA2">
        <w:rPr>
          <w:rFonts w:cs="Times New Roman"/>
          <w:sz w:val="22"/>
          <w:szCs w:val="22"/>
          <w:lang w:eastAsia="es-ES" w:bidi="ar-SA"/>
        </w:rPr>
        <w:t>direnetik</w:t>
      </w:r>
      <w:proofErr w:type="spellEnd"/>
      <w:r w:rsidRPr="00184AA2">
        <w:rPr>
          <w:rFonts w:cs="Times New Roman"/>
          <w:sz w:val="22"/>
          <w:szCs w:val="22"/>
          <w:lang w:eastAsia="es-ES" w:bidi="ar-SA"/>
        </w:rPr>
        <w:t>.</w:t>
      </w:r>
    </w:p>
    <w:p w14:paraId="734DEF48" w14:textId="77ED4C4D" w:rsidR="006C0A5E" w:rsidRPr="00104054" w:rsidRDefault="006C0A5E" w:rsidP="003A0BCF">
      <w:pPr>
        <w:suppressAutoHyphens w:val="0"/>
        <w:spacing w:after="240"/>
        <w:jc w:val="both"/>
        <w:rPr>
          <w:rFonts w:cs="Times New Roman"/>
          <w:lang w:eastAsia="es-ES" w:bidi="ar-SA"/>
        </w:rPr>
      </w:pPr>
      <w:r w:rsidRPr="00104054">
        <w:rPr>
          <w:rFonts w:cs="Times New Roman"/>
          <w:sz w:val="22"/>
          <w:szCs w:val="22"/>
          <w:lang w:eastAsia="es-ES" w:bidi="ar-SA"/>
        </w:rPr>
        <w:t xml:space="preserve"> </w:t>
      </w:r>
      <w:r w:rsidRPr="00104054">
        <w:rPr>
          <w:rFonts w:cs="Times New Roman"/>
          <w:b/>
          <w:bCs/>
          <w:sz w:val="22"/>
          <w:szCs w:val="22"/>
          <w:lang w:eastAsia="es-ES" w:bidi="ar-SA"/>
        </w:rPr>
        <w:t xml:space="preserve">5. </w:t>
      </w:r>
      <w:proofErr w:type="spellStart"/>
      <w:r w:rsidR="003A0BCF" w:rsidRPr="003A0BCF">
        <w:rPr>
          <w:rFonts w:cs="Times New Roman"/>
          <w:b/>
          <w:bCs/>
          <w:sz w:val="22"/>
          <w:szCs w:val="22"/>
          <w:lang w:eastAsia="es-ES" w:bidi="ar-SA"/>
        </w:rPr>
        <w:t>Berdintasunaren</w:t>
      </w:r>
      <w:proofErr w:type="spellEnd"/>
      <w:r w:rsidR="003A0BCF" w:rsidRPr="003A0BCF">
        <w:rPr>
          <w:rFonts w:cs="Times New Roman"/>
          <w:b/>
          <w:bCs/>
          <w:sz w:val="22"/>
          <w:szCs w:val="22"/>
          <w:lang w:eastAsia="es-ES" w:bidi="ar-SA"/>
        </w:rPr>
        <w:t xml:space="preserve"> </w:t>
      </w:r>
      <w:proofErr w:type="spellStart"/>
      <w:r w:rsidR="003A0BCF" w:rsidRPr="003A0BCF">
        <w:rPr>
          <w:rFonts w:cs="Times New Roman"/>
          <w:b/>
          <w:bCs/>
          <w:sz w:val="22"/>
          <w:szCs w:val="22"/>
          <w:lang w:eastAsia="es-ES" w:bidi="ar-SA"/>
        </w:rPr>
        <w:t>arloko</w:t>
      </w:r>
      <w:proofErr w:type="spellEnd"/>
      <w:r w:rsidR="003A0BCF" w:rsidRPr="003A0BCF">
        <w:rPr>
          <w:rFonts w:cs="Times New Roman"/>
          <w:b/>
          <w:bCs/>
          <w:sz w:val="22"/>
          <w:szCs w:val="22"/>
          <w:lang w:eastAsia="es-ES" w:bidi="ar-SA"/>
        </w:rPr>
        <w:t xml:space="preserve"> </w:t>
      </w:r>
      <w:proofErr w:type="spellStart"/>
      <w:r w:rsidR="003A0BCF" w:rsidRPr="003A0BCF">
        <w:rPr>
          <w:rFonts w:cs="Times New Roman"/>
          <w:b/>
          <w:bCs/>
          <w:sz w:val="22"/>
          <w:szCs w:val="22"/>
          <w:lang w:eastAsia="es-ES" w:bidi="ar-SA"/>
        </w:rPr>
        <w:t>araudia</w:t>
      </w:r>
      <w:proofErr w:type="spellEnd"/>
      <w:r w:rsidR="003A0BCF" w:rsidRPr="003A0BCF">
        <w:rPr>
          <w:rFonts w:cs="Times New Roman"/>
          <w:b/>
          <w:bCs/>
          <w:sz w:val="22"/>
          <w:szCs w:val="22"/>
          <w:lang w:eastAsia="es-ES" w:bidi="ar-SA"/>
        </w:rPr>
        <w:t xml:space="preserve"> </w:t>
      </w:r>
      <w:proofErr w:type="spellStart"/>
      <w:r w:rsidR="003A0BCF" w:rsidRPr="003A0BCF">
        <w:rPr>
          <w:rFonts w:cs="Times New Roman"/>
          <w:b/>
          <w:bCs/>
          <w:sz w:val="22"/>
          <w:szCs w:val="22"/>
          <w:lang w:eastAsia="es-ES" w:bidi="ar-SA"/>
        </w:rPr>
        <w:t>betetzea</w:t>
      </w:r>
      <w:proofErr w:type="spellEnd"/>
      <w:r w:rsidR="003A0BCF">
        <w:rPr>
          <w:rFonts w:cs="Times New Roman"/>
          <w:b/>
          <w:bCs/>
          <w:sz w:val="22"/>
          <w:szCs w:val="22"/>
          <w:lang w:eastAsia="es-ES" w:bidi="ar-SA"/>
        </w:rPr>
        <w:t>.</w:t>
      </w:r>
    </w:p>
    <w:p w14:paraId="347C54C1" w14:textId="77777777" w:rsidR="00C01A5A" w:rsidRPr="00C01A5A" w:rsidRDefault="00C01A5A" w:rsidP="00C01A5A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Emakumeen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gizonen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berdintasunerako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emakumeen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aurkako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indarkeria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matxistarik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gabe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bizitzeko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Legearen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testu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bategina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onartzen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duen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martxoaren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16ko 1/2023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Legegintzako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Dekretuaren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3.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artikuluaren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arabera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hauek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emakumeen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gizonen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berdintasunaren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arloan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euskal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botere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publikoen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jarduketa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gidatu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bideratuko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duten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printzipio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orokorrak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: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tratu-berdintasuna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aukera-berdintasuna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aniztasunarekiko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desberdintasunarekiko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errespetua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>; genero-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ikuspegiaren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integrazioa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ekintza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positiboa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sexuaren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araberako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rolak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estereotipoak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desagerraraztea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ordezkaritza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orekatua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koordinazioa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lankidetza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>.</w:t>
      </w:r>
    </w:p>
    <w:p w14:paraId="20CC47DB" w14:textId="77777777" w:rsidR="00C01A5A" w:rsidRPr="00C01A5A" w:rsidRDefault="00C01A5A" w:rsidP="00C01A5A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C01A5A">
        <w:rPr>
          <w:rFonts w:cs="Times New Roman"/>
          <w:sz w:val="22"/>
          <w:szCs w:val="22"/>
          <w:lang w:eastAsia="es-ES" w:bidi="ar-SA"/>
        </w:rPr>
        <w:t xml:space="preserve">Lege horren 50.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artikuluan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jasotzen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denez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halaber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behar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neurriak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hartu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behar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ingurumenaren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lurralde-antolamenduaren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hirigintzaren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etxebizitzaren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garraioaren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landa-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ingurunearen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arloko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politikek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programek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genero-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ikuspegia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txertatzen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dutela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bermatzeko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eta,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besteak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beste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honako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gai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hauek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hartu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behar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kontuan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: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pertsonen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segurtasuna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etxeko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lanak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egitea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pertsonak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zaintzea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erraztea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bizitza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pertsonala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familia eta lana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uztartzea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erraztea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;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politika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programa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horiek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diseinatu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gauzatzean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emakumeen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parte-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hartze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handiagoa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sustatzea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>.</w:t>
      </w:r>
    </w:p>
    <w:p w14:paraId="57ED6AEF" w14:textId="77777777" w:rsidR="00C01A5A" w:rsidRPr="00C01A5A" w:rsidRDefault="00C01A5A" w:rsidP="00C01A5A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Gainera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Emakumeen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Gizonen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Berdintasun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Eragingarrirako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3/2007 Lege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Organikoaren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31.1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artikuluaren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arabera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(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hiri-politikak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lurralde-antolamendua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etxebizitza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),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administrazio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publikoek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etxebizitza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eskuratzearen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arloan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dituzten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politikek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planek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emakumeen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gizonen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arteko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berdintasun-printzipioa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gauzatzeko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neurriak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jasoko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dituzte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>.</w:t>
      </w:r>
    </w:p>
    <w:p w14:paraId="1A7C3A79" w14:textId="1BB487B1" w:rsidR="006C0A5E" w:rsidRDefault="00C01A5A" w:rsidP="00C01A5A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Diruz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lagundutako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jarduera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gauzatzeko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administrazio-kontratuak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egiten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direnean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Emakumeen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gizonen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berdintasunerako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emakumeen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aurkako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indarkeria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matxistarik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gabe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bizitzeko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Legearen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testu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bategina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onartzen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duen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martxoaren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16ko 1/2023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Legegintzako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Dekretuaren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22.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artikulua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aplikatuko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da.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Ondorioz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kontratua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gauzatzeko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baldintza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gisa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enpresa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esleipendunak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prestazioa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egitean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gizonen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emakumeen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berdintasuna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sustatzeko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neurriak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aplikatzeko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duen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betebeharra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jasoko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da;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hori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guztia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kontratuen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legeriari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lotuta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organo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eskudunak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neurri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hori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aplikatzea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dagokion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kontratazio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-mota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-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ezaugarria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dela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ezarri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C01A5A">
        <w:rPr>
          <w:rFonts w:cs="Times New Roman"/>
          <w:sz w:val="22"/>
          <w:szCs w:val="22"/>
          <w:lang w:eastAsia="es-ES" w:bidi="ar-SA"/>
        </w:rPr>
        <w:t>badu</w:t>
      </w:r>
      <w:proofErr w:type="spellEnd"/>
      <w:r w:rsidRPr="00C01A5A">
        <w:rPr>
          <w:rFonts w:cs="Times New Roman"/>
          <w:sz w:val="22"/>
          <w:szCs w:val="22"/>
          <w:lang w:eastAsia="es-ES" w:bidi="ar-SA"/>
        </w:rPr>
        <w:t>.</w:t>
      </w:r>
      <w:r w:rsidR="006C0A5E" w:rsidRPr="00104054">
        <w:rPr>
          <w:rFonts w:cs="Times New Roman"/>
          <w:sz w:val="22"/>
          <w:szCs w:val="22"/>
          <w:lang w:eastAsia="es-ES" w:bidi="ar-SA"/>
        </w:rPr>
        <w:t xml:space="preserve"> </w:t>
      </w:r>
    </w:p>
    <w:p w14:paraId="339870D8" w14:textId="77777777" w:rsidR="00D15326" w:rsidRDefault="00D15326" w:rsidP="00C01A5A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</w:p>
    <w:p w14:paraId="4AE8D664" w14:textId="77777777" w:rsidR="00D15326" w:rsidRPr="00104054" w:rsidRDefault="00D15326" w:rsidP="00C01A5A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</w:p>
    <w:p w14:paraId="2ADBF632" w14:textId="18E19106" w:rsidR="006C0A5E" w:rsidRPr="00104054" w:rsidRDefault="006C0A5E" w:rsidP="00D15326">
      <w:pPr>
        <w:suppressAutoHyphens w:val="0"/>
        <w:spacing w:after="240"/>
        <w:jc w:val="both"/>
        <w:rPr>
          <w:rFonts w:cs="Times New Roman"/>
          <w:lang w:eastAsia="es-ES" w:bidi="ar-SA"/>
        </w:rPr>
      </w:pPr>
      <w:r w:rsidRPr="00104054">
        <w:rPr>
          <w:rFonts w:cs="Times New Roman"/>
          <w:b/>
          <w:bCs/>
          <w:sz w:val="22"/>
          <w:szCs w:val="22"/>
          <w:lang w:eastAsia="es-ES" w:bidi="ar-SA"/>
        </w:rPr>
        <w:lastRenderedPageBreak/>
        <w:t xml:space="preserve">6. </w:t>
      </w:r>
      <w:proofErr w:type="spellStart"/>
      <w:r w:rsidR="00D15326" w:rsidRPr="00D15326">
        <w:rPr>
          <w:rFonts w:cs="Times New Roman"/>
          <w:b/>
          <w:bCs/>
          <w:sz w:val="22"/>
          <w:szCs w:val="22"/>
          <w:lang w:eastAsia="es-ES" w:bidi="ar-SA"/>
        </w:rPr>
        <w:t>Euskararen</w:t>
      </w:r>
      <w:proofErr w:type="spellEnd"/>
      <w:r w:rsidR="00D15326" w:rsidRPr="00D15326">
        <w:rPr>
          <w:rFonts w:cs="Times New Roman"/>
          <w:b/>
          <w:bCs/>
          <w:sz w:val="22"/>
          <w:szCs w:val="22"/>
          <w:lang w:eastAsia="es-ES" w:bidi="ar-SA"/>
        </w:rPr>
        <w:t xml:space="preserve"> </w:t>
      </w:r>
      <w:proofErr w:type="spellStart"/>
      <w:r w:rsidR="00D15326" w:rsidRPr="00D15326">
        <w:rPr>
          <w:rFonts w:cs="Times New Roman"/>
          <w:b/>
          <w:bCs/>
          <w:sz w:val="22"/>
          <w:szCs w:val="22"/>
          <w:lang w:eastAsia="es-ES" w:bidi="ar-SA"/>
        </w:rPr>
        <w:t>erabilerari</w:t>
      </w:r>
      <w:proofErr w:type="spellEnd"/>
      <w:r w:rsidR="00D15326" w:rsidRPr="00D15326">
        <w:rPr>
          <w:rFonts w:cs="Times New Roman"/>
          <w:b/>
          <w:bCs/>
          <w:sz w:val="22"/>
          <w:szCs w:val="22"/>
          <w:lang w:eastAsia="es-ES" w:bidi="ar-SA"/>
        </w:rPr>
        <w:t xml:space="preserve"> </w:t>
      </w:r>
      <w:proofErr w:type="spellStart"/>
      <w:r w:rsidR="00D15326" w:rsidRPr="00D15326">
        <w:rPr>
          <w:rFonts w:cs="Times New Roman"/>
          <w:b/>
          <w:bCs/>
          <w:sz w:val="22"/>
          <w:szCs w:val="22"/>
          <w:lang w:eastAsia="es-ES" w:bidi="ar-SA"/>
        </w:rPr>
        <w:t>buruzko</w:t>
      </w:r>
      <w:proofErr w:type="spellEnd"/>
      <w:r w:rsidR="00D15326" w:rsidRPr="00D15326">
        <w:rPr>
          <w:rFonts w:cs="Times New Roman"/>
          <w:b/>
          <w:bCs/>
          <w:sz w:val="22"/>
          <w:szCs w:val="22"/>
          <w:lang w:eastAsia="es-ES" w:bidi="ar-SA"/>
        </w:rPr>
        <w:t xml:space="preserve"> </w:t>
      </w:r>
      <w:proofErr w:type="spellStart"/>
      <w:r w:rsidR="00D15326" w:rsidRPr="00D15326">
        <w:rPr>
          <w:rFonts w:cs="Times New Roman"/>
          <w:b/>
          <w:bCs/>
          <w:sz w:val="22"/>
          <w:szCs w:val="22"/>
          <w:lang w:eastAsia="es-ES" w:bidi="ar-SA"/>
        </w:rPr>
        <w:t>araudia</w:t>
      </w:r>
      <w:proofErr w:type="spellEnd"/>
      <w:r w:rsidR="00D15326" w:rsidRPr="00D15326">
        <w:rPr>
          <w:rFonts w:cs="Times New Roman"/>
          <w:b/>
          <w:bCs/>
          <w:sz w:val="22"/>
          <w:szCs w:val="22"/>
          <w:lang w:eastAsia="es-ES" w:bidi="ar-SA"/>
        </w:rPr>
        <w:t xml:space="preserve"> </w:t>
      </w:r>
      <w:proofErr w:type="spellStart"/>
      <w:r w:rsidR="00D15326" w:rsidRPr="00D15326">
        <w:rPr>
          <w:rFonts w:cs="Times New Roman"/>
          <w:b/>
          <w:bCs/>
          <w:sz w:val="22"/>
          <w:szCs w:val="22"/>
          <w:lang w:eastAsia="es-ES" w:bidi="ar-SA"/>
        </w:rPr>
        <w:t>betetzea</w:t>
      </w:r>
      <w:proofErr w:type="spellEnd"/>
      <w:r w:rsidR="00D15326">
        <w:rPr>
          <w:rFonts w:cs="Times New Roman"/>
          <w:b/>
          <w:bCs/>
          <w:sz w:val="22"/>
          <w:szCs w:val="22"/>
          <w:lang w:eastAsia="es-ES" w:bidi="ar-SA"/>
        </w:rPr>
        <w:t>.</w:t>
      </w:r>
    </w:p>
    <w:p w14:paraId="5380A585" w14:textId="02389DA2" w:rsidR="006C0A5E" w:rsidRDefault="002A5DFF" w:rsidP="002A5DF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2A5DFF">
        <w:rPr>
          <w:rFonts w:cs="Times New Roman"/>
          <w:sz w:val="22"/>
          <w:szCs w:val="22"/>
          <w:lang w:eastAsia="es-ES" w:bidi="ar-SA"/>
        </w:rPr>
        <w:t xml:space="preserve">Era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berean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Euskararen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Erabilera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Normalizatzeko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azaroaren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24ko 10/1982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Oinarrizko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Legearekin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bat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etorriz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toki-erakundeek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bi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hizkuntza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ofizialen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tratamendu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erabilera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egokia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bermatu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dute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baldin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organo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eskudunak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kontratuaren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xedeak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hala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eskatzen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duela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irizten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A5DFF">
        <w:rPr>
          <w:rFonts w:cs="Times New Roman"/>
          <w:sz w:val="22"/>
          <w:szCs w:val="22"/>
          <w:lang w:eastAsia="es-ES" w:bidi="ar-SA"/>
        </w:rPr>
        <w:t>badio</w:t>
      </w:r>
      <w:proofErr w:type="spellEnd"/>
      <w:r w:rsidRPr="002A5DFF">
        <w:rPr>
          <w:rFonts w:cs="Times New Roman"/>
          <w:sz w:val="22"/>
          <w:szCs w:val="22"/>
          <w:lang w:eastAsia="es-ES" w:bidi="ar-SA"/>
        </w:rPr>
        <w:t>.</w:t>
      </w:r>
    </w:p>
    <w:p w14:paraId="2EFE38C1" w14:textId="0534FA9E" w:rsidR="00EF5E38" w:rsidRPr="00EF5E38" w:rsidRDefault="00EF5E38" w:rsidP="00EC6B9A">
      <w:pPr>
        <w:suppressAutoHyphens w:val="0"/>
        <w:spacing w:after="240"/>
        <w:jc w:val="both"/>
        <w:rPr>
          <w:rFonts w:cs="Times New Roman"/>
          <w:b/>
          <w:bCs/>
          <w:color w:val="000000" w:themeColor="text1"/>
          <w:sz w:val="22"/>
          <w:szCs w:val="22"/>
          <w:lang w:eastAsia="es-ES" w:bidi="ar-SA"/>
        </w:rPr>
      </w:pPr>
      <w:r w:rsidRPr="00EF5E38">
        <w:rPr>
          <w:rFonts w:cs="Times New Roman"/>
          <w:b/>
          <w:bCs/>
          <w:color w:val="000000" w:themeColor="text1"/>
          <w:sz w:val="22"/>
          <w:szCs w:val="22"/>
          <w:lang w:eastAsia="es-ES" w:bidi="ar-SA"/>
        </w:rPr>
        <w:t xml:space="preserve">7. </w:t>
      </w:r>
      <w:proofErr w:type="spellStart"/>
      <w:r w:rsidR="00EC6B9A" w:rsidRPr="00EC6B9A">
        <w:rPr>
          <w:rFonts w:cs="Times New Roman"/>
          <w:b/>
          <w:bCs/>
          <w:color w:val="000000" w:themeColor="text1"/>
          <w:sz w:val="22"/>
          <w:szCs w:val="22"/>
          <w:lang w:eastAsia="es-ES" w:bidi="ar-SA"/>
        </w:rPr>
        <w:t>Sektoreko</w:t>
      </w:r>
      <w:proofErr w:type="spellEnd"/>
      <w:r w:rsidR="00EC6B9A" w:rsidRPr="00EC6B9A">
        <w:rPr>
          <w:rFonts w:cs="Times New Roman"/>
          <w:b/>
          <w:bCs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="00EC6B9A" w:rsidRPr="00EC6B9A">
        <w:rPr>
          <w:rFonts w:cs="Times New Roman"/>
          <w:b/>
          <w:bCs/>
          <w:color w:val="000000" w:themeColor="text1"/>
          <w:sz w:val="22"/>
          <w:szCs w:val="22"/>
          <w:lang w:eastAsia="es-ES" w:bidi="ar-SA"/>
        </w:rPr>
        <w:t>legeria</w:t>
      </w:r>
      <w:proofErr w:type="spellEnd"/>
      <w:r w:rsidR="00EC6B9A" w:rsidRPr="00EC6B9A">
        <w:rPr>
          <w:rFonts w:cs="Times New Roman"/>
          <w:b/>
          <w:bCs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="00EC6B9A" w:rsidRPr="00EC6B9A">
        <w:rPr>
          <w:rFonts w:cs="Times New Roman"/>
          <w:b/>
          <w:bCs/>
          <w:color w:val="000000" w:themeColor="text1"/>
          <w:sz w:val="22"/>
          <w:szCs w:val="22"/>
          <w:lang w:eastAsia="es-ES" w:bidi="ar-SA"/>
        </w:rPr>
        <w:t>betetzea</w:t>
      </w:r>
      <w:proofErr w:type="spellEnd"/>
      <w:r w:rsidRPr="00EF5E38">
        <w:rPr>
          <w:rFonts w:cs="Times New Roman"/>
          <w:b/>
          <w:bCs/>
          <w:color w:val="000000" w:themeColor="text1"/>
          <w:sz w:val="22"/>
          <w:szCs w:val="22"/>
          <w:lang w:eastAsia="es-ES" w:bidi="ar-SA"/>
        </w:rPr>
        <w:t>.</w:t>
      </w:r>
    </w:p>
    <w:p w14:paraId="086B82FE" w14:textId="77777777" w:rsidR="00EC6B9A" w:rsidRPr="00EC6B9A" w:rsidRDefault="00EC6B9A" w:rsidP="00EC6B9A">
      <w:pPr>
        <w:suppressAutoHyphens w:val="0"/>
        <w:spacing w:after="240"/>
        <w:jc w:val="both"/>
        <w:rPr>
          <w:rFonts w:cs="Times New Roman"/>
          <w:color w:val="000000" w:themeColor="text1"/>
          <w:sz w:val="22"/>
          <w:szCs w:val="22"/>
          <w:lang w:eastAsia="es-ES" w:bidi="ar-SA"/>
        </w:rPr>
      </w:pP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Energia-komunitateek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honako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hauetan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xedatutakoa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bete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beharko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dute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:</w:t>
      </w:r>
    </w:p>
    <w:p w14:paraId="1F8D06BE" w14:textId="77777777" w:rsidR="00EC6B9A" w:rsidRPr="00EC6B9A" w:rsidRDefault="00EC6B9A" w:rsidP="00EC6B9A">
      <w:pPr>
        <w:suppressAutoHyphens w:val="0"/>
        <w:spacing w:after="240"/>
        <w:jc w:val="both"/>
        <w:rPr>
          <w:rFonts w:cs="Times New Roman"/>
          <w:color w:val="000000" w:themeColor="text1"/>
          <w:sz w:val="22"/>
          <w:szCs w:val="22"/>
          <w:lang w:eastAsia="es-ES" w:bidi="ar-SA"/>
        </w:rPr>
      </w:pPr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2018/2001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Zuzentaraua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,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iturri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berriztagarrietatik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sortutako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energiaren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erabilera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sustatzeari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buruzkoa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.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Energia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Berriztagarrien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Erkidegoak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arautzen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ditu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.</w:t>
      </w:r>
    </w:p>
    <w:p w14:paraId="004870E8" w14:textId="77777777" w:rsidR="00EC6B9A" w:rsidRPr="00EC6B9A" w:rsidRDefault="00EC6B9A" w:rsidP="00EC6B9A">
      <w:pPr>
        <w:suppressAutoHyphens w:val="0"/>
        <w:spacing w:after="240"/>
        <w:jc w:val="both"/>
        <w:rPr>
          <w:rFonts w:cs="Times New Roman"/>
          <w:color w:val="000000" w:themeColor="text1"/>
          <w:sz w:val="22"/>
          <w:szCs w:val="22"/>
          <w:lang w:eastAsia="es-ES" w:bidi="ar-SA"/>
        </w:rPr>
      </w:pPr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2019/944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Zuzentaraua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,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elektrizitatearen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barne-merkaturako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arau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komunei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buruzkoa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eta 2012/27/EB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Zuzentaraua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aldatzen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duena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. EEE (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Energiaren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Herritarren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Komunitateak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)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arautzen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ditu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.</w:t>
      </w:r>
    </w:p>
    <w:p w14:paraId="76202B80" w14:textId="77777777" w:rsidR="00EC6B9A" w:rsidRPr="00EC6B9A" w:rsidRDefault="00EC6B9A" w:rsidP="00EC6B9A">
      <w:pPr>
        <w:suppressAutoHyphens w:val="0"/>
        <w:spacing w:after="240"/>
        <w:jc w:val="both"/>
        <w:rPr>
          <w:rFonts w:cs="Times New Roman"/>
          <w:color w:val="000000" w:themeColor="text1"/>
          <w:sz w:val="22"/>
          <w:szCs w:val="22"/>
          <w:lang w:eastAsia="es-ES" w:bidi="ar-SA"/>
        </w:rPr>
      </w:pPr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24/2013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Legea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,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abenduaren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26koa,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Sektore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Elektrikoari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buruzkoa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.</w:t>
      </w:r>
    </w:p>
    <w:p w14:paraId="4B31C8AF" w14:textId="77777777" w:rsidR="00EC6B9A" w:rsidRPr="00EC6B9A" w:rsidRDefault="00EC6B9A" w:rsidP="00EC6B9A">
      <w:pPr>
        <w:suppressAutoHyphens w:val="0"/>
        <w:spacing w:after="240"/>
        <w:jc w:val="both"/>
        <w:rPr>
          <w:rFonts w:cs="Times New Roman"/>
          <w:color w:val="000000" w:themeColor="text1"/>
          <w:sz w:val="22"/>
          <w:szCs w:val="22"/>
          <w:lang w:eastAsia="es-ES" w:bidi="ar-SA"/>
        </w:rPr>
      </w:pPr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23/2020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Errege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Lege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Dekretua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,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ekainaren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23koa,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Ekonomia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suspertzeko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neurriak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onartzen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dituena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energiaren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arloan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eta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beste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eremu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batzuetan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.</w:t>
      </w:r>
    </w:p>
    <w:p w14:paraId="441DC790" w14:textId="47D323B2" w:rsidR="00F13725" w:rsidRDefault="00EC6B9A" w:rsidP="00EC6B9A">
      <w:pPr>
        <w:suppressAutoHyphens w:val="0"/>
        <w:spacing w:after="240"/>
        <w:jc w:val="both"/>
        <w:rPr>
          <w:rFonts w:cs="Times New Roman"/>
          <w:color w:val="000000" w:themeColor="text1"/>
          <w:sz w:val="22"/>
          <w:szCs w:val="22"/>
          <w:lang w:eastAsia="es-ES" w:bidi="ar-SA"/>
        </w:rPr>
      </w:pPr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Edo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horiek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ordezten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dituen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araudian</w:t>
      </w:r>
      <w:proofErr w:type="spellEnd"/>
      <w:r w:rsidRPr="00EC6B9A">
        <w:rPr>
          <w:rFonts w:cs="Times New Roman"/>
          <w:color w:val="000000" w:themeColor="text1"/>
          <w:sz w:val="22"/>
          <w:szCs w:val="22"/>
          <w:lang w:eastAsia="es-ES" w:bidi="ar-SA"/>
        </w:rPr>
        <w:t>.</w:t>
      </w:r>
    </w:p>
    <w:p w14:paraId="095AB27E" w14:textId="5ACEE54C" w:rsidR="006C0A5E" w:rsidRPr="00104054" w:rsidRDefault="00EF5E38" w:rsidP="006C0A5E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>
        <w:rPr>
          <w:rFonts w:cs="Times New Roman"/>
          <w:b/>
          <w:sz w:val="22"/>
          <w:szCs w:val="22"/>
          <w:lang w:eastAsia="es-ES" w:bidi="ar-SA"/>
        </w:rPr>
        <w:t>8</w:t>
      </w:r>
      <w:r w:rsidR="006C0A5E"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EC6B9A">
        <w:rPr>
          <w:rFonts w:cs="Times New Roman"/>
          <w:b/>
          <w:sz w:val="22"/>
          <w:szCs w:val="22"/>
          <w:lang w:eastAsia="es-ES" w:bidi="ar-SA"/>
        </w:rPr>
        <w:t>Baliabide</w:t>
      </w:r>
      <w:proofErr w:type="spellEnd"/>
      <w:r w:rsidR="00EC6B9A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EC6B9A">
        <w:rPr>
          <w:rFonts w:cs="Times New Roman"/>
          <w:b/>
          <w:sz w:val="22"/>
          <w:szCs w:val="22"/>
          <w:lang w:eastAsia="es-ES" w:bidi="ar-SA"/>
        </w:rPr>
        <w:t>ekonomikoak</w:t>
      </w:r>
      <w:proofErr w:type="spellEnd"/>
      <w:r w:rsidR="006C0A5E"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777E30B6" w14:textId="1B8D276B" w:rsidR="006C0A5E" w:rsidRPr="00104054" w:rsidRDefault="003C16DC" w:rsidP="003C16DC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Kasuan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kasuko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deialdietan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oinarri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hauen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bidez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deitutako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dirulaguntzetara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bideratutako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gehieneko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zenbateko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osoa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zehaztuko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da, bai eta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Arabako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Foru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Aldundiaren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une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bakoitzean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indarrean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dauden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aurrekontuetan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egozten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3C16DC">
        <w:rPr>
          <w:rFonts w:cs="Times New Roman"/>
          <w:sz w:val="22"/>
          <w:szCs w:val="22"/>
          <w:lang w:eastAsia="es-ES" w:bidi="ar-SA"/>
        </w:rPr>
        <w:t>aurrekontu-partidak</w:t>
      </w:r>
      <w:proofErr w:type="spellEnd"/>
      <w:r w:rsidRPr="003C16DC">
        <w:rPr>
          <w:rFonts w:cs="Times New Roman"/>
          <w:sz w:val="22"/>
          <w:szCs w:val="22"/>
          <w:lang w:eastAsia="es-ES" w:bidi="ar-SA"/>
        </w:rPr>
        <w:t xml:space="preserve"> ere.</w:t>
      </w:r>
    </w:p>
    <w:p w14:paraId="3F1FA503" w14:textId="4A806E14" w:rsidR="006C0A5E" w:rsidRPr="00104054" w:rsidRDefault="00223B78" w:rsidP="0077236E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>
        <w:rPr>
          <w:rFonts w:cs="Times New Roman"/>
          <w:b/>
          <w:sz w:val="22"/>
          <w:szCs w:val="22"/>
          <w:lang w:eastAsia="es-ES" w:bidi="ar-SA"/>
        </w:rPr>
        <w:t>9</w:t>
      </w:r>
      <w:r w:rsidR="006C0A5E"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77236E" w:rsidRPr="0077236E">
        <w:rPr>
          <w:rFonts w:cs="Times New Roman"/>
          <w:b/>
          <w:sz w:val="22"/>
          <w:szCs w:val="22"/>
          <w:lang w:eastAsia="es-ES" w:bidi="ar-SA"/>
        </w:rPr>
        <w:t>Onuradunak</w:t>
      </w:r>
      <w:proofErr w:type="spellEnd"/>
      <w:r w:rsidR="006C0A5E"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32C29397" w14:textId="77777777" w:rsidR="0077236E" w:rsidRPr="0077236E" w:rsidRDefault="0077236E" w:rsidP="0077236E">
      <w:pPr>
        <w:suppressAutoHyphens w:val="0"/>
        <w:spacing w:after="240"/>
        <w:jc w:val="both"/>
        <w:rPr>
          <w:rFonts w:cs="Times New Roman"/>
          <w:color w:val="000000" w:themeColor="text1"/>
          <w:sz w:val="22"/>
          <w:szCs w:val="22"/>
          <w:lang w:eastAsia="es-ES" w:bidi="ar-SA"/>
        </w:rPr>
      </w:pP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Honako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hauek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izan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daitezke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dirulaguntza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hauen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onuradunak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:</w:t>
      </w:r>
    </w:p>
    <w:p w14:paraId="6DA4DDDF" w14:textId="77777777" w:rsidR="0077236E" w:rsidRPr="0077236E" w:rsidRDefault="0077236E" w:rsidP="0077236E">
      <w:pPr>
        <w:suppressAutoHyphens w:val="0"/>
        <w:spacing w:after="240"/>
        <w:ind w:firstLine="708"/>
        <w:jc w:val="both"/>
        <w:rPr>
          <w:rFonts w:cs="Times New Roman"/>
          <w:color w:val="000000" w:themeColor="text1"/>
          <w:sz w:val="22"/>
          <w:szCs w:val="22"/>
          <w:lang w:eastAsia="es-ES" w:bidi="ar-SA"/>
        </w:rPr>
      </w:pPr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a) 500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biztanletik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beherako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biztanleguneetarako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Arabako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kontzejuak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.</w:t>
      </w:r>
    </w:p>
    <w:p w14:paraId="0CB11349" w14:textId="77777777" w:rsidR="0077236E" w:rsidRPr="0077236E" w:rsidRDefault="0077236E" w:rsidP="0077236E">
      <w:pPr>
        <w:suppressAutoHyphens w:val="0"/>
        <w:spacing w:after="240"/>
        <w:ind w:left="708"/>
        <w:jc w:val="both"/>
        <w:rPr>
          <w:rFonts w:cs="Times New Roman"/>
          <w:color w:val="000000" w:themeColor="text1"/>
          <w:sz w:val="22"/>
          <w:szCs w:val="22"/>
          <w:lang w:eastAsia="es-ES" w:bidi="ar-SA"/>
        </w:rPr>
      </w:pPr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b) Araban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benetan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bizi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diren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pertsona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fisikoak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,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baldin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eta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deialdi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bakoitzean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ezarritako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gehieneko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errenta-irizpideak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betetzen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badituzte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.</w:t>
      </w:r>
    </w:p>
    <w:p w14:paraId="6EF9B083" w14:textId="32DB39C4" w:rsidR="006C0A5E" w:rsidRPr="00104054" w:rsidRDefault="0077236E" w:rsidP="0077236E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Ezingo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dira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onuradun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izan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Dirulaguntzei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buruzko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azaroaren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17ko 38/2003 Lege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Orokorraren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IV.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tituluan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aipatzen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diren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arau-hausteengatik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zehatuak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izan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direnak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,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ez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eta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Emakumeen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eta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gizonen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berdintasunerako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eta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emakumeen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aurkako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indarkeria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matxistarik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gabe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bizitzeko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Legearen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testu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bategina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onartzen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duen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martxoaren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16ko 1/2023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Legegintzako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Dekretuan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eta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Emakumeen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eta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Gizonen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Berdintasun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Eragingarrirako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martxoaren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22ko 3/2007 Lege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Organikoan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jasotzen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diren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kasuetan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</w:t>
      </w:r>
      <w:proofErr w:type="spellStart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>daudenak</w:t>
      </w:r>
      <w:proofErr w:type="spellEnd"/>
      <w:r w:rsidRPr="0077236E">
        <w:rPr>
          <w:rFonts w:cs="Times New Roman"/>
          <w:color w:val="000000" w:themeColor="text1"/>
          <w:sz w:val="22"/>
          <w:szCs w:val="22"/>
          <w:lang w:eastAsia="es-ES" w:bidi="ar-SA"/>
        </w:rPr>
        <w:t xml:space="preserve"> ere.</w:t>
      </w:r>
    </w:p>
    <w:p w14:paraId="7BF57C5C" w14:textId="7B843EB2" w:rsidR="006C0A5E" w:rsidRPr="00104054" w:rsidRDefault="006C0A5E" w:rsidP="002264CF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 xml:space="preserve">9.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Dirulaguntzak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emateko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prozedura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Horien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kuantifikazioa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1932E1EF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bookmarkStart w:id="0" w:name="_Hlk72751518"/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lehia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askearen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araubidean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emango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p w14:paraId="501243C6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Orekako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Departamentuko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zerbitzu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teknikoek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ordenatuko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dituzte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proiektuak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eskaera-hurrenkeraren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arabera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p w14:paraId="67BED460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lagundu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daitekeen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gehieneko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ehunekoa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jardueraren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kostu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osoaren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gainean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kalkulatuko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da.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Jardueraren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kostutzat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hartuko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bigarren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oinarrian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zehaztutakoa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onuradunak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berreskuratu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ezin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duen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BEZaren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ehunekoa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barne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p w14:paraId="1EE651BA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Onuradunek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baldintzak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onartzen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dituztela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ulertuko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da,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baldin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ebazpena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jakinarazi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eta 10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egun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balioduneko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epean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dirulaguntzari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idatziz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egiten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badiote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p w14:paraId="416D75C5" w14:textId="2A352AD6" w:rsidR="006C0A5E" w:rsidRPr="00104054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Zuzkidura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agortu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delako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erantzunik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jaso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duten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eskabideak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aurkeztu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hurrenkeran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geratuko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poltsan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eta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jasoko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dute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hasiera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batean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emandako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dirulaguntzei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egiteagatik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hasieran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esleitutako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funtsak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aplikatu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ezin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badira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Uko-egiteak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gehienez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ere,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hilabeteko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epean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egin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eman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dela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jakinarazten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denetik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aurrera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bookmarkEnd w:id="0"/>
    <w:p w14:paraId="6C8C522B" w14:textId="5D8DF902" w:rsidR="006C0A5E" w:rsidRPr="00104054" w:rsidRDefault="00EF5E38" w:rsidP="002264CF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>
        <w:rPr>
          <w:rFonts w:cs="Times New Roman"/>
          <w:b/>
          <w:sz w:val="22"/>
          <w:szCs w:val="22"/>
          <w:lang w:eastAsia="es-ES" w:bidi="ar-SA"/>
        </w:rPr>
        <w:t>10</w:t>
      </w:r>
      <w:r w:rsidR="006C0A5E"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Erakunde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onuradunek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dirulaguntza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ematea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eragin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zuen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helburua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bete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dela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justifikatzeko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ordainketa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,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epea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eta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modua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>.</w:t>
      </w:r>
    </w:p>
    <w:p w14:paraId="23D2FA01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oro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har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eman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ziren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jarduera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bete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dela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justifikatu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ondoren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ordainduko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. Hala ere,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urteko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deialdian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justifikatu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beharreko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aurrerakinak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egotea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aurreikusi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ahal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izango da.</w:t>
      </w:r>
    </w:p>
    <w:p w14:paraId="6FCDAEFC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Deialdiak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energia-komunitateari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emandako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zenbatekoa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zuzenean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ordaintzeko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aukera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jaso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ahal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izango du.</w:t>
      </w:r>
    </w:p>
    <w:p w14:paraId="40BEE359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Ordainketa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egiteko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deialdian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zehazten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agiriak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aurkeztu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Aurkezteko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gehieneko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epea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dagokion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deialdian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ezarriko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da.</w:t>
      </w:r>
    </w:p>
    <w:p w14:paraId="238082F3" w14:textId="742BB750" w:rsidR="00F025DA" w:rsidRPr="00F025DA" w:rsidRDefault="002264CF" w:rsidP="002264CF">
      <w:pPr>
        <w:suppressAutoHyphens w:val="0"/>
        <w:spacing w:after="240"/>
        <w:jc w:val="both"/>
        <w:rPr>
          <w:rFonts w:cs="Times New Roman"/>
          <w:color w:val="000000" w:themeColor="text1"/>
          <w:sz w:val="22"/>
          <w:szCs w:val="22"/>
          <w:lang w:eastAsia="es-ES" w:bidi="ar-SA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Justifikazioak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gutxienez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, obra-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ziurtagirien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fakturen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dagozkien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banku-ordainagirien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kopiak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jasoko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p w14:paraId="5772063B" w14:textId="7D7FC901" w:rsidR="006C0A5E" w:rsidRPr="00104054" w:rsidRDefault="006C0A5E" w:rsidP="00F025DA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>1</w:t>
      </w:r>
      <w:r w:rsidR="00623CED">
        <w:rPr>
          <w:rFonts w:cs="Times New Roman"/>
          <w:b/>
          <w:sz w:val="22"/>
          <w:szCs w:val="22"/>
          <w:lang w:eastAsia="es-ES" w:bidi="ar-SA"/>
        </w:rPr>
        <w:t>1</w:t>
      </w:r>
      <w:r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Babesletza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4C65EF3B" w14:textId="2AB1C0A2" w:rsidR="006C0A5E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lagundutako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jarduerak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sortzen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dituen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argitalpen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liburuxka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publizitate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guztietan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berariaz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aipatu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Arabako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Foru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Aldundiko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Oreka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Antolamendu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Sailak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emandako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laguntza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Gainera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hizkuntza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genero-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ikuspegitik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behar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bezala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erabiltzen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dela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ziurtatuko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da, eta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mezu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kanal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egokiak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erabiliko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informazioa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modu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baliokidean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irits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dadin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gizonengana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emakumeengana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. Era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berean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lagundutako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jardueraren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zabalkundea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publizitatea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euskarria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edozein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dela ere (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liburuxkak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kartelak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argitalpenak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...),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hizkuntza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ofizialetan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egin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da, estereotipo eta rol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sexistarik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gabe.</w:t>
      </w:r>
    </w:p>
    <w:p w14:paraId="7D97968D" w14:textId="092D51C9" w:rsidR="006C0A5E" w:rsidRPr="00104054" w:rsidRDefault="006C0A5E" w:rsidP="002264CF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>1</w:t>
      </w:r>
      <w:r w:rsidR="00623CED">
        <w:rPr>
          <w:rFonts w:cs="Times New Roman"/>
          <w:b/>
          <w:sz w:val="22"/>
          <w:szCs w:val="22"/>
          <w:lang w:eastAsia="es-ES" w:bidi="ar-SA"/>
        </w:rPr>
        <w:t>2</w:t>
      </w:r>
      <w:r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Dirulaguntza</w:t>
      </w:r>
      <w:proofErr w:type="spellEnd"/>
      <w:r w:rsidR="002264CF" w:rsidRPr="002264CF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2264CF" w:rsidRPr="002264CF">
        <w:rPr>
          <w:rFonts w:cs="Times New Roman"/>
          <w:b/>
          <w:sz w:val="22"/>
          <w:szCs w:val="22"/>
          <w:lang w:eastAsia="es-ES" w:bidi="ar-SA"/>
        </w:rPr>
        <w:t>itzultzea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41F88A42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Jasotako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zenbatekoak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itzuli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Arabako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Historikoko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dirulaguntzei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buruzko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11/2016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Foru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Arauan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Dirulaguntzei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buruzko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azaroaren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17ko 38/2003 Lege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Orokorrean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Dirulaguntzei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buruzko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azaroaren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17ko 38/2003 Lege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Orokorraren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Erregelamendua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onartzen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duen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uztailaren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21eko 887/2006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Errege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Dekretuan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ezarritako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kasuetan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p w14:paraId="76DCE56F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Onartutako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gainean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jasotako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zenbatekoak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itzultzea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zuzenbide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publikoko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diru-sarreratzat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hartuko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da, eta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Arabako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Historikoaren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Aurrekontuei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buruzko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urtarrilaren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25eko 3/2023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Foru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Arau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Orokorraren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II.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tituluko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I.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kapituluan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aurreikusitakoaren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arabera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kobratuko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p w14:paraId="135ABCE7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val="en-US" w:eastAsia="es-ES" w:bidi="ar-SA"/>
        </w:rPr>
      </w:pPr>
      <w:r w:rsidRPr="002264CF">
        <w:rPr>
          <w:rFonts w:cs="Times New Roman"/>
          <w:sz w:val="22"/>
          <w:szCs w:val="22"/>
          <w:lang w:val="en-US" w:eastAsia="es-ES" w:bidi="ar-SA"/>
        </w:rPr>
        <w:t>Ez-</w:t>
      </w:r>
      <w:proofErr w:type="spellStart"/>
      <w:r w:rsidRPr="002264CF">
        <w:rPr>
          <w:rFonts w:cs="Times New Roman"/>
          <w:sz w:val="22"/>
          <w:szCs w:val="22"/>
          <w:lang w:val="en-US" w:eastAsia="es-ES" w:bidi="ar-SA"/>
        </w:rPr>
        <w:t>betetzeak</w:t>
      </w:r>
      <w:proofErr w:type="spellEnd"/>
      <w:r w:rsidRPr="002264CF">
        <w:rPr>
          <w:rFonts w:cs="Times New Roman"/>
          <w:sz w:val="22"/>
          <w:szCs w:val="22"/>
          <w:lang w:val="en-US" w:eastAsia="es-ES" w:bidi="ar-SA"/>
        </w:rPr>
        <w:t>:</w:t>
      </w:r>
    </w:p>
    <w:p w14:paraId="1B0D9AD9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val="en-US" w:eastAsia="es-ES" w:bidi="ar-SA"/>
        </w:rPr>
      </w:pPr>
      <w:r w:rsidRPr="002264CF">
        <w:rPr>
          <w:rFonts w:cs="Times New Roman"/>
          <w:sz w:val="22"/>
          <w:szCs w:val="22"/>
          <w:lang w:val="en-US" w:eastAsia="es-ES" w:bidi="ar-SA"/>
        </w:rPr>
        <w:t xml:space="preserve">a. </w:t>
      </w:r>
      <w:proofErr w:type="spellStart"/>
      <w:r w:rsidRPr="002264CF">
        <w:rPr>
          <w:rFonts w:cs="Times New Roman"/>
          <w:sz w:val="22"/>
          <w:szCs w:val="22"/>
          <w:lang w:val="en-US" w:eastAsia="es-ES" w:bidi="ar-SA"/>
        </w:rPr>
        <w:t>Justifikatzeko</w:t>
      </w:r>
      <w:proofErr w:type="spellEnd"/>
      <w:r w:rsidRPr="002264CF">
        <w:rPr>
          <w:rFonts w:cs="Times New Roman"/>
          <w:sz w:val="22"/>
          <w:szCs w:val="22"/>
          <w:lang w:val="en-US"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val="en-US" w:eastAsia="es-ES" w:bidi="ar-SA"/>
        </w:rPr>
        <w:t>betebeharra</w:t>
      </w:r>
      <w:proofErr w:type="spellEnd"/>
      <w:r w:rsidRPr="002264CF">
        <w:rPr>
          <w:rFonts w:cs="Times New Roman"/>
          <w:sz w:val="22"/>
          <w:szCs w:val="22"/>
          <w:lang w:val="en-US"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val="en-US" w:eastAsia="es-ES" w:bidi="ar-SA"/>
        </w:rPr>
        <w:t>ez</w:t>
      </w:r>
      <w:proofErr w:type="spellEnd"/>
      <w:r w:rsidRPr="002264CF">
        <w:rPr>
          <w:rFonts w:cs="Times New Roman"/>
          <w:sz w:val="22"/>
          <w:szCs w:val="22"/>
          <w:lang w:val="en-US"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val="en-US" w:eastAsia="es-ES" w:bidi="ar-SA"/>
        </w:rPr>
        <w:t>betetzea</w:t>
      </w:r>
      <w:proofErr w:type="spellEnd"/>
      <w:r w:rsidRPr="002264CF">
        <w:rPr>
          <w:rFonts w:cs="Times New Roman"/>
          <w:sz w:val="22"/>
          <w:szCs w:val="22"/>
          <w:lang w:val="en-US" w:eastAsia="es-ES" w:bidi="ar-SA"/>
        </w:rPr>
        <w:t>.</w:t>
      </w:r>
    </w:p>
    <w:p w14:paraId="73FA41C2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val="en-US" w:eastAsia="es-ES" w:bidi="ar-SA"/>
        </w:rPr>
      </w:pPr>
    </w:p>
    <w:p w14:paraId="62B9A1E4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2264CF">
        <w:rPr>
          <w:rFonts w:cs="Times New Roman"/>
          <w:sz w:val="22"/>
          <w:szCs w:val="22"/>
          <w:lang w:eastAsia="es-ES" w:bidi="ar-SA"/>
        </w:rPr>
        <w:t xml:space="preserve">b.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lortzea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horretarako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eskatzen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baldintzak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bete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gabe.</w:t>
      </w:r>
    </w:p>
    <w:p w14:paraId="268BB67B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2264CF">
        <w:rPr>
          <w:rFonts w:cs="Times New Roman"/>
          <w:sz w:val="22"/>
          <w:szCs w:val="22"/>
          <w:lang w:eastAsia="es-ES" w:bidi="ar-SA"/>
        </w:rPr>
        <w:t xml:space="preserve">c.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xedea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betetzea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p w14:paraId="58E45E94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2264CF">
        <w:rPr>
          <w:rFonts w:cs="Times New Roman"/>
          <w:sz w:val="22"/>
          <w:szCs w:val="22"/>
          <w:lang w:eastAsia="es-ES" w:bidi="ar-SA"/>
        </w:rPr>
        <w:t xml:space="preserve">d.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ematean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onuradunari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ezarritako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baldintzak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ez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betetzea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p w14:paraId="4C0D420F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2264CF">
        <w:rPr>
          <w:rFonts w:cs="Times New Roman"/>
          <w:sz w:val="22"/>
          <w:szCs w:val="22"/>
          <w:lang w:eastAsia="es-ES" w:bidi="ar-SA"/>
        </w:rPr>
        <w:t xml:space="preserve">e.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Kontrol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-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egiaztapen-jarduketei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uko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egitea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oztopoak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jartzea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>.</w:t>
      </w:r>
    </w:p>
    <w:p w14:paraId="33AC21AD" w14:textId="77777777" w:rsidR="002264CF" w:rsidRP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2264CF">
        <w:rPr>
          <w:rFonts w:cs="Times New Roman"/>
          <w:sz w:val="22"/>
          <w:szCs w:val="22"/>
          <w:lang w:eastAsia="es-ES" w:bidi="ar-SA"/>
        </w:rPr>
        <w:t xml:space="preserve">f.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Garatu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beharreko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jardueraren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kostua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baino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handiagoak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jasotzea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Kasu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horretan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jardueraren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kostuaren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gainean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lortutako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soberakina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itzuli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da,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dagozkion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berandutze-interesekin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batera.</w:t>
      </w:r>
    </w:p>
    <w:p w14:paraId="7DB5E06D" w14:textId="77777777" w:rsidR="002264CF" w:rsidRDefault="002264CF" w:rsidP="002264CF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r w:rsidRPr="002264CF">
        <w:rPr>
          <w:rFonts w:cs="Times New Roman"/>
          <w:sz w:val="22"/>
          <w:szCs w:val="22"/>
          <w:lang w:eastAsia="es-ES" w:bidi="ar-SA"/>
        </w:rPr>
        <w:t xml:space="preserve">g.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Xede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bera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duten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beste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batzuk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daudela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264CF">
        <w:rPr>
          <w:rFonts w:cs="Times New Roman"/>
          <w:sz w:val="22"/>
          <w:szCs w:val="22"/>
          <w:lang w:eastAsia="es-ES" w:bidi="ar-SA"/>
        </w:rPr>
        <w:t>adierazi</w:t>
      </w:r>
      <w:proofErr w:type="spellEnd"/>
      <w:r w:rsidRPr="002264CF">
        <w:rPr>
          <w:rFonts w:cs="Times New Roman"/>
          <w:sz w:val="22"/>
          <w:szCs w:val="22"/>
          <w:lang w:eastAsia="es-ES" w:bidi="ar-SA"/>
        </w:rPr>
        <w:t xml:space="preserve"> gabe.</w:t>
      </w:r>
    </w:p>
    <w:p w14:paraId="4FA8430B" w14:textId="3DE1B076" w:rsidR="006C0A5E" w:rsidRPr="00104054" w:rsidRDefault="006C0A5E" w:rsidP="004346E3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>1</w:t>
      </w:r>
      <w:r w:rsidR="00623CED">
        <w:rPr>
          <w:rFonts w:cs="Times New Roman"/>
          <w:b/>
          <w:sz w:val="22"/>
          <w:szCs w:val="22"/>
          <w:lang w:eastAsia="es-ES" w:bidi="ar-SA"/>
        </w:rPr>
        <w:t>3</w:t>
      </w:r>
      <w:r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4346E3" w:rsidRPr="004346E3">
        <w:rPr>
          <w:rFonts w:cs="Times New Roman"/>
          <w:b/>
          <w:sz w:val="22"/>
          <w:szCs w:val="22"/>
          <w:lang w:eastAsia="es-ES" w:bidi="ar-SA"/>
        </w:rPr>
        <w:t>Egiaztatzea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4C3ABCDF" w14:textId="77777777" w:rsidR="004346E3" w:rsidRPr="004346E3" w:rsidRDefault="004346E3" w:rsidP="004346E3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Oreka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Antolamenduko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sailburuak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deialdi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bakoitza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garatzeko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egokitzat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jotzen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dituen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ebazpenak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emango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ditu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izapidetzen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ari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den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unitate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organikoaren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ekimenez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, eta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onuradunek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emandako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datuak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egiazkoak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direla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oinarri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hauetan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araututakoa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betetzen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dela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exijitzea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egiaztatzea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ahalbidetzen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duten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ekintzak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gauzatu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ahal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izango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ditu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>.</w:t>
      </w:r>
    </w:p>
    <w:p w14:paraId="597C8ECA" w14:textId="561FF44B" w:rsidR="006C0A5E" w:rsidRDefault="004346E3" w:rsidP="004346E3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Horretarako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onuradunek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konpromisoa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hartzen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dute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garatzen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dituzten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jarduerekin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zerikusia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duten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Oreka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Antolamendu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Sailak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eskatzen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dizkien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datu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dokumentu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guztiak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emateko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. Era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berean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Ogasun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Finantza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Aurrekontu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Sailak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Kontuen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Epaitegiak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beste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eskudun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batzuek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eskatzen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dieten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informazio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guztia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eman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4346E3">
        <w:rPr>
          <w:rFonts w:cs="Times New Roman"/>
          <w:sz w:val="22"/>
          <w:szCs w:val="22"/>
          <w:lang w:eastAsia="es-ES" w:bidi="ar-SA"/>
        </w:rPr>
        <w:t>dute</w:t>
      </w:r>
      <w:proofErr w:type="spellEnd"/>
      <w:r w:rsidRPr="004346E3">
        <w:rPr>
          <w:rFonts w:cs="Times New Roman"/>
          <w:sz w:val="22"/>
          <w:szCs w:val="22"/>
          <w:lang w:eastAsia="es-ES" w:bidi="ar-SA"/>
        </w:rPr>
        <w:t>.</w:t>
      </w:r>
    </w:p>
    <w:p w14:paraId="05C5ADFD" w14:textId="531145F0" w:rsidR="006C0A5E" w:rsidRPr="00104054" w:rsidRDefault="006C0A5E" w:rsidP="002D2746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>1</w:t>
      </w:r>
      <w:r w:rsidR="008D3780">
        <w:rPr>
          <w:rFonts w:cs="Times New Roman"/>
          <w:b/>
          <w:sz w:val="22"/>
          <w:szCs w:val="22"/>
          <w:lang w:eastAsia="es-ES" w:bidi="ar-SA"/>
        </w:rPr>
        <w:t>4</w:t>
      </w:r>
      <w:r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2D2746" w:rsidRPr="002D2746">
        <w:rPr>
          <w:rFonts w:cs="Times New Roman"/>
          <w:b/>
          <w:sz w:val="22"/>
          <w:szCs w:val="22"/>
          <w:lang w:eastAsia="es-ES" w:bidi="ar-SA"/>
        </w:rPr>
        <w:t>Erantzukizunak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0BB06DF6" w14:textId="765B7584" w:rsidR="006C0A5E" w:rsidRPr="00104054" w:rsidRDefault="002D2746" w:rsidP="002D2746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Onuradunek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beren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gain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hartuko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dituzte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programa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jarduera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egitearen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ondoriozko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erantzukizunak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, eta, hala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badagokio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indarrean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dagoen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legeriak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programa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jarduera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garatzeko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eskatzen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dituen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baimenak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eskatuko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dituzte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>.</w:t>
      </w:r>
    </w:p>
    <w:p w14:paraId="0A772430" w14:textId="45D18705" w:rsidR="006C0A5E" w:rsidRPr="00104054" w:rsidRDefault="006C0A5E" w:rsidP="002D2746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>1</w:t>
      </w:r>
      <w:r w:rsidR="008D3780">
        <w:rPr>
          <w:rFonts w:cs="Times New Roman"/>
          <w:b/>
          <w:sz w:val="22"/>
          <w:szCs w:val="22"/>
          <w:lang w:eastAsia="es-ES" w:bidi="ar-SA"/>
        </w:rPr>
        <w:t>5</w:t>
      </w:r>
      <w:r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2D2746" w:rsidRPr="002D2746">
        <w:rPr>
          <w:rFonts w:cs="Times New Roman"/>
          <w:b/>
          <w:sz w:val="22"/>
          <w:szCs w:val="22"/>
          <w:lang w:eastAsia="es-ES" w:bidi="ar-SA"/>
        </w:rPr>
        <w:t>Aldaketak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17B40EE8" w14:textId="74F9E64A" w:rsidR="006C0A5E" w:rsidRDefault="002D2746" w:rsidP="002D2746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emateko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kontuan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hartutako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baldintzak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aldatzen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badira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, eta,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nolanahi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ere,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aldi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berean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beste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edozein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erakunde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publiko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nahiz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pribatutatik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dirulaguntzak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edo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laguntzak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jasotzen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badira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emateko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ebazpena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aldatu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egingo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da, eta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laguntzaren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zati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bat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itzuli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beharko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da.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onartu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ondoren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ematea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eragin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zuten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inguruabarrek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hori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aldatzea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ekar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badezakete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onuradunak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proposamen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arrazoitua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egiten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badu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Oreka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Antolamenduko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sailburuak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dirulaguntza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aldatu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ahal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izango du,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dagokion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foru-aginduaren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2D2746">
        <w:rPr>
          <w:rFonts w:cs="Times New Roman"/>
          <w:sz w:val="22"/>
          <w:szCs w:val="22"/>
          <w:lang w:eastAsia="es-ES" w:bidi="ar-SA"/>
        </w:rPr>
        <w:t>bidez</w:t>
      </w:r>
      <w:proofErr w:type="spellEnd"/>
      <w:r w:rsidRPr="002D2746">
        <w:rPr>
          <w:rFonts w:cs="Times New Roman"/>
          <w:sz w:val="22"/>
          <w:szCs w:val="22"/>
          <w:lang w:eastAsia="es-ES" w:bidi="ar-SA"/>
        </w:rPr>
        <w:t>.</w:t>
      </w:r>
    </w:p>
    <w:p w14:paraId="71ACA4B8" w14:textId="18E091A5" w:rsidR="006C0A5E" w:rsidRPr="00104054" w:rsidRDefault="006C0A5E" w:rsidP="000B71CE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>1</w:t>
      </w:r>
      <w:r w:rsidR="008D3780">
        <w:rPr>
          <w:rFonts w:cs="Times New Roman"/>
          <w:b/>
          <w:sz w:val="22"/>
          <w:szCs w:val="22"/>
          <w:lang w:eastAsia="es-ES" w:bidi="ar-SA"/>
        </w:rPr>
        <w:t>6</w:t>
      </w:r>
      <w:r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0B71CE" w:rsidRPr="000B71CE">
        <w:rPr>
          <w:rFonts w:cs="Times New Roman"/>
          <w:b/>
          <w:sz w:val="22"/>
          <w:szCs w:val="22"/>
          <w:lang w:eastAsia="es-ES" w:bidi="ar-SA"/>
        </w:rPr>
        <w:t>Interpretazioa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07382584" w14:textId="4D3B0401" w:rsidR="006C0A5E" w:rsidRPr="00104054" w:rsidRDefault="000B71CE" w:rsidP="000B71CE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Oinarri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hauen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interpretazioaren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inguruan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sor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daitekeen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edozein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zalantza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Foru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Aldundiko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Oreka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Antolamendu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Sailak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0B71CE">
        <w:rPr>
          <w:rFonts w:cs="Times New Roman"/>
          <w:sz w:val="22"/>
          <w:szCs w:val="22"/>
          <w:lang w:eastAsia="es-ES" w:bidi="ar-SA"/>
        </w:rPr>
        <w:t>ebatziko</w:t>
      </w:r>
      <w:proofErr w:type="spellEnd"/>
      <w:r w:rsidRPr="000B71CE">
        <w:rPr>
          <w:rFonts w:cs="Times New Roman"/>
          <w:sz w:val="22"/>
          <w:szCs w:val="22"/>
          <w:lang w:eastAsia="es-ES" w:bidi="ar-SA"/>
        </w:rPr>
        <w:t xml:space="preserve"> du.</w:t>
      </w:r>
    </w:p>
    <w:p w14:paraId="1003DBCC" w14:textId="31E4ADF0" w:rsidR="006C0A5E" w:rsidRPr="00104054" w:rsidRDefault="006C0A5E" w:rsidP="00B0750B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 w:rsidRPr="00104054">
        <w:rPr>
          <w:rFonts w:cs="Times New Roman"/>
          <w:b/>
          <w:sz w:val="22"/>
          <w:szCs w:val="22"/>
          <w:lang w:eastAsia="es-ES" w:bidi="ar-SA"/>
        </w:rPr>
        <w:t>1</w:t>
      </w:r>
      <w:r w:rsidR="008D3780">
        <w:rPr>
          <w:rFonts w:cs="Times New Roman"/>
          <w:b/>
          <w:sz w:val="22"/>
          <w:szCs w:val="22"/>
          <w:lang w:eastAsia="es-ES" w:bidi="ar-SA"/>
        </w:rPr>
        <w:t>7</w:t>
      </w:r>
      <w:r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B0750B" w:rsidRPr="00B0750B">
        <w:rPr>
          <w:rFonts w:cs="Times New Roman"/>
          <w:b/>
          <w:sz w:val="22"/>
          <w:szCs w:val="22"/>
          <w:lang w:eastAsia="es-ES" w:bidi="ar-SA"/>
        </w:rPr>
        <w:t>Errekurtsoak</w:t>
      </w:r>
      <w:proofErr w:type="spellEnd"/>
      <w:r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7F13E657" w14:textId="12840B66" w:rsidR="006C0A5E" w:rsidRDefault="00B0750B" w:rsidP="00B0750B">
      <w:pPr>
        <w:suppressAutoHyphens w:val="0"/>
        <w:spacing w:after="240"/>
        <w:jc w:val="both"/>
        <w:rPr>
          <w:rFonts w:cs="Times New Roman"/>
          <w:sz w:val="22"/>
          <w:szCs w:val="22"/>
          <w:lang w:eastAsia="es-ES" w:bidi="ar-SA"/>
        </w:rPr>
      </w:pP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Oinarri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hauek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horien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ondoriozko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administrazio-egintza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guztiak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aurkaratu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ahal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izango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Administrazio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Publikoen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Administrazio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Prozedura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Erkidearen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urriaren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1eko 39/2015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Legean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ezarritako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kasuetan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eta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moduan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>.</w:t>
      </w:r>
    </w:p>
    <w:p w14:paraId="39789184" w14:textId="324EC97D" w:rsidR="006C0A5E" w:rsidRPr="00104054" w:rsidRDefault="008D3780" w:rsidP="00B0750B">
      <w:pPr>
        <w:suppressAutoHyphens w:val="0"/>
        <w:spacing w:after="240"/>
        <w:jc w:val="both"/>
        <w:rPr>
          <w:rFonts w:cs="Times New Roman"/>
          <w:b/>
          <w:sz w:val="22"/>
          <w:szCs w:val="22"/>
          <w:lang w:eastAsia="es-ES" w:bidi="ar-SA"/>
        </w:rPr>
      </w:pPr>
      <w:r>
        <w:rPr>
          <w:rFonts w:cs="Times New Roman"/>
          <w:b/>
          <w:sz w:val="22"/>
          <w:szCs w:val="22"/>
          <w:lang w:eastAsia="es-ES" w:bidi="ar-SA"/>
        </w:rPr>
        <w:t>1</w:t>
      </w:r>
      <w:r w:rsidR="0013254A">
        <w:rPr>
          <w:rFonts w:cs="Times New Roman"/>
          <w:b/>
          <w:sz w:val="22"/>
          <w:szCs w:val="22"/>
          <w:lang w:eastAsia="es-ES" w:bidi="ar-SA"/>
        </w:rPr>
        <w:t>8</w:t>
      </w:r>
      <w:r w:rsidR="006C0A5E" w:rsidRPr="00104054">
        <w:rPr>
          <w:rFonts w:cs="Times New Roman"/>
          <w:b/>
          <w:sz w:val="22"/>
          <w:szCs w:val="22"/>
          <w:lang w:eastAsia="es-ES" w:bidi="ar-SA"/>
        </w:rPr>
        <w:t xml:space="preserve">. </w:t>
      </w:r>
      <w:proofErr w:type="spellStart"/>
      <w:r w:rsidR="00B0750B" w:rsidRPr="00B0750B">
        <w:rPr>
          <w:rFonts w:cs="Times New Roman"/>
          <w:b/>
          <w:sz w:val="22"/>
          <w:szCs w:val="22"/>
          <w:lang w:eastAsia="es-ES" w:bidi="ar-SA"/>
        </w:rPr>
        <w:t>Aplikatu</w:t>
      </w:r>
      <w:proofErr w:type="spellEnd"/>
      <w:r w:rsidR="00B0750B" w:rsidRPr="00B0750B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B0750B" w:rsidRPr="00B0750B">
        <w:rPr>
          <w:rFonts w:cs="Times New Roman"/>
          <w:b/>
          <w:sz w:val="22"/>
          <w:szCs w:val="22"/>
          <w:lang w:eastAsia="es-ES" w:bidi="ar-SA"/>
        </w:rPr>
        <w:t>beharreko</w:t>
      </w:r>
      <w:proofErr w:type="spellEnd"/>
      <w:r w:rsidR="00B0750B" w:rsidRPr="00B0750B">
        <w:rPr>
          <w:rFonts w:cs="Times New Roman"/>
          <w:b/>
          <w:sz w:val="22"/>
          <w:szCs w:val="22"/>
          <w:lang w:eastAsia="es-ES" w:bidi="ar-SA"/>
        </w:rPr>
        <w:t xml:space="preserve"> </w:t>
      </w:r>
      <w:proofErr w:type="spellStart"/>
      <w:r w:rsidR="00B0750B" w:rsidRPr="00B0750B">
        <w:rPr>
          <w:rFonts w:cs="Times New Roman"/>
          <w:b/>
          <w:sz w:val="22"/>
          <w:szCs w:val="22"/>
          <w:lang w:eastAsia="es-ES" w:bidi="ar-SA"/>
        </w:rPr>
        <w:t>araudia</w:t>
      </w:r>
      <w:proofErr w:type="spellEnd"/>
      <w:r w:rsidR="006C0A5E" w:rsidRPr="00104054">
        <w:rPr>
          <w:rFonts w:cs="Times New Roman"/>
          <w:b/>
          <w:sz w:val="22"/>
          <w:szCs w:val="22"/>
          <w:lang w:eastAsia="es-ES" w:bidi="ar-SA"/>
        </w:rPr>
        <w:t>.</w:t>
      </w:r>
    </w:p>
    <w:p w14:paraId="61733CCF" w14:textId="34170FE0" w:rsidR="006C0A5E" w:rsidRPr="00104054" w:rsidRDefault="00B0750B" w:rsidP="00B0750B">
      <w:pPr>
        <w:suppressAutoHyphens w:val="0"/>
        <w:spacing w:after="240"/>
        <w:jc w:val="both"/>
        <w:rPr>
          <w:rFonts w:cs="Times New Roman"/>
          <w:sz w:val="22"/>
          <w:lang w:eastAsia="es-ES" w:bidi="ar-SA"/>
        </w:rPr>
      </w:pP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Oinarri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hauetan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xedatuta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ez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dagoenerako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,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honako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hauek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arautuko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dira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: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Arabako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Historikoko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dirulaguntzei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buruzko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11/2016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Foru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Araua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Dirulaguntzei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buruzko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azaroaren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17ko 38/2003 Lege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Orokorra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Dirulaguntzei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buruzko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azaroaren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17ko 38/2003 Lege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Orokorraren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Erregelamendua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onartzen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duen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uztailaren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21eko 887/2006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Errege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Dekretua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Arabako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Lurralde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Historikoko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Aurrekontuei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buruzko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urtarrilaren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25eko 3/2023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Foru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Araua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indarrean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dagoen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aurrekontua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betearazteko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foru-araua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;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Administrazio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Publikoen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Administrazio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Prozedura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Erkidearen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urriaren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1eko 39/2015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Legea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, eta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aplikatzekoa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den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gainerako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 xml:space="preserve"> </w:t>
      </w:r>
      <w:proofErr w:type="spellStart"/>
      <w:r w:rsidRPr="00B0750B">
        <w:rPr>
          <w:rFonts w:cs="Times New Roman"/>
          <w:sz w:val="22"/>
          <w:szCs w:val="22"/>
          <w:lang w:eastAsia="es-ES" w:bidi="ar-SA"/>
        </w:rPr>
        <w:t>araudia</w:t>
      </w:r>
      <w:proofErr w:type="spellEnd"/>
      <w:r w:rsidRPr="00B0750B">
        <w:rPr>
          <w:rFonts w:cs="Times New Roman"/>
          <w:sz w:val="22"/>
          <w:szCs w:val="22"/>
          <w:lang w:eastAsia="es-ES" w:bidi="ar-SA"/>
        </w:rPr>
        <w:t>.</w:t>
      </w:r>
    </w:p>
    <w:p w14:paraId="1CF0B275" w14:textId="77777777" w:rsidR="006C0A5E" w:rsidRPr="004857F6" w:rsidRDefault="006C0A5E" w:rsidP="006C0A5E"/>
    <w:p w14:paraId="58FB0380" w14:textId="77777777" w:rsidR="006C0A5E" w:rsidRPr="00104054" w:rsidRDefault="006C0A5E" w:rsidP="006C0A5E">
      <w:pPr>
        <w:suppressAutoHyphens w:val="0"/>
        <w:spacing w:after="240"/>
        <w:jc w:val="both"/>
        <w:rPr>
          <w:rFonts w:cs="Times New Roman"/>
          <w:sz w:val="22"/>
          <w:lang w:eastAsia="es-ES" w:bidi="ar-SA"/>
        </w:rPr>
      </w:pPr>
    </w:p>
    <w:p w14:paraId="30C22CE7" w14:textId="77777777" w:rsidR="006C0A5E" w:rsidRDefault="006C0A5E" w:rsidP="006C0A5E"/>
    <w:p w14:paraId="3A3ABE72" w14:textId="7121E973" w:rsidR="00AD6030" w:rsidRPr="006C0A5E" w:rsidRDefault="00AD6030" w:rsidP="006C0A5E"/>
    <w:sectPr w:rsidR="00AD6030" w:rsidRPr="006C0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5A7E" w14:textId="77777777" w:rsidR="00507F66" w:rsidRDefault="00507F66" w:rsidP="00507F66">
      <w:r>
        <w:separator/>
      </w:r>
    </w:p>
  </w:endnote>
  <w:endnote w:type="continuationSeparator" w:id="0">
    <w:p w14:paraId="457902E9" w14:textId="77777777" w:rsidR="00507F66" w:rsidRDefault="00507F66" w:rsidP="0050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D7B7" w14:textId="77777777" w:rsidR="00507F66" w:rsidRDefault="00507F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FE6A" w14:textId="77777777" w:rsidR="00507F66" w:rsidRDefault="00507F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E863" w14:textId="77777777" w:rsidR="00507F66" w:rsidRDefault="00507F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B605" w14:textId="77777777" w:rsidR="00507F66" w:rsidRDefault="00507F66" w:rsidP="00507F66">
      <w:r>
        <w:separator/>
      </w:r>
    </w:p>
  </w:footnote>
  <w:footnote w:type="continuationSeparator" w:id="0">
    <w:p w14:paraId="582C2958" w14:textId="77777777" w:rsidR="00507F66" w:rsidRDefault="00507F66" w:rsidP="0050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1C1B" w14:textId="77777777" w:rsidR="00507F66" w:rsidRDefault="00507F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507F66" w:rsidRPr="00507F66" w14:paraId="1925202F" w14:textId="77777777" w:rsidTr="00CA30D7">
      <w:trPr>
        <w:cantSplit/>
        <w:trHeight w:hRule="exact" w:val="338"/>
      </w:trPr>
      <w:tc>
        <w:tcPr>
          <w:tcW w:w="3856" w:type="dxa"/>
          <w:tcBorders>
            <w:bottom w:val="single" w:sz="4" w:space="0" w:color="000000"/>
          </w:tcBorders>
        </w:tcPr>
        <w:p w14:paraId="5ED160B0" w14:textId="77777777" w:rsidR="00507F66" w:rsidRPr="00507F66" w:rsidRDefault="00507F66" w:rsidP="00507F66">
          <w:pPr>
            <w:pStyle w:val="Encabezado"/>
          </w:pPr>
        </w:p>
      </w:tc>
      <w:tc>
        <w:tcPr>
          <w:tcW w:w="1361" w:type="dxa"/>
          <w:vMerge w:val="restart"/>
        </w:tcPr>
        <w:p w14:paraId="217717AE" w14:textId="77777777" w:rsidR="00507F66" w:rsidRPr="00507F66" w:rsidRDefault="00507F66" w:rsidP="00507F66">
          <w:pPr>
            <w:pStyle w:val="Encabezado"/>
          </w:pPr>
          <w:r w:rsidRPr="00507F66">
            <w:rPr>
              <w:noProof/>
            </w:rPr>
            <w:drawing>
              <wp:inline distT="0" distB="0" distL="0" distR="0" wp14:anchorId="6D13A140" wp14:editId="251E0325">
                <wp:extent cx="438150" cy="438150"/>
                <wp:effectExtent l="0" t="0" r="0" b="0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tcBorders>
            <w:bottom w:val="single" w:sz="4" w:space="0" w:color="000000"/>
          </w:tcBorders>
        </w:tcPr>
        <w:p w14:paraId="70D43C95" w14:textId="77777777" w:rsidR="00507F66" w:rsidRPr="00507F66" w:rsidRDefault="00507F66" w:rsidP="00507F66">
          <w:pPr>
            <w:pStyle w:val="Encabezado"/>
          </w:pPr>
        </w:p>
      </w:tc>
    </w:tr>
    <w:tr w:rsidR="00507F66" w:rsidRPr="00507F66" w14:paraId="3AD0888F" w14:textId="77777777" w:rsidTr="00CA30D7">
      <w:trPr>
        <w:cantSplit/>
        <w:trHeight w:val="337"/>
      </w:trPr>
      <w:tc>
        <w:tcPr>
          <w:tcW w:w="3856" w:type="dxa"/>
          <w:tcBorders>
            <w:top w:val="single" w:sz="4" w:space="0" w:color="000000"/>
          </w:tcBorders>
        </w:tcPr>
        <w:p w14:paraId="40506EE2" w14:textId="77777777" w:rsidR="00507F66" w:rsidRPr="00507F66" w:rsidRDefault="00507F66" w:rsidP="00507F66">
          <w:pPr>
            <w:pStyle w:val="Encabezado"/>
          </w:pPr>
        </w:p>
      </w:tc>
      <w:tc>
        <w:tcPr>
          <w:tcW w:w="1361" w:type="dxa"/>
          <w:vMerge/>
        </w:tcPr>
        <w:p w14:paraId="68BABCB3" w14:textId="77777777" w:rsidR="00507F66" w:rsidRPr="00507F66" w:rsidRDefault="00507F66" w:rsidP="00507F66">
          <w:pPr>
            <w:pStyle w:val="Encabezado"/>
          </w:pPr>
        </w:p>
      </w:tc>
      <w:tc>
        <w:tcPr>
          <w:tcW w:w="3856" w:type="dxa"/>
          <w:tcBorders>
            <w:top w:val="single" w:sz="4" w:space="0" w:color="000000"/>
          </w:tcBorders>
        </w:tcPr>
        <w:p w14:paraId="5EE60EBE" w14:textId="77777777" w:rsidR="00507F66" w:rsidRPr="00507F66" w:rsidRDefault="00507F66" w:rsidP="00507F66">
          <w:pPr>
            <w:pStyle w:val="Encabezado"/>
          </w:pPr>
        </w:p>
      </w:tc>
    </w:tr>
  </w:tbl>
  <w:p w14:paraId="1C7B0B5D" w14:textId="1D4935EF" w:rsidR="00507F66" w:rsidRDefault="00507F66">
    <w:pPr>
      <w:pStyle w:val="Encabezado"/>
    </w:pPr>
  </w:p>
  <w:p w14:paraId="10F04C0C" w14:textId="77777777" w:rsidR="00507F66" w:rsidRDefault="00507F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E50E" w14:textId="77777777" w:rsidR="00507F66" w:rsidRDefault="00507F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984"/>
    <w:multiLevelType w:val="hybridMultilevel"/>
    <w:tmpl w:val="8F82FC32"/>
    <w:lvl w:ilvl="0" w:tplc="5C548634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4D4"/>
    <w:multiLevelType w:val="hybridMultilevel"/>
    <w:tmpl w:val="C3E4B8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87F"/>
    <w:multiLevelType w:val="hybridMultilevel"/>
    <w:tmpl w:val="C60E8B54"/>
    <w:lvl w:ilvl="0" w:tplc="0C0A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2D2B"/>
    <w:multiLevelType w:val="hybridMultilevel"/>
    <w:tmpl w:val="F75C4C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36CBE"/>
    <w:multiLevelType w:val="hybridMultilevel"/>
    <w:tmpl w:val="1A3E26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4FBA"/>
    <w:multiLevelType w:val="hybridMultilevel"/>
    <w:tmpl w:val="B5BEE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F02A5"/>
    <w:multiLevelType w:val="multilevel"/>
    <w:tmpl w:val="464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814EE"/>
    <w:multiLevelType w:val="hybridMultilevel"/>
    <w:tmpl w:val="3CD2D2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0451F"/>
    <w:multiLevelType w:val="hybridMultilevel"/>
    <w:tmpl w:val="0E82FB62"/>
    <w:lvl w:ilvl="0" w:tplc="38928AC8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D5F33"/>
    <w:multiLevelType w:val="multilevel"/>
    <w:tmpl w:val="B55641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2733E"/>
    <w:multiLevelType w:val="hybridMultilevel"/>
    <w:tmpl w:val="CD6E7F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50704"/>
    <w:multiLevelType w:val="multilevel"/>
    <w:tmpl w:val="C60E8B54"/>
    <w:lvl w:ilvl="0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5140E"/>
    <w:multiLevelType w:val="hybridMultilevel"/>
    <w:tmpl w:val="E37ED3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2586">
    <w:abstractNumId w:val="9"/>
  </w:num>
  <w:num w:numId="2" w16cid:durableId="1667437249">
    <w:abstractNumId w:val="2"/>
  </w:num>
  <w:num w:numId="3" w16cid:durableId="1779329396">
    <w:abstractNumId w:val="3"/>
  </w:num>
  <w:num w:numId="4" w16cid:durableId="1844663654">
    <w:abstractNumId w:val="12"/>
  </w:num>
  <w:num w:numId="5" w16cid:durableId="1285039176">
    <w:abstractNumId w:val="7"/>
  </w:num>
  <w:num w:numId="6" w16cid:durableId="319235649">
    <w:abstractNumId w:val="0"/>
  </w:num>
  <w:num w:numId="7" w16cid:durableId="1637251639">
    <w:abstractNumId w:val="11"/>
  </w:num>
  <w:num w:numId="8" w16cid:durableId="1190071148">
    <w:abstractNumId w:val="8"/>
  </w:num>
  <w:num w:numId="9" w16cid:durableId="2131777120">
    <w:abstractNumId w:val="1"/>
  </w:num>
  <w:num w:numId="10" w16cid:durableId="1367802184">
    <w:abstractNumId w:val="6"/>
  </w:num>
  <w:num w:numId="11" w16cid:durableId="767584084">
    <w:abstractNumId w:val="10"/>
  </w:num>
  <w:num w:numId="12" w16cid:durableId="1464614246">
    <w:abstractNumId w:val="5"/>
  </w:num>
  <w:num w:numId="13" w16cid:durableId="64389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30"/>
    <w:rsid w:val="00010F95"/>
    <w:rsid w:val="00027549"/>
    <w:rsid w:val="00053984"/>
    <w:rsid w:val="00060B61"/>
    <w:rsid w:val="000B71CE"/>
    <w:rsid w:val="000D2448"/>
    <w:rsid w:val="000D385A"/>
    <w:rsid w:val="001316BB"/>
    <w:rsid w:val="00131B33"/>
    <w:rsid w:val="0013254A"/>
    <w:rsid w:val="001423C9"/>
    <w:rsid w:val="001644F9"/>
    <w:rsid w:val="00184AA2"/>
    <w:rsid w:val="001858CD"/>
    <w:rsid w:val="001B7A22"/>
    <w:rsid w:val="001D4948"/>
    <w:rsid w:val="001F24A3"/>
    <w:rsid w:val="00223B78"/>
    <w:rsid w:val="002264CF"/>
    <w:rsid w:val="0025722F"/>
    <w:rsid w:val="002714B3"/>
    <w:rsid w:val="00290E2C"/>
    <w:rsid w:val="002A5DFF"/>
    <w:rsid w:val="002C3E6F"/>
    <w:rsid w:val="002D2746"/>
    <w:rsid w:val="002F2496"/>
    <w:rsid w:val="0032696E"/>
    <w:rsid w:val="0037031E"/>
    <w:rsid w:val="00387E0A"/>
    <w:rsid w:val="003A0BCF"/>
    <w:rsid w:val="003C0A5F"/>
    <w:rsid w:val="003C16DC"/>
    <w:rsid w:val="0043131B"/>
    <w:rsid w:val="004346E3"/>
    <w:rsid w:val="00447CC3"/>
    <w:rsid w:val="0047010E"/>
    <w:rsid w:val="004857F6"/>
    <w:rsid w:val="004F1BE0"/>
    <w:rsid w:val="004F455C"/>
    <w:rsid w:val="00507F66"/>
    <w:rsid w:val="00532FB3"/>
    <w:rsid w:val="005404E5"/>
    <w:rsid w:val="00543A4C"/>
    <w:rsid w:val="00544688"/>
    <w:rsid w:val="0056535B"/>
    <w:rsid w:val="005B1A39"/>
    <w:rsid w:val="005E04D2"/>
    <w:rsid w:val="005E182D"/>
    <w:rsid w:val="005E1E91"/>
    <w:rsid w:val="005F6140"/>
    <w:rsid w:val="00623CED"/>
    <w:rsid w:val="0064796F"/>
    <w:rsid w:val="006C0A5E"/>
    <w:rsid w:val="006C2F3A"/>
    <w:rsid w:val="006C4F1F"/>
    <w:rsid w:val="006C6C7C"/>
    <w:rsid w:val="006E32C0"/>
    <w:rsid w:val="00707D46"/>
    <w:rsid w:val="00710FCD"/>
    <w:rsid w:val="00716064"/>
    <w:rsid w:val="0077236E"/>
    <w:rsid w:val="007A064D"/>
    <w:rsid w:val="007C1460"/>
    <w:rsid w:val="00816115"/>
    <w:rsid w:val="00817C98"/>
    <w:rsid w:val="00826364"/>
    <w:rsid w:val="00843A35"/>
    <w:rsid w:val="0089491B"/>
    <w:rsid w:val="008B0854"/>
    <w:rsid w:val="008B6C40"/>
    <w:rsid w:val="008C61D0"/>
    <w:rsid w:val="008D3780"/>
    <w:rsid w:val="008E3F0E"/>
    <w:rsid w:val="00974D03"/>
    <w:rsid w:val="00982D07"/>
    <w:rsid w:val="00984209"/>
    <w:rsid w:val="009A7F67"/>
    <w:rsid w:val="009C763A"/>
    <w:rsid w:val="009F1177"/>
    <w:rsid w:val="00A432BB"/>
    <w:rsid w:val="00A97E06"/>
    <w:rsid w:val="00AD1B7C"/>
    <w:rsid w:val="00AD6030"/>
    <w:rsid w:val="00B0750B"/>
    <w:rsid w:val="00B11BED"/>
    <w:rsid w:val="00B26BA2"/>
    <w:rsid w:val="00B26BC2"/>
    <w:rsid w:val="00B34AED"/>
    <w:rsid w:val="00B45B83"/>
    <w:rsid w:val="00B5192D"/>
    <w:rsid w:val="00B70447"/>
    <w:rsid w:val="00BF6B5B"/>
    <w:rsid w:val="00C01A5A"/>
    <w:rsid w:val="00C22393"/>
    <w:rsid w:val="00C277CB"/>
    <w:rsid w:val="00C4316C"/>
    <w:rsid w:val="00C52B72"/>
    <w:rsid w:val="00C71A3B"/>
    <w:rsid w:val="00C83229"/>
    <w:rsid w:val="00C93922"/>
    <w:rsid w:val="00CA17AD"/>
    <w:rsid w:val="00CD3438"/>
    <w:rsid w:val="00CD78D3"/>
    <w:rsid w:val="00D15326"/>
    <w:rsid w:val="00D17E73"/>
    <w:rsid w:val="00D21F05"/>
    <w:rsid w:val="00D27055"/>
    <w:rsid w:val="00D31354"/>
    <w:rsid w:val="00D410C7"/>
    <w:rsid w:val="00D538D0"/>
    <w:rsid w:val="00D6258F"/>
    <w:rsid w:val="00D76753"/>
    <w:rsid w:val="00D93A0D"/>
    <w:rsid w:val="00DD056D"/>
    <w:rsid w:val="00E24368"/>
    <w:rsid w:val="00E2448B"/>
    <w:rsid w:val="00E93B38"/>
    <w:rsid w:val="00E94AE6"/>
    <w:rsid w:val="00EA2141"/>
    <w:rsid w:val="00EA339B"/>
    <w:rsid w:val="00EB2361"/>
    <w:rsid w:val="00EC6B9A"/>
    <w:rsid w:val="00ED1704"/>
    <w:rsid w:val="00EE6499"/>
    <w:rsid w:val="00EF360B"/>
    <w:rsid w:val="00EF44E0"/>
    <w:rsid w:val="00EF5E38"/>
    <w:rsid w:val="00F025DA"/>
    <w:rsid w:val="00F13725"/>
    <w:rsid w:val="00F2475B"/>
    <w:rsid w:val="00F25918"/>
    <w:rsid w:val="00F60E66"/>
    <w:rsid w:val="00F830BD"/>
    <w:rsid w:val="00FF3E0D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B6BB"/>
  <w15:chartTrackingRefBased/>
  <w15:docId w15:val="{A4EFE93E-F276-409B-83A5-39715A9A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F6"/>
    <w:pPr>
      <w:suppressAutoHyphens/>
      <w:spacing w:after="0" w:line="240" w:lineRule="auto"/>
    </w:pPr>
    <w:rPr>
      <w:rFonts w:ascii="Times New Roman" w:eastAsia="Times New Roman" w:hAnsi="Times New Roman" w:cs="Arial"/>
      <w:kern w:val="0"/>
      <w:sz w:val="20"/>
      <w:szCs w:val="20"/>
      <w:lang w:eastAsia="or-IN" w:bidi="or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6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6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6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6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60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0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0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60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6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6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6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60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60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60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0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0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60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6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6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6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60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60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60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6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60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60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07F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7F66"/>
  </w:style>
  <w:style w:type="paragraph" w:styleId="Piedepgina">
    <w:name w:val="footer"/>
    <w:basedOn w:val="Normal"/>
    <w:link w:val="PiedepginaCar"/>
    <w:uiPriority w:val="99"/>
    <w:unhideWhenUsed/>
    <w:rsid w:val="00507F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F66"/>
  </w:style>
  <w:style w:type="character" w:styleId="Hipervnculo">
    <w:name w:val="Hyperlink"/>
    <w:basedOn w:val="Fuentedeprrafopredeter"/>
    <w:uiPriority w:val="99"/>
    <w:unhideWhenUsed/>
    <w:rsid w:val="00C223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2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8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0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6</Pages>
  <Words>2167</Words>
  <Characters>11922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Alday Galan, Eduardo</dc:creator>
  <cp:keywords/>
  <dc:description/>
  <cp:lastModifiedBy>Alday Galan, Eduardo</cp:lastModifiedBy>
  <cp:revision>67</cp:revision>
  <dcterms:created xsi:type="dcterms:W3CDTF">2026-02-04T07:29:00Z</dcterms:created>
  <dcterms:modified xsi:type="dcterms:W3CDTF">2026-06-09T09:10:00Z</dcterms:modified>
</cp:coreProperties>
</file>