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A9B3" w14:textId="77777777" w:rsidR="00EB2361" w:rsidRDefault="00EB2361" w:rsidP="00EB2361">
      <w:pPr>
        <w:tabs>
          <w:tab w:val="right" w:pos="8789"/>
        </w:tabs>
        <w:suppressAutoHyphens w:val="0"/>
        <w:spacing w:after="240"/>
        <w:jc w:val="center"/>
        <w:rPr>
          <w:b/>
          <w:sz w:val="22"/>
          <w:szCs w:val="22"/>
          <w:u w:val="single"/>
          <w:lang w:eastAsia="es-ES"/>
        </w:rPr>
      </w:pPr>
    </w:p>
    <w:p w14:paraId="58F423F4" w14:textId="2C92211A" w:rsidR="006C0A5E" w:rsidRPr="00104054" w:rsidRDefault="006C0A5E" w:rsidP="0032696E">
      <w:pPr>
        <w:tabs>
          <w:tab w:val="right" w:pos="8789"/>
        </w:tabs>
        <w:suppressAutoHyphens w:val="0"/>
        <w:spacing w:after="480"/>
        <w:jc w:val="center"/>
        <w:rPr>
          <w:b/>
          <w:sz w:val="22"/>
          <w:szCs w:val="22"/>
          <w:u w:val="single"/>
          <w:lang w:eastAsia="es-ES"/>
        </w:rPr>
      </w:pPr>
      <w:r w:rsidRPr="00104054">
        <w:rPr>
          <w:b/>
          <w:sz w:val="22"/>
          <w:szCs w:val="22"/>
          <w:u w:val="single"/>
          <w:lang w:eastAsia="es-ES"/>
        </w:rPr>
        <w:t>ANEXO</w:t>
      </w:r>
    </w:p>
    <w:p w14:paraId="291423E1" w14:textId="0C5FEEAB"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 xml:space="preserve">Bases reguladoras generales de las </w:t>
      </w:r>
      <w:bookmarkStart w:id="0" w:name="_Hlk221558886"/>
      <w:r w:rsidRPr="00104054">
        <w:rPr>
          <w:rFonts w:cs="Times New Roman"/>
          <w:b/>
          <w:sz w:val="22"/>
          <w:szCs w:val="22"/>
          <w:lang w:eastAsia="es-ES" w:bidi="ar-SA"/>
        </w:rPr>
        <w:t xml:space="preserve">subvenciones </w:t>
      </w:r>
      <w:r>
        <w:rPr>
          <w:rFonts w:cs="Times New Roman"/>
          <w:b/>
          <w:sz w:val="22"/>
          <w:szCs w:val="22"/>
          <w:lang w:eastAsia="es-ES" w:bidi="ar-SA"/>
        </w:rPr>
        <w:t xml:space="preserve">para </w:t>
      </w:r>
      <w:r w:rsidR="0047010E">
        <w:rPr>
          <w:rFonts w:cs="Times New Roman"/>
          <w:b/>
          <w:sz w:val="22"/>
          <w:szCs w:val="22"/>
          <w:lang w:eastAsia="es-ES" w:bidi="ar-SA"/>
        </w:rPr>
        <w:t xml:space="preserve">la </w:t>
      </w:r>
      <w:bookmarkEnd w:id="0"/>
      <w:r w:rsidR="0047010E">
        <w:rPr>
          <w:rFonts w:cs="Times New Roman"/>
          <w:b/>
          <w:sz w:val="22"/>
          <w:szCs w:val="22"/>
          <w:lang w:eastAsia="es-ES" w:bidi="ar-SA"/>
        </w:rPr>
        <w:t xml:space="preserve">adhesión a comunidades energéticas </w:t>
      </w:r>
      <w:r w:rsidR="00FF61F3">
        <w:rPr>
          <w:rFonts w:cs="Times New Roman"/>
          <w:b/>
          <w:sz w:val="22"/>
          <w:szCs w:val="22"/>
          <w:lang w:eastAsia="es-ES" w:bidi="ar-SA"/>
        </w:rPr>
        <w:t>por parte de</w:t>
      </w:r>
      <w:r w:rsidR="0047010E">
        <w:rPr>
          <w:rFonts w:cs="Times New Roman"/>
          <w:b/>
          <w:sz w:val="22"/>
          <w:szCs w:val="22"/>
          <w:lang w:eastAsia="es-ES" w:bidi="ar-SA"/>
        </w:rPr>
        <w:t xml:space="preserve"> entidades locales y personas físicas</w:t>
      </w:r>
      <w:r w:rsidRPr="00104054">
        <w:rPr>
          <w:rFonts w:cs="Times New Roman"/>
          <w:b/>
          <w:sz w:val="22"/>
          <w:szCs w:val="22"/>
          <w:lang w:eastAsia="es-ES" w:bidi="ar-SA"/>
        </w:rPr>
        <w:t>.</w:t>
      </w:r>
    </w:p>
    <w:p w14:paraId="04B13939" w14:textId="77777777"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 Objeto.</w:t>
      </w:r>
    </w:p>
    <w:p w14:paraId="1DECE1F4" w14:textId="647C18E8" w:rsidR="006C0A5E" w:rsidRPr="0089491B" w:rsidRDefault="006C0A5E" w:rsidP="006C0A5E">
      <w:pPr>
        <w:suppressAutoHyphens w:val="0"/>
        <w:spacing w:after="240"/>
        <w:jc w:val="both"/>
        <w:rPr>
          <w:rFonts w:cs="Times New Roman"/>
          <w:color w:val="000000" w:themeColor="text1"/>
          <w:sz w:val="22"/>
          <w:szCs w:val="22"/>
          <w:lang w:eastAsia="es-ES" w:bidi="ar-SA"/>
        </w:rPr>
      </w:pPr>
      <w:r w:rsidRPr="00104054">
        <w:rPr>
          <w:rFonts w:cs="Times New Roman"/>
          <w:sz w:val="22"/>
          <w:szCs w:val="22"/>
          <w:lang w:eastAsia="es-ES" w:bidi="ar-SA"/>
        </w:rPr>
        <w:t xml:space="preserve">La subvención tiene por objeto la financiación </w:t>
      </w:r>
      <w:r w:rsidR="0089491B">
        <w:rPr>
          <w:rFonts w:cs="Times New Roman"/>
          <w:sz w:val="22"/>
          <w:szCs w:val="22"/>
          <w:lang w:eastAsia="es-ES" w:bidi="ar-SA"/>
        </w:rPr>
        <w:t xml:space="preserve">de </w:t>
      </w:r>
      <w:r w:rsidR="0089491B" w:rsidRPr="0089491B">
        <w:rPr>
          <w:rFonts w:cs="Times New Roman"/>
          <w:color w:val="000000" w:themeColor="text1"/>
          <w:sz w:val="22"/>
          <w:szCs w:val="22"/>
          <w:lang w:eastAsia="es-ES" w:bidi="ar-SA"/>
        </w:rPr>
        <w:t xml:space="preserve">la adhesión a comunidades energéticas </w:t>
      </w:r>
      <w:r w:rsidR="00FF61F3">
        <w:rPr>
          <w:rFonts w:cs="Times New Roman"/>
          <w:color w:val="000000" w:themeColor="text1"/>
          <w:sz w:val="22"/>
          <w:szCs w:val="22"/>
          <w:lang w:eastAsia="es-ES" w:bidi="ar-SA"/>
        </w:rPr>
        <w:t>por parte de</w:t>
      </w:r>
      <w:r w:rsidR="0089491B" w:rsidRPr="0089491B">
        <w:rPr>
          <w:rFonts w:cs="Times New Roman"/>
          <w:color w:val="000000" w:themeColor="text1"/>
          <w:sz w:val="22"/>
          <w:szCs w:val="22"/>
          <w:lang w:eastAsia="es-ES" w:bidi="ar-SA"/>
        </w:rPr>
        <w:t xml:space="preserve"> entidades locales y personas físicas</w:t>
      </w:r>
      <w:r w:rsidRPr="0089491B">
        <w:rPr>
          <w:rFonts w:cs="Times New Roman"/>
          <w:color w:val="000000" w:themeColor="text1"/>
          <w:sz w:val="22"/>
          <w:szCs w:val="22"/>
          <w:lang w:eastAsia="es-ES" w:bidi="ar-SA"/>
        </w:rPr>
        <w:t>.</w:t>
      </w:r>
    </w:p>
    <w:p w14:paraId="72B33FCD" w14:textId="2C2F08B4" w:rsidR="0089491B" w:rsidRDefault="0089491B" w:rsidP="006C0A5E">
      <w:pPr>
        <w:suppressAutoHyphens w:val="0"/>
        <w:spacing w:after="240"/>
        <w:jc w:val="both"/>
        <w:rPr>
          <w:rFonts w:cs="Times New Roman"/>
          <w:sz w:val="22"/>
          <w:szCs w:val="22"/>
          <w:lang w:eastAsia="es-ES" w:bidi="ar-SA"/>
        </w:rPr>
      </w:pPr>
      <w:r>
        <w:rPr>
          <w:rFonts w:cs="Times New Roman"/>
          <w:sz w:val="22"/>
          <w:szCs w:val="22"/>
          <w:lang w:eastAsia="es-ES" w:bidi="ar-SA"/>
        </w:rPr>
        <w:t xml:space="preserve">Se definen </w:t>
      </w:r>
      <w:r w:rsidR="00710FCD">
        <w:rPr>
          <w:rFonts w:cs="Times New Roman"/>
          <w:sz w:val="22"/>
          <w:szCs w:val="22"/>
          <w:lang w:eastAsia="es-ES" w:bidi="ar-SA"/>
        </w:rPr>
        <w:t>este tipo de entidades como:</w:t>
      </w:r>
    </w:p>
    <w:p w14:paraId="22D5A4F4" w14:textId="7EADD225" w:rsidR="00710FCD" w:rsidRDefault="00290E2C" w:rsidP="006C0A5E">
      <w:pPr>
        <w:suppressAutoHyphens w:val="0"/>
        <w:spacing w:after="240"/>
        <w:jc w:val="both"/>
        <w:rPr>
          <w:rFonts w:cs="Times New Roman"/>
          <w:sz w:val="22"/>
          <w:szCs w:val="22"/>
          <w:lang w:eastAsia="es-ES" w:bidi="ar-SA"/>
        </w:rPr>
      </w:pPr>
      <w:r>
        <w:rPr>
          <w:rFonts w:cs="Times New Roman"/>
          <w:sz w:val="22"/>
          <w:szCs w:val="22"/>
          <w:lang w:eastAsia="es-ES" w:bidi="ar-SA"/>
        </w:rPr>
        <w:t xml:space="preserve">a) </w:t>
      </w:r>
      <w:r w:rsidRPr="00290E2C">
        <w:rPr>
          <w:rFonts w:cs="Times New Roman"/>
          <w:sz w:val="22"/>
          <w:szCs w:val="22"/>
          <w:lang w:eastAsia="es-ES" w:bidi="ar-SA"/>
        </w:rPr>
        <w:t>Comunidades de Energías Renovables: de acuerdo con el artículo 6.1 j) de la Ley 24/2013, de 26 de diciembre, del Sector Eléctrico, son entidades jurídicas basadas en la participación abierta y voluntaria, autónomas y efectivamente controladas por personas socias o miembros que estén situados en las proximidades de los proyectos de energías renovables que sean propiedad de dichas entidades jurídicas y que estas hayan desarrollado. Además, los socios o miembros de estas entidades jurídicas deben ser personas físicas, pymes o entidades locales</w:t>
      </w:r>
      <w:r w:rsidR="00710FCD">
        <w:rPr>
          <w:rFonts w:cs="Times New Roman"/>
          <w:sz w:val="22"/>
          <w:szCs w:val="22"/>
          <w:lang w:eastAsia="es-ES" w:bidi="ar-SA"/>
        </w:rPr>
        <w:t xml:space="preserve">, </w:t>
      </w:r>
      <w:r w:rsidRPr="00290E2C">
        <w:rPr>
          <w:rFonts w:cs="Times New Roman"/>
          <w:sz w:val="22"/>
          <w:szCs w:val="22"/>
          <w:lang w:eastAsia="es-ES" w:bidi="ar-SA"/>
        </w:rPr>
        <w:t xml:space="preserve">y su finalidad primordial debe ser proporcionar beneficios medioambientales, económicos o sociales a sus socios o miembros o a las zonas locales donde operan, en lugar de ganancias financieras. </w:t>
      </w:r>
    </w:p>
    <w:p w14:paraId="1855D1DD" w14:textId="758FFBC3" w:rsidR="00290E2C" w:rsidRDefault="00710FCD" w:rsidP="006C0A5E">
      <w:pPr>
        <w:suppressAutoHyphens w:val="0"/>
        <w:spacing w:after="240"/>
        <w:jc w:val="both"/>
        <w:rPr>
          <w:rFonts w:cs="Times New Roman"/>
          <w:sz w:val="22"/>
          <w:szCs w:val="22"/>
          <w:lang w:eastAsia="es-ES" w:bidi="ar-SA"/>
        </w:rPr>
      </w:pPr>
      <w:r>
        <w:rPr>
          <w:rFonts w:cs="Times New Roman"/>
          <w:sz w:val="22"/>
          <w:szCs w:val="22"/>
          <w:lang w:eastAsia="es-ES" w:bidi="ar-SA"/>
        </w:rPr>
        <w:t>b)</w:t>
      </w:r>
      <w:r w:rsidR="00290E2C" w:rsidRPr="00290E2C">
        <w:rPr>
          <w:rFonts w:cs="Times New Roman"/>
          <w:sz w:val="22"/>
          <w:szCs w:val="22"/>
          <w:lang w:eastAsia="es-ES" w:bidi="ar-SA"/>
        </w:rPr>
        <w:t xml:space="preserve"> Comunidades Ciudadanas de Energía: de acuerdo con el artículo 6.1 k) de la Ley 24/2013, de 26 de diciembre, son entidades jurídicas basadas en la participación voluntaria y abierta, cuyo control efectivo lo ejercen socios o miembros que sean personas físicas, autoridades locales -incluidos los municipios-, o pequeñas empresas, y cuyo objetivo principal consiste en ofrecer beneficios medioambientales, económicos o sociales a sus miembros, socios o a la localidad en la que desarrolla su actividad, más que generar una rentabilidad financiera</w:t>
      </w:r>
      <w:r w:rsidR="00C22393">
        <w:rPr>
          <w:rFonts w:cs="Times New Roman"/>
          <w:sz w:val="22"/>
          <w:szCs w:val="22"/>
          <w:lang w:eastAsia="es-ES" w:bidi="ar-SA"/>
        </w:rPr>
        <w:t>.</w:t>
      </w:r>
    </w:p>
    <w:p w14:paraId="1B0E5893" w14:textId="55D327DD" w:rsidR="00C22393" w:rsidRDefault="00C22393" w:rsidP="006C0A5E">
      <w:pPr>
        <w:suppressAutoHyphens w:val="0"/>
        <w:spacing w:after="240"/>
        <w:jc w:val="both"/>
        <w:rPr>
          <w:rFonts w:cs="Times New Roman"/>
          <w:sz w:val="22"/>
          <w:szCs w:val="22"/>
          <w:lang w:eastAsia="es-ES" w:bidi="ar-SA"/>
        </w:rPr>
      </w:pPr>
      <w:r>
        <w:rPr>
          <w:rFonts w:cs="Times New Roman"/>
          <w:sz w:val="22"/>
          <w:szCs w:val="22"/>
          <w:lang w:eastAsia="es-ES" w:bidi="ar-SA"/>
        </w:rPr>
        <w:t>Las actividades que podrán desarrollar</w:t>
      </w:r>
      <w:r w:rsidR="00223B78">
        <w:rPr>
          <w:rFonts w:cs="Times New Roman"/>
          <w:sz w:val="22"/>
          <w:szCs w:val="22"/>
          <w:lang w:eastAsia="es-ES" w:bidi="ar-SA"/>
        </w:rPr>
        <w:t xml:space="preserve"> las citadas entidades</w:t>
      </w:r>
      <w:r>
        <w:rPr>
          <w:rFonts w:cs="Times New Roman"/>
          <w:sz w:val="22"/>
          <w:szCs w:val="22"/>
          <w:lang w:eastAsia="es-ES" w:bidi="ar-SA"/>
        </w:rPr>
        <w:t xml:space="preserve"> son:</w:t>
      </w:r>
    </w:p>
    <w:p w14:paraId="304DF2EB" w14:textId="77777777" w:rsidR="00C22393" w:rsidRPr="00C22393" w:rsidRDefault="00C22393" w:rsidP="00C22393">
      <w:pPr>
        <w:pStyle w:val="Prrafodelista"/>
        <w:numPr>
          <w:ilvl w:val="0"/>
          <w:numId w:val="12"/>
        </w:numPr>
        <w:tabs>
          <w:tab w:val="num" w:pos="720"/>
        </w:tabs>
        <w:suppressAutoHyphens w:val="0"/>
        <w:spacing w:after="240"/>
        <w:jc w:val="both"/>
        <w:rPr>
          <w:rFonts w:cs="Times New Roman"/>
          <w:sz w:val="22"/>
          <w:szCs w:val="22"/>
          <w:lang w:eastAsia="es-ES" w:bidi="ar-SA"/>
        </w:rPr>
      </w:pPr>
      <w:r w:rsidRPr="00C22393">
        <w:rPr>
          <w:rFonts w:cs="Times New Roman"/>
          <w:sz w:val="22"/>
          <w:szCs w:val="22"/>
          <w:lang w:eastAsia="es-ES" w:bidi="ar-SA"/>
        </w:rPr>
        <w:t>Generación de energía que proceda de fuentes renovables.</w:t>
      </w:r>
    </w:p>
    <w:p w14:paraId="396CDD17" w14:textId="77777777" w:rsidR="00C22393" w:rsidRPr="00C22393" w:rsidRDefault="00C22393" w:rsidP="00C22393">
      <w:pPr>
        <w:pStyle w:val="Prrafodelista"/>
        <w:numPr>
          <w:ilvl w:val="0"/>
          <w:numId w:val="12"/>
        </w:numPr>
        <w:tabs>
          <w:tab w:val="num" w:pos="720"/>
        </w:tabs>
        <w:suppressAutoHyphens w:val="0"/>
        <w:spacing w:after="240"/>
        <w:jc w:val="both"/>
        <w:rPr>
          <w:rFonts w:cs="Times New Roman"/>
          <w:sz w:val="22"/>
          <w:szCs w:val="22"/>
          <w:lang w:eastAsia="es-ES" w:bidi="ar-SA"/>
        </w:rPr>
      </w:pPr>
      <w:r w:rsidRPr="00C22393">
        <w:rPr>
          <w:rFonts w:cs="Times New Roman"/>
          <w:sz w:val="22"/>
          <w:szCs w:val="22"/>
          <w:lang w:eastAsia="es-ES" w:bidi="ar-SA"/>
        </w:rPr>
        <w:t>Proporcionar servicios de </w:t>
      </w:r>
      <w:hyperlink r:id="rId7" w:tooltip="Blog IDAE La energía de Luzia" w:history="1">
        <w:r w:rsidRPr="00C22393">
          <w:rPr>
            <w:rFonts w:cs="Times New Roman"/>
            <w:sz w:val="22"/>
            <w:szCs w:val="22"/>
            <w:lang w:eastAsia="es-ES" w:bidi="ar-SA"/>
          </w:rPr>
          <w:t>eficiencia energética</w:t>
        </w:r>
      </w:hyperlink>
      <w:r w:rsidRPr="00C22393">
        <w:rPr>
          <w:rFonts w:cs="Times New Roman"/>
          <w:sz w:val="22"/>
          <w:szCs w:val="22"/>
          <w:lang w:eastAsia="es-ES" w:bidi="ar-SA"/>
        </w:rPr>
        <w:t> (incluyendo, por ejemplo, renovaciones de edificios).</w:t>
      </w:r>
    </w:p>
    <w:p w14:paraId="206A8C48" w14:textId="77777777" w:rsidR="00C22393" w:rsidRPr="00C22393" w:rsidRDefault="00C22393" w:rsidP="00C22393">
      <w:pPr>
        <w:pStyle w:val="Prrafodelista"/>
        <w:numPr>
          <w:ilvl w:val="0"/>
          <w:numId w:val="12"/>
        </w:numPr>
        <w:tabs>
          <w:tab w:val="num" w:pos="720"/>
        </w:tabs>
        <w:suppressAutoHyphens w:val="0"/>
        <w:spacing w:after="240"/>
        <w:jc w:val="both"/>
        <w:rPr>
          <w:rFonts w:cs="Times New Roman"/>
          <w:sz w:val="22"/>
          <w:szCs w:val="22"/>
          <w:lang w:eastAsia="es-ES" w:bidi="ar-SA"/>
        </w:rPr>
      </w:pPr>
      <w:r w:rsidRPr="00C22393">
        <w:rPr>
          <w:rFonts w:cs="Times New Roman"/>
          <w:sz w:val="22"/>
          <w:szCs w:val="22"/>
          <w:lang w:eastAsia="es-ES" w:bidi="ar-SA"/>
        </w:rPr>
        <w:t>Suministro, consumo, agregación y almacenamiento de energía y potencialmente distribución.</w:t>
      </w:r>
    </w:p>
    <w:p w14:paraId="3294603A" w14:textId="77777777" w:rsidR="00C22393" w:rsidRPr="00C22393" w:rsidRDefault="00C22393" w:rsidP="00C22393">
      <w:pPr>
        <w:pStyle w:val="Prrafodelista"/>
        <w:numPr>
          <w:ilvl w:val="0"/>
          <w:numId w:val="12"/>
        </w:numPr>
        <w:tabs>
          <w:tab w:val="num" w:pos="720"/>
        </w:tabs>
        <w:suppressAutoHyphens w:val="0"/>
        <w:spacing w:after="240"/>
        <w:jc w:val="both"/>
        <w:rPr>
          <w:rFonts w:cs="Times New Roman"/>
          <w:sz w:val="22"/>
          <w:szCs w:val="22"/>
          <w:lang w:eastAsia="es-ES" w:bidi="ar-SA"/>
        </w:rPr>
      </w:pPr>
      <w:r w:rsidRPr="00C22393">
        <w:rPr>
          <w:rFonts w:cs="Times New Roman"/>
          <w:sz w:val="22"/>
          <w:szCs w:val="22"/>
          <w:lang w:eastAsia="es-ES" w:bidi="ar-SA"/>
        </w:rPr>
        <w:t>Prestación de servicios de </w:t>
      </w:r>
      <w:hyperlink r:id="rId8" w:tooltip="Blog IDAE La energía de Luzia" w:history="1">
        <w:r w:rsidRPr="00C22393">
          <w:rPr>
            <w:rFonts w:cs="Times New Roman"/>
            <w:sz w:val="22"/>
            <w:szCs w:val="22"/>
            <w:lang w:eastAsia="es-ES" w:bidi="ar-SA"/>
          </w:rPr>
          <w:t>recarga de vehículos eléctricos</w:t>
        </w:r>
      </w:hyperlink>
      <w:r w:rsidRPr="00C22393">
        <w:rPr>
          <w:rFonts w:cs="Times New Roman"/>
          <w:sz w:val="22"/>
          <w:szCs w:val="22"/>
          <w:lang w:eastAsia="es-ES" w:bidi="ar-SA"/>
        </w:rPr>
        <w:t> o de otros servicios energéticos.</w:t>
      </w:r>
    </w:p>
    <w:p w14:paraId="23A5017E" w14:textId="77777777"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2. Líneas de subvención.</w:t>
      </w:r>
    </w:p>
    <w:p w14:paraId="0C370CED" w14:textId="53FD6F3A" w:rsidR="006C0A5E" w:rsidRDefault="006C0A5E" w:rsidP="006C0A5E">
      <w:pPr>
        <w:suppressAutoHyphens w:val="0"/>
        <w:spacing w:after="240"/>
        <w:jc w:val="both"/>
        <w:rPr>
          <w:rFonts w:cs="Times New Roman"/>
          <w:sz w:val="22"/>
          <w:szCs w:val="22"/>
          <w:lang w:eastAsia="es-ES" w:bidi="ar-SA"/>
        </w:rPr>
      </w:pPr>
      <w:r>
        <w:rPr>
          <w:rFonts w:cs="Times New Roman"/>
          <w:sz w:val="22"/>
          <w:szCs w:val="22"/>
          <w:lang w:eastAsia="es-ES" w:bidi="ar-SA"/>
        </w:rPr>
        <w:t xml:space="preserve">La convocatoria anual determinará las líneas de </w:t>
      </w:r>
      <w:r w:rsidRPr="0089491B">
        <w:rPr>
          <w:rFonts w:cs="Times New Roman"/>
          <w:color w:val="000000" w:themeColor="text1"/>
          <w:sz w:val="22"/>
          <w:szCs w:val="22"/>
          <w:lang w:eastAsia="es-ES" w:bidi="ar-SA"/>
        </w:rPr>
        <w:t xml:space="preserve">subvención, cuyo objeto será </w:t>
      </w:r>
      <w:r w:rsidR="0089491B" w:rsidRPr="0089491B">
        <w:rPr>
          <w:rFonts w:cs="Times New Roman"/>
          <w:color w:val="000000" w:themeColor="text1"/>
          <w:sz w:val="22"/>
          <w:szCs w:val="22"/>
          <w:lang w:eastAsia="es-ES" w:bidi="ar-SA"/>
        </w:rPr>
        <w:t xml:space="preserve">la adhesión a comunidades energéticas </w:t>
      </w:r>
      <w:r w:rsidR="0089491B" w:rsidRPr="00EB2361">
        <w:rPr>
          <w:rFonts w:cs="Times New Roman"/>
          <w:sz w:val="22"/>
          <w:szCs w:val="22"/>
          <w:lang w:eastAsia="es-ES" w:bidi="ar-SA"/>
        </w:rPr>
        <w:t>para</w:t>
      </w:r>
      <w:r w:rsidR="00E2448B" w:rsidRPr="00EB2361">
        <w:rPr>
          <w:rFonts w:cs="Times New Roman"/>
          <w:sz w:val="22"/>
          <w:szCs w:val="22"/>
          <w:lang w:eastAsia="es-ES" w:bidi="ar-SA"/>
        </w:rPr>
        <w:t xml:space="preserve"> los concejos de Álava </w:t>
      </w:r>
      <w:r w:rsidR="0089491B" w:rsidRPr="00EB2361">
        <w:rPr>
          <w:rFonts w:cs="Times New Roman"/>
          <w:sz w:val="22"/>
          <w:szCs w:val="22"/>
          <w:lang w:eastAsia="es-ES" w:bidi="ar-SA"/>
        </w:rPr>
        <w:t xml:space="preserve">y personas </w:t>
      </w:r>
      <w:r w:rsidR="0089491B" w:rsidRPr="0089491B">
        <w:rPr>
          <w:rFonts w:cs="Times New Roman"/>
          <w:color w:val="000000" w:themeColor="text1"/>
          <w:sz w:val="22"/>
          <w:szCs w:val="22"/>
          <w:lang w:eastAsia="es-ES" w:bidi="ar-SA"/>
        </w:rPr>
        <w:t>físicas</w:t>
      </w:r>
      <w:r w:rsidRPr="0089491B">
        <w:rPr>
          <w:rFonts w:cs="Times New Roman"/>
          <w:color w:val="000000" w:themeColor="text1"/>
          <w:sz w:val="22"/>
          <w:szCs w:val="22"/>
          <w:lang w:eastAsia="es-ES" w:bidi="ar-SA"/>
        </w:rPr>
        <w:t xml:space="preserve">. </w:t>
      </w:r>
    </w:p>
    <w:p w14:paraId="41617F09" w14:textId="77777777"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3. Actuaciones subvencionables.</w:t>
      </w:r>
    </w:p>
    <w:p w14:paraId="4458F60E" w14:textId="4951AB9D" w:rsidR="006C0A5E" w:rsidRDefault="006C0A5E" w:rsidP="006C0A5E">
      <w:pPr>
        <w:suppressAutoHyphens w:val="0"/>
        <w:spacing w:after="240"/>
        <w:jc w:val="both"/>
        <w:rPr>
          <w:rFonts w:cs="Times New Roman"/>
          <w:sz w:val="22"/>
          <w:szCs w:val="22"/>
          <w:lang w:eastAsia="es-ES" w:bidi="ar-SA"/>
        </w:rPr>
      </w:pPr>
      <w:r w:rsidRPr="00EA2141">
        <w:rPr>
          <w:rFonts w:cs="Times New Roman"/>
          <w:sz w:val="22"/>
          <w:szCs w:val="22"/>
          <w:lang w:eastAsia="es-ES" w:bidi="ar-SA"/>
        </w:rPr>
        <w:t>Se considerarán subvencionables y, por tanto, podrán ser objeto de financiación con cargo a las sucesivas convocatorias con los coeficientes que se determinen en cada convocatori</w:t>
      </w:r>
      <w:r w:rsidR="00B5192D">
        <w:rPr>
          <w:rFonts w:cs="Times New Roman"/>
          <w:sz w:val="22"/>
          <w:szCs w:val="22"/>
          <w:lang w:eastAsia="es-ES" w:bidi="ar-SA"/>
        </w:rPr>
        <w:t>a</w:t>
      </w:r>
      <w:r w:rsidR="00C22393">
        <w:rPr>
          <w:rFonts w:cs="Times New Roman"/>
          <w:sz w:val="22"/>
          <w:szCs w:val="22"/>
          <w:lang w:eastAsia="es-ES" w:bidi="ar-SA"/>
        </w:rPr>
        <w:t xml:space="preserve"> los gastos que </w:t>
      </w:r>
      <w:r w:rsidR="00B5192D">
        <w:rPr>
          <w:rFonts w:cs="Times New Roman"/>
          <w:sz w:val="22"/>
          <w:szCs w:val="22"/>
          <w:lang w:eastAsia="es-ES" w:bidi="ar-SA"/>
        </w:rPr>
        <w:t>sean sufragados por las personas beneficiarias</w:t>
      </w:r>
      <w:r w:rsidR="00C22393">
        <w:rPr>
          <w:rFonts w:cs="Times New Roman"/>
          <w:sz w:val="22"/>
          <w:szCs w:val="22"/>
          <w:lang w:eastAsia="es-ES" w:bidi="ar-SA"/>
        </w:rPr>
        <w:t xml:space="preserve"> </w:t>
      </w:r>
      <w:r w:rsidR="00B5192D">
        <w:rPr>
          <w:rFonts w:cs="Times New Roman"/>
          <w:sz w:val="22"/>
          <w:szCs w:val="22"/>
          <w:lang w:eastAsia="es-ES" w:bidi="ar-SA"/>
        </w:rPr>
        <w:t>con motivo de</w:t>
      </w:r>
      <w:r w:rsidR="00C22393">
        <w:rPr>
          <w:rFonts w:cs="Times New Roman"/>
          <w:sz w:val="22"/>
          <w:szCs w:val="22"/>
          <w:lang w:eastAsia="es-ES" w:bidi="ar-SA"/>
        </w:rPr>
        <w:t xml:space="preserve"> la entrada en </w:t>
      </w:r>
      <w:r w:rsidR="00B5192D">
        <w:rPr>
          <w:rFonts w:cs="Times New Roman"/>
          <w:sz w:val="22"/>
          <w:szCs w:val="22"/>
          <w:lang w:eastAsia="es-ES" w:bidi="ar-SA"/>
        </w:rPr>
        <w:t>una</w:t>
      </w:r>
      <w:r w:rsidR="00C22393">
        <w:rPr>
          <w:rFonts w:cs="Times New Roman"/>
          <w:sz w:val="22"/>
          <w:szCs w:val="22"/>
          <w:lang w:eastAsia="es-ES" w:bidi="ar-SA"/>
        </w:rPr>
        <w:t xml:space="preserve"> comunidad energética, derivados de la repercusión de la inversión</w:t>
      </w:r>
      <w:r w:rsidR="00B5192D">
        <w:rPr>
          <w:rFonts w:cs="Times New Roman"/>
          <w:sz w:val="22"/>
          <w:szCs w:val="22"/>
          <w:lang w:eastAsia="es-ES" w:bidi="ar-SA"/>
        </w:rPr>
        <w:t xml:space="preserve"> por parte de esta última entidad</w:t>
      </w:r>
      <w:r w:rsidRPr="00FF3E0D">
        <w:rPr>
          <w:rFonts w:cs="Times New Roman"/>
          <w:sz w:val="22"/>
          <w:szCs w:val="22"/>
          <w:lang w:eastAsia="es-ES" w:bidi="ar-SA"/>
        </w:rPr>
        <w:t>.</w:t>
      </w:r>
    </w:p>
    <w:p w14:paraId="03F31DC2" w14:textId="593A211E" w:rsidR="009F1177" w:rsidRPr="00FF3E0D" w:rsidRDefault="009F1177" w:rsidP="006C0A5E">
      <w:pPr>
        <w:suppressAutoHyphens w:val="0"/>
        <w:spacing w:after="240"/>
        <w:jc w:val="both"/>
        <w:rPr>
          <w:rFonts w:cs="Times New Roman"/>
          <w:sz w:val="22"/>
          <w:szCs w:val="22"/>
          <w:lang w:eastAsia="es-ES" w:bidi="ar-SA"/>
        </w:rPr>
      </w:pPr>
      <w:r>
        <w:rPr>
          <w:rFonts w:cs="Times New Roman"/>
          <w:sz w:val="22"/>
          <w:szCs w:val="22"/>
          <w:lang w:eastAsia="es-ES" w:bidi="ar-SA"/>
        </w:rPr>
        <w:t xml:space="preserve">Se trata de los gastos de entrada, que deberán guardar proporción con el autoconsumo de la persona beneficiaria. En el caso de las personas físicas deberá ser menos de 5,4 KW/hora. En el </w:t>
      </w:r>
      <w:r>
        <w:rPr>
          <w:rFonts w:cs="Times New Roman"/>
          <w:sz w:val="22"/>
          <w:szCs w:val="22"/>
          <w:lang w:eastAsia="es-ES" w:bidi="ar-SA"/>
        </w:rPr>
        <w:lastRenderedPageBreak/>
        <w:t xml:space="preserve">caso </w:t>
      </w:r>
      <w:r w:rsidR="00E2448B">
        <w:rPr>
          <w:rFonts w:cs="Times New Roman"/>
          <w:sz w:val="22"/>
          <w:szCs w:val="22"/>
          <w:lang w:eastAsia="es-ES" w:bidi="ar-SA"/>
        </w:rPr>
        <w:t>de los concejos</w:t>
      </w:r>
      <w:r>
        <w:rPr>
          <w:rFonts w:cs="Times New Roman"/>
          <w:sz w:val="22"/>
          <w:szCs w:val="22"/>
          <w:lang w:eastAsia="es-ES" w:bidi="ar-SA"/>
        </w:rPr>
        <w:t>, se tendrá en cuenta la potencia instalada necesaria para el consumo del alumbrado público y de los edificios de propiedad de la entidad local en el núcleo de población.</w:t>
      </w:r>
    </w:p>
    <w:p w14:paraId="23E45E90" w14:textId="7ABA1C32"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La convocatoria anual concretará las condiciones que deben cumplir las </w:t>
      </w:r>
      <w:r w:rsidR="009F1177">
        <w:rPr>
          <w:rFonts w:cs="Times New Roman"/>
          <w:sz w:val="22"/>
          <w:szCs w:val="22"/>
          <w:lang w:eastAsia="es-ES" w:bidi="ar-SA"/>
        </w:rPr>
        <w:t>actuaciones</w:t>
      </w:r>
      <w:r w:rsidRPr="00104054">
        <w:rPr>
          <w:rFonts w:cs="Times New Roman"/>
          <w:sz w:val="22"/>
          <w:szCs w:val="22"/>
          <w:lang w:eastAsia="es-ES" w:bidi="ar-SA"/>
        </w:rPr>
        <w:t xml:space="preserve"> amparables.</w:t>
      </w:r>
    </w:p>
    <w:p w14:paraId="0B0C8E3C" w14:textId="77777777" w:rsidR="006C0A5E" w:rsidRPr="00104054" w:rsidRDefault="006C0A5E" w:rsidP="006C0A5E">
      <w:pPr>
        <w:suppressAutoHyphens w:val="0"/>
        <w:spacing w:after="240"/>
        <w:jc w:val="both"/>
        <w:rPr>
          <w:rFonts w:cs="Times New Roman"/>
          <w:b/>
          <w:sz w:val="22"/>
          <w:szCs w:val="22"/>
          <w:u w:val="single"/>
          <w:lang w:eastAsia="es-ES" w:bidi="ar-SA"/>
        </w:rPr>
      </w:pPr>
      <w:r w:rsidRPr="00104054">
        <w:rPr>
          <w:rFonts w:cs="Times New Roman"/>
          <w:b/>
          <w:sz w:val="22"/>
          <w:szCs w:val="22"/>
          <w:lang w:eastAsia="es-ES" w:bidi="ar-SA"/>
        </w:rPr>
        <w:t>4. Inversiones y gastos subvencionables y condiciones adicionales.</w:t>
      </w:r>
    </w:p>
    <w:p w14:paraId="7BB9580E" w14:textId="185D3AA4" w:rsidR="006C0A5E" w:rsidRPr="00104054" w:rsidRDefault="006C0A5E" w:rsidP="006C0A5E">
      <w:pPr>
        <w:numPr>
          <w:ilvl w:val="0"/>
          <w:numId w:val="1"/>
        </w:num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Únicamente se consideran gastos subvencionables aquellos que de manera indubitada respondan a la naturaleza de la actividad subvencionada y resulten estrictamente necesarios, y el IVA, en el caso de no ser recuperable por parte </w:t>
      </w:r>
      <w:r w:rsidR="00E2448B">
        <w:rPr>
          <w:rFonts w:cs="Times New Roman"/>
          <w:sz w:val="22"/>
          <w:szCs w:val="22"/>
          <w:lang w:eastAsia="es-ES" w:bidi="ar-SA"/>
        </w:rPr>
        <w:t xml:space="preserve">de </w:t>
      </w:r>
      <w:r w:rsidR="005E04D2">
        <w:rPr>
          <w:rFonts w:cs="Times New Roman"/>
          <w:sz w:val="22"/>
          <w:szCs w:val="22"/>
          <w:lang w:eastAsia="es-ES" w:bidi="ar-SA"/>
        </w:rPr>
        <w:t>las</w:t>
      </w:r>
      <w:r w:rsidR="00E2448B">
        <w:rPr>
          <w:rFonts w:cs="Times New Roman"/>
          <w:sz w:val="22"/>
          <w:szCs w:val="22"/>
          <w:lang w:eastAsia="es-ES" w:bidi="ar-SA"/>
        </w:rPr>
        <w:t xml:space="preserve"> personas</w:t>
      </w:r>
      <w:r w:rsidRPr="00104054">
        <w:rPr>
          <w:rFonts w:cs="Times New Roman"/>
          <w:sz w:val="22"/>
          <w:szCs w:val="22"/>
          <w:lang w:eastAsia="es-ES" w:bidi="ar-SA"/>
        </w:rPr>
        <w:t xml:space="preserve"> beneficiaria</w:t>
      </w:r>
      <w:r w:rsidR="00E2448B">
        <w:rPr>
          <w:rFonts w:cs="Times New Roman"/>
          <w:sz w:val="22"/>
          <w:szCs w:val="22"/>
          <w:lang w:eastAsia="es-ES" w:bidi="ar-SA"/>
        </w:rPr>
        <w:t>s</w:t>
      </w:r>
      <w:r w:rsidRPr="00104054">
        <w:rPr>
          <w:rFonts w:cs="Times New Roman"/>
          <w:sz w:val="22"/>
          <w:szCs w:val="22"/>
          <w:lang w:eastAsia="es-ES" w:bidi="ar-SA"/>
        </w:rPr>
        <w:t>.</w:t>
      </w:r>
    </w:p>
    <w:p w14:paraId="1073FD23" w14:textId="77777777" w:rsidR="006C0A5E" w:rsidRPr="00104054" w:rsidRDefault="006C0A5E" w:rsidP="006C0A5E">
      <w:pPr>
        <w:numPr>
          <w:ilvl w:val="0"/>
          <w:numId w:val="1"/>
        </w:num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Las subvenciones objeto de las presentes bases serán compatibles con otras subvenciones, ayudas, ingresos o recursos para la misma finalidad, procedentes de cualesquiera administraciones o entes públicos o privados, estatales, de la Unión Europea o de organismos internacionales. </w:t>
      </w:r>
    </w:p>
    <w:p w14:paraId="4CC2D87E" w14:textId="77777777" w:rsidR="006C0A5E" w:rsidRPr="00104054" w:rsidRDefault="006C0A5E" w:rsidP="006C0A5E">
      <w:pPr>
        <w:numPr>
          <w:ilvl w:val="0"/>
          <w:numId w:val="1"/>
        </w:numPr>
        <w:suppressAutoHyphens w:val="0"/>
        <w:spacing w:after="240"/>
        <w:jc w:val="both"/>
        <w:rPr>
          <w:rFonts w:cs="Times New Roman"/>
          <w:sz w:val="22"/>
          <w:szCs w:val="22"/>
          <w:lang w:eastAsia="es-ES" w:bidi="ar-SA"/>
        </w:rPr>
      </w:pPr>
      <w:r w:rsidRPr="00104054">
        <w:rPr>
          <w:rFonts w:cs="Times New Roman"/>
          <w:sz w:val="22"/>
          <w:szCs w:val="22"/>
          <w:lang w:eastAsia="es-ES" w:bidi="ar-SA"/>
        </w:rPr>
        <w:t>El importe de la subvención en ningún caso podrá ser de tal cuantía que, aisladamente o en concurrencia con otras subvenciones u otros ingresos, supere el coste de la actividad.</w:t>
      </w:r>
    </w:p>
    <w:p w14:paraId="69F83D20" w14:textId="28AFDD1E" w:rsidR="006C0A5E" w:rsidRPr="00104054" w:rsidRDefault="006C0A5E" w:rsidP="006C0A5E">
      <w:pPr>
        <w:numPr>
          <w:ilvl w:val="0"/>
          <w:numId w:val="1"/>
        </w:num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Las </w:t>
      </w:r>
      <w:r w:rsidR="009C763A">
        <w:rPr>
          <w:rFonts w:cs="Times New Roman"/>
          <w:sz w:val="22"/>
          <w:szCs w:val="22"/>
          <w:lang w:eastAsia="es-ES" w:bidi="ar-SA"/>
        </w:rPr>
        <w:t>personas</w:t>
      </w:r>
      <w:r w:rsidRPr="00104054">
        <w:rPr>
          <w:rFonts w:cs="Times New Roman"/>
          <w:sz w:val="22"/>
          <w:szCs w:val="22"/>
          <w:lang w:eastAsia="es-ES" w:bidi="ar-SA"/>
        </w:rPr>
        <w:t xml:space="preserve"> beneficiarias deberán realizar cuantos trámites y obtener cuantas autorizaciones sean precisas para la correcta y total ejecución de las actuaciones subvencionadas, todo ello tanto desde el inicio de los trabajos como hasta la recepción definitiva de los mismos.</w:t>
      </w:r>
    </w:p>
    <w:p w14:paraId="734DEF48" w14:textId="77777777" w:rsidR="006C0A5E" w:rsidRPr="00104054" w:rsidRDefault="006C0A5E" w:rsidP="006C0A5E">
      <w:pPr>
        <w:suppressAutoHyphens w:val="0"/>
        <w:spacing w:after="240"/>
        <w:jc w:val="both"/>
        <w:rPr>
          <w:rFonts w:cs="Times New Roman"/>
          <w:lang w:eastAsia="es-ES" w:bidi="ar-SA"/>
        </w:rPr>
      </w:pPr>
      <w:r w:rsidRPr="00104054">
        <w:rPr>
          <w:rFonts w:cs="Times New Roman"/>
          <w:sz w:val="22"/>
          <w:szCs w:val="22"/>
          <w:lang w:eastAsia="es-ES" w:bidi="ar-SA"/>
        </w:rPr>
        <w:t xml:space="preserve"> </w:t>
      </w:r>
      <w:r w:rsidRPr="00104054">
        <w:rPr>
          <w:rFonts w:cs="Times New Roman"/>
          <w:b/>
          <w:bCs/>
          <w:sz w:val="22"/>
          <w:szCs w:val="22"/>
          <w:lang w:eastAsia="es-ES" w:bidi="ar-SA"/>
        </w:rPr>
        <w:t>5. Cumplimiento de normativa en materia de Igualdad</w:t>
      </w:r>
    </w:p>
    <w:p w14:paraId="0FE18443"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De acuerdo con el artículo 3 del Decreto Legislativo 1/2023, de 16 de marzo, por el que se aprueba el texto refundido de la Ley para la Igualdad de Mujeres y Hombres y Vidas Libres de Violencia Machista contra las Mujeres, los principios generales que deben regir y orientar la actuación de los poderes públicos vascos en materia de igualdad de mujeres y hombres son los siguientes: la igualdad de trato; la igualdad de oportunidades; el respeto a la diversidad y a la diferencia; la integración de la perspectiva de género; la acción positiva; la eliminación de roles y estereotipos en función del sexo; la representación equilibrada y la coordinación y colaboración. </w:t>
      </w:r>
    </w:p>
    <w:p w14:paraId="599BAF6B"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También en el artículo 50 de la misma Ley </w:t>
      </w:r>
      <w:r w:rsidRPr="00B26BC2">
        <w:rPr>
          <w:rFonts w:cs="Times New Roman"/>
          <w:sz w:val="22"/>
          <w:szCs w:val="22"/>
          <w:lang w:eastAsia="es-ES" w:bidi="ar-SA"/>
        </w:rPr>
        <w:t>se recoge que se deben arbitrar los medios necesarios para garantizar que las políticas y programas en materia de medio ambiente, ordenación del territorio, urbanismo, vivienda, transporte y medio rural integren la perspectiva de género, considerando, entre otras, cuestiones relativas a la seguridad de las</w:t>
      </w:r>
      <w:r w:rsidRPr="00104054">
        <w:rPr>
          <w:rFonts w:cs="Times New Roman"/>
          <w:sz w:val="22"/>
          <w:szCs w:val="22"/>
          <w:lang w:eastAsia="es-ES" w:bidi="ar-SA"/>
        </w:rPr>
        <w:t xml:space="preserve"> personas, a facilitar la realización del trabajo doméstico y de cuidado de las personas y la conciliación de la vida personal, familiar y laboral, así como a fomentar una mayor participación de las mujeres en el diseño y ejecución de las citadas políticas y programas.</w:t>
      </w:r>
    </w:p>
    <w:p w14:paraId="44A574BC"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Además, de acuerdo con el artículo 31.1 de la Ley Orgánica 3/2007 para la igualdad efectiva de mujeres y hombres referido a Políticas urbanas, de ordenación territorial y vivienda, se establece que las políticas y planes de las Administraciones públicas en materia de acceso a la vivienda incluirán medidas destinadas a hacer efectivo el principio de igualdad entre mujeres y hombres.</w:t>
      </w:r>
    </w:p>
    <w:p w14:paraId="1A7C3A79"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Cuando se celebren contratos administrativos para la ejecución de la actividad subvencionada, será de aplicación el artículo 22 del Decreto Legislativo 1/2023, de 16 de marzo, por el que se aprueba el texto refundido de la Ley para la Igualdad de Mujeres y Hombres y Vidas Libres de Violencia Machista contra las Mujeres. Consecuentemente, se contemplará, como condición de ejecución del contrato, la obligación de</w:t>
      </w:r>
      <w:r>
        <w:rPr>
          <w:rFonts w:cs="Times New Roman"/>
          <w:sz w:val="22"/>
          <w:szCs w:val="22"/>
          <w:lang w:eastAsia="es-ES" w:bidi="ar-SA"/>
        </w:rPr>
        <w:t xml:space="preserve"> </w:t>
      </w:r>
      <w:r w:rsidRPr="00104054">
        <w:rPr>
          <w:rFonts w:cs="Times New Roman"/>
          <w:sz w:val="22"/>
          <w:szCs w:val="22"/>
          <w:lang w:eastAsia="es-ES" w:bidi="ar-SA"/>
        </w:rPr>
        <w:t>l</w:t>
      </w:r>
      <w:r>
        <w:rPr>
          <w:rFonts w:cs="Times New Roman"/>
          <w:sz w:val="22"/>
          <w:szCs w:val="22"/>
          <w:lang w:eastAsia="es-ES" w:bidi="ar-SA"/>
        </w:rPr>
        <w:t>a empresa</w:t>
      </w:r>
      <w:r w:rsidRPr="00104054">
        <w:rPr>
          <w:rFonts w:cs="Times New Roman"/>
          <w:sz w:val="22"/>
          <w:szCs w:val="22"/>
          <w:lang w:eastAsia="es-ES" w:bidi="ar-SA"/>
        </w:rPr>
        <w:t xml:space="preserve"> adjudicatari</w:t>
      </w:r>
      <w:r>
        <w:rPr>
          <w:rFonts w:cs="Times New Roman"/>
          <w:sz w:val="22"/>
          <w:szCs w:val="22"/>
          <w:lang w:eastAsia="es-ES" w:bidi="ar-SA"/>
        </w:rPr>
        <w:t>a</w:t>
      </w:r>
      <w:r w:rsidRPr="00104054">
        <w:rPr>
          <w:rFonts w:cs="Times New Roman"/>
          <w:sz w:val="22"/>
          <w:szCs w:val="22"/>
          <w:lang w:eastAsia="es-ES" w:bidi="ar-SA"/>
        </w:rPr>
        <w:t xml:space="preserve"> de aplicar, al realizar la prestación, medidas tendentes a promover la igualdad de hombres y mujeres; todo ello con sujeción a la legislación de contratos y siempre que el órgano competente haya establecido que se trata de un tipo o característica de contratación a la que le corresponde aplicar tal medida. </w:t>
      </w:r>
    </w:p>
    <w:p w14:paraId="2ADBF632" w14:textId="77777777" w:rsidR="006C0A5E" w:rsidRPr="00104054" w:rsidRDefault="006C0A5E" w:rsidP="006C0A5E">
      <w:pPr>
        <w:suppressAutoHyphens w:val="0"/>
        <w:spacing w:after="240"/>
        <w:jc w:val="both"/>
        <w:rPr>
          <w:rFonts w:cs="Times New Roman"/>
          <w:lang w:eastAsia="es-ES" w:bidi="ar-SA"/>
        </w:rPr>
      </w:pPr>
      <w:r w:rsidRPr="00104054">
        <w:rPr>
          <w:rFonts w:cs="Times New Roman"/>
          <w:b/>
          <w:bCs/>
          <w:sz w:val="22"/>
          <w:szCs w:val="22"/>
          <w:lang w:eastAsia="es-ES" w:bidi="ar-SA"/>
        </w:rPr>
        <w:lastRenderedPageBreak/>
        <w:t>6. Cumplimiento de normativa en materia de uso del euskera</w:t>
      </w:r>
    </w:p>
    <w:p w14:paraId="5380A585" w14:textId="77777777" w:rsidR="006C0A5E"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Así mismo, de acuerdo con la Ley 10/1982, de 24 de noviembre, básica de normalización y uso del euskera, </w:t>
      </w:r>
      <w:r>
        <w:rPr>
          <w:rFonts w:cs="Times New Roman"/>
          <w:sz w:val="22"/>
          <w:szCs w:val="22"/>
          <w:lang w:eastAsia="es-ES" w:bidi="ar-SA"/>
        </w:rPr>
        <w:t>las entidades locales</w:t>
      </w:r>
      <w:r w:rsidRPr="00104054">
        <w:rPr>
          <w:rFonts w:cs="Times New Roman"/>
          <w:sz w:val="22"/>
          <w:szCs w:val="22"/>
          <w:lang w:eastAsia="es-ES" w:bidi="ar-SA"/>
        </w:rPr>
        <w:t xml:space="preserve"> deberá</w:t>
      </w:r>
      <w:r>
        <w:rPr>
          <w:rFonts w:cs="Times New Roman"/>
          <w:sz w:val="22"/>
          <w:szCs w:val="22"/>
          <w:lang w:eastAsia="es-ES" w:bidi="ar-SA"/>
        </w:rPr>
        <w:t>n</w:t>
      </w:r>
      <w:r w:rsidRPr="00104054">
        <w:rPr>
          <w:rFonts w:cs="Times New Roman"/>
          <w:sz w:val="22"/>
          <w:szCs w:val="22"/>
          <w:lang w:eastAsia="es-ES" w:bidi="ar-SA"/>
        </w:rPr>
        <w:t xml:space="preserve"> garantizar el tratamiento y uso adecuados de ambas lenguas oficiales siempre que el órgano competente considere que el objeto del contrato así lo requiere.</w:t>
      </w:r>
    </w:p>
    <w:p w14:paraId="2EFE38C1" w14:textId="689C62AD" w:rsidR="00EF5E38" w:rsidRPr="00EF5E38" w:rsidRDefault="00EF5E38" w:rsidP="006C0A5E">
      <w:pPr>
        <w:suppressAutoHyphens w:val="0"/>
        <w:spacing w:after="240"/>
        <w:jc w:val="both"/>
        <w:rPr>
          <w:rFonts w:cs="Times New Roman"/>
          <w:b/>
          <w:bCs/>
          <w:color w:val="000000" w:themeColor="text1"/>
          <w:sz w:val="22"/>
          <w:szCs w:val="22"/>
          <w:lang w:eastAsia="es-ES" w:bidi="ar-SA"/>
        </w:rPr>
      </w:pPr>
      <w:r w:rsidRPr="00EF5E38">
        <w:rPr>
          <w:rFonts w:cs="Times New Roman"/>
          <w:b/>
          <w:bCs/>
          <w:color w:val="000000" w:themeColor="text1"/>
          <w:sz w:val="22"/>
          <w:szCs w:val="22"/>
          <w:lang w:eastAsia="es-ES" w:bidi="ar-SA"/>
        </w:rPr>
        <w:t>7. Cumplimiento de la legislación sectorial.</w:t>
      </w:r>
    </w:p>
    <w:p w14:paraId="6FCC85B5" w14:textId="3347565A" w:rsidR="00EF5E38" w:rsidRDefault="00223B78" w:rsidP="006C0A5E">
      <w:pPr>
        <w:suppressAutoHyphens w:val="0"/>
        <w:spacing w:after="240"/>
        <w:jc w:val="both"/>
        <w:rPr>
          <w:rFonts w:cs="Times New Roman"/>
          <w:color w:val="000000" w:themeColor="text1"/>
          <w:sz w:val="22"/>
          <w:szCs w:val="22"/>
          <w:lang w:eastAsia="es-ES" w:bidi="ar-SA"/>
        </w:rPr>
      </w:pPr>
      <w:r>
        <w:rPr>
          <w:rFonts w:cs="Times New Roman"/>
          <w:color w:val="000000" w:themeColor="text1"/>
          <w:sz w:val="22"/>
          <w:szCs w:val="22"/>
          <w:lang w:eastAsia="es-ES" w:bidi="ar-SA"/>
        </w:rPr>
        <w:t>Las comunidades energéticas deberán cumplir lo dispuesto en:</w:t>
      </w:r>
    </w:p>
    <w:p w14:paraId="3B6523CB" w14:textId="4C5A6CDB" w:rsidR="00223B78" w:rsidRPr="00223B78" w:rsidRDefault="00223B78" w:rsidP="00223B78">
      <w:pPr>
        <w:suppressAutoHyphens w:val="0"/>
        <w:spacing w:after="240"/>
        <w:jc w:val="both"/>
        <w:rPr>
          <w:rFonts w:cs="Times New Roman"/>
          <w:color w:val="000000" w:themeColor="text1"/>
          <w:sz w:val="22"/>
          <w:szCs w:val="22"/>
          <w:lang w:eastAsia="es-ES" w:bidi="ar-SA"/>
        </w:rPr>
      </w:pPr>
      <w:r>
        <w:rPr>
          <w:rFonts w:cs="Times New Roman"/>
          <w:color w:val="000000" w:themeColor="text1"/>
          <w:sz w:val="22"/>
          <w:szCs w:val="22"/>
          <w:lang w:eastAsia="es-ES" w:bidi="ar-SA"/>
        </w:rPr>
        <w:t xml:space="preserve">La </w:t>
      </w:r>
      <w:r w:rsidRPr="00223B78">
        <w:rPr>
          <w:rFonts w:cs="Times New Roman"/>
          <w:color w:val="000000" w:themeColor="text1"/>
          <w:sz w:val="22"/>
          <w:szCs w:val="22"/>
          <w:lang w:eastAsia="es-ES" w:bidi="ar-SA"/>
        </w:rPr>
        <w:t xml:space="preserve">Directiva 2018/2001 relativa al fomento del uso de energía procedente de fuentes renovables. Regula las CER (Comunidades de Energía Renovable)  </w:t>
      </w:r>
    </w:p>
    <w:p w14:paraId="74EB7272" w14:textId="0E38A027" w:rsidR="00223B78" w:rsidRDefault="00223B78" w:rsidP="00223B78">
      <w:pPr>
        <w:suppressAutoHyphens w:val="0"/>
        <w:spacing w:after="240"/>
        <w:jc w:val="both"/>
        <w:rPr>
          <w:rFonts w:cs="Times New Roman"/>
          <w:color w:val="000000" w:themeColor="text1"/>
          <w:sz w:val="22"/>
          <w:szCs w:val="22"/>
          <w:lang w:eastAsia="es-ES" w:bidi="ar-SA"/>
        </w:rPr>
      </w:pPr>
      <w:r>
        <w:rPr>
          <w:rFonts w:cs="Times New Roman"/>
          <w:color w:val="000000" w:themeColor="text1"/>
          <w:sz w:val="22"/>
          <w:szCs w:val="22"/>
          <w:lang w:eastAsia="es-ES" w:bidi="ar-SA"/>
        </w:rPr>
        <w:t xml:space="preserve">La </w:t>
      </w:r>
      <w:r w:rsidRPr="00223B78">
        <w:rPr>
          <w:rFonts w:cs="Times New Roman"/>
          <w:color w:val="000000" w:themeColor="text1"/>
          <w:sz w:val="22"/>
          <w:szCs w:val="22"/>
          <w:lang w:eastAsia="es-ES" w:bidi="ar-SA"/>
        </w:rPr>
        <w:t>Directiva 2019/944 sobre normas comunes para el mercado interior de la electricidad y</w:t>
      </w:r>
      <w:r>
        <w:rPr>
          <w:rFonts w:cs="Times New Roman"/>
          <w:color w:val="000000" w:themeColor="text1"/>
          <w:sz w:val="22"/>
          <w:szCs w:val="22"/>
          <w:lang w:eastAsia="es-ES" w:bidi="ar-SA"/>
        </w:rPr>
        <w:t xml:space="preserve"> </w:t>
      </w:r>
      <w:r w:rsidRPr="00223B78">
        <w:rPr>
          <w:rFonts w:cs="Times New Roman"/>
          <w:color w:val="000000" w:themeColor="text1"/>
          <w:sz w:val="22"/>
          <w:szCs w:val="22"/>
          <w:lang w:eastAsia="es-ES" w:bidi="ar-SA"/>
        </w:rPr>
        <w:t>por la que se modifica la Directiva 2012/27/UE. Regula las CEE (Comunidades</w:t>
      </w:r>
      <w:r>
        <w:rPr>
          <w:rFonts w:cs="Times New Roman"/>
          <w:color w:val="000000" w:themeColor="text1"/>
          <w:sz w:val="22"/>
          <w:szCs w:val="22"/>
          <w:lang w:eastAsia="es-ES" w:bidi="ar-SA"/>
        </w:rPr>
        <w:t xml:space="preserve"> </w:t>
      </w:r>
      <w:r w:rsidRPr="00223B78">
        <w:rPr>
          <w:rFonts w:cs="Times New Roman"/>
          <w:color w:val="000000" w:themeColor="text1"/>
          <w:sz w:val="22"/>
          <w:szCs w:val="22"/>
          <w:lang w:eastAsia="es-ES" w:bidi="ar-SA"/>
        </w:rPr>
        <w:t>Ciudadanas de Energía)</w:t>
      </w:r>
      <w:r>
        <w:rPr>
          <w:rFonts w:cs="Times New Roman"/>
          <w:color w:val="000000" w:themeColor="text1"/>
          <w:sz w:val="22"/>
          <w:szCs w:val="22"/>
          <w:lang w:eastAsia="es-ES" w:bidi="ar-SA"/>
        </w:rPr>
        <w:t>.</w:t>
      </w:r>
    </w:p>
    <w:p w14:paraId="124087D3" w14:textId="77777777" w:rsidR="00223B78" w:rsidRPr="00223B78" w:rsidRDefault="00223B78" w:rsidP="00223B78">
      <w:pPr>
        <w:suppressAutoHyphens w:val="0"/>
        <w:spacing w:after="240"/>
        <w:rPr>
          <w:rFonts w:cs="Times New Roman"/>
          <w:color w:val="000000" w:themeColor="text1"/>
          <w:sz w:val="22"/>
          <w:szCs w:val="22"/>
          <w:lang w:eastAsia="es-ES" w:bidi="ar-SA"/>
        </w:rPr>
      </w:pPr>
      <w:r>
        <w:rPr>
          <w:rFonts w:cs="Times New Roman"/>
          <w:color w:val="000000" w:themeColor="text1"/>
          <w:sz w:val="22"/>
          <w:szCs w:val="22"/>
          <w:lang w:eastAsia="es-ES" w:bidi="ar-SA"/>
        </w:rPr>
        <w:t xml:space="preserve">La </w:t>
      </w:r>
      <w:r w:rsidRPr="00223B78">
        <w:rPr>
          <w:rFonts w:cs="Times New Roman"/>
          <w:color w:val="000000" w:themeColor="text1"/>
          <w:sz w:val="22"/>
          <w:szCs w:val="22"/>
          <w:lang w:eastAsia="es-ES" w:bidi="ar-SA"/>
        </w:rPr>
        <w:t>Ley 24/2013, de 26 de diciembre, del Sector Eléctrico.</w:t>
      </w:r>
    </w:p>
    <w:p w14:paraId="09815179" w14:textId="65254957" w:rsidR="00223B78" w:rsidRDefault="00223B78" w:rsidP="00223B78">
      <w:pPr>
        <w:suppressAutoHyphens w:val="0"/>
        <w:spacing w:after="240"/>
        <w:jc w:val="both"/>
        <w:rPr>
          <w:rFonts w:cs="Times New Roman"/>
          <w:color w:val="000000" w:themeColor="text1"/>
          <w:sz w:val="22"/>
          <w:szCs w:val="22"/>
          <w:lang w:eastAsia="es-ES" w:bidi="ar-SA"/>
        </w:rPr>
      </w:pPr>
      <w:r>
        <w:rPr>
          <w:rFonts w:cs="Times New Roman"/>
          <w:color w:val="000000" w:themeColor="text1"/>
          <w:sz w:val="22"/>
          <w:szCs w:val="22"/>
          <w:lang w:eastAsia="es-ES" w:bidi="ar-SA"/>
        </w:rPr>
        <w:t xml:space="preserve">El </w:t>
      </w:r>
      <w:r w:rsidRPr="00223B78">
        <w:rPr>
          <w:rFonts w:cs="Times New Roman"/>
          <w:color w:val="000000" w:themeColor="text1"/>
          <w:sz w:val="22"/>
          <w:szCs w:val="22"/>
          <w:lang w:eastAsia="es-ES" w:bidi="ar-SA"/>
        </w:rPr>
        <w:t>Real Decreto-ley 23/2020, de 23 de junio, por el que se aprueban medidas en materia de energía y en otros ámbitos para la reactivación económica</w:t>
      </w:r>
      <w:r>
        <w:rPr>
          <w:rFonts w:cs="Times New Roman"/>
          <w:color w:val="000000" w:themeColor="text1"/>
          <w:sz w:val="22"/>
          <w:szCs w:val="22"/>
          <w:lang w:eastAsia="es-ES" w:bidi="ar-SA"/>
        </w:rPr>
        <w:t>.</w:t>
      </w:r>
    </w:p>
    <w:p w14:paraId="441DC790" w14:textId="66D25F70" w:rsidR="00F13725" w:rsidRDefault="00F13725" w:rsidP="00223B78">
      <w:pPr>
        <w:suppressAutoHyphens w:val="0"/>
        <w:spacing w:after="240"/>
        <w:jc w:val="both"/>
        <w:rPr>
          <w:rFonts w:cs="Times New Roman"/>
          <w:color w:val="000000" w:themeColor="text1"/>
          <w:sz w:val="22"/>
          <w:szCs w:val="22"/>
          <w:lang w:eastAsia="es-ES" w:bidi="ar-SA"/>
        </w:rPr>
      </w:pPr>
      <w:r>
        <w:rPr>
          <w:rFonts w:cs="Times New Roman"/>
          <w:color w:val="000000" w:themeColor="text1"/>
          <w:sz w:val="22"/>
          <w:szCs w:val="22"/>
          <w:lang w:eastAsia="es-ES" w:bidi="ar-SA"/>
        </w:rPr>
        <w:t>O en la normativa que las sustituya.</w:t>
      </w:r>
    </w:p>
    <w:p w14:paraId="095AB27E" w14:textId="6EBF71C4" w:rsidR="006C0A5E" w:rsidRPr="00104054" w:rsidRDefault="00EF5E38" w:rsidP="006C0A5E">
      <w:pPr>
        <w:suppressAutoHyphens w:val="0"/>
        <w:spacing w:after="240"/>
        <w:jc w:val="both"/>
        <w:rPr>
          <w:rFonts w:cs="Times New Roman"/>
          <w:b/>
          <w:sz w:val="22"/>
          <w:szCs w:val="22"/>
          <w:lang w:eastAsia="es-ES" w:bidi="ar-SA"/>
        </w:rPr>
      </w:pPr>
      <w:r>
        <w:rPr>
          <w:rFonts w:cs="Times New Roman"/>
          <w:b/>
          <w:sz w:val="22"/>
          <w:szCs w:val="22"/>
          <w:lang w:eastAsia="es-ES" w:bidi="ar-SA"/>
        </w:rPr>
        <w:t>8</w:t>
      </w:r>
      <w:r w:rsidR="006C0A5E" w:rsidRPr="00104054">
        <w:rPr>
          <w:rFonts w:cs="Times New Roman"/>
          <w:b/>
          <w:sz w:val="22"/>
          <w:szCs w:val="22"/>
          <w:lang w:eastAsia="es-ES" w:bidi="ar-SA"/>
        </w:rPr>
        <w:t>. Recursos económicos.</w:t>
      </w:r>
    </w:p>
    <w:p w14:paraId="777E30B6"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Las correspondientes convocatorias fijarán la cuantía total máxima destinada a las subvenciones convocadas mediante las presentes bases, así como las partidas presupuestarias a las que se imputen en los presupuestos vigentes en cada momento de la Diputación Foral de Álava.</w:t>
      </w:r>
    </w:p>
    <w:p w14:paraId="3F1FA503" w14:textId="7CE8A04A" w:rsidR="006C0A5E" w:rsidRPr="00104054" w:rsidRDefault="00223B78" w:rsidP="006C0A5E">
      <w:pPr>
        <w:suppressAutoHyphens w:val="0"/>
        <w:spacing w:after="240"/>
        <w:jc w:val="both"/>
        <w:rPr>
          <w:rFonts w:cs="Times New Roman"/>
          <w:b/>
          <w:sz w:val="22"/>
          <w:szCs w:val="22"/>
          <w:lang w:eastAsia="es-ES" w:bidi="ar-SA"/>
        </w:rPr>
      </w:pPr>
      <w:r>
        <w:rPr>
          <w:rFonts w:cs="Times New Roman"/>
          <w:b/>
          <w:sz w:val="22"/>
          <w:szCs w:val="22"/>
          <w:lang w:eastAsia="es-ES" w:bidi="ar-SA"/>
        </w:rPr>
        <w:t>9</w:t>
      </w:r>
      <w:r w:rsidR="006C0A5E" w:rsidRPr="00104054">
        <w:rPr>
          <w:rFonts w:cs="Times New Roman"/>
          <w:b/>
          <w:sz w:val="22"/>
          <w:szCs w:val="22"/>
          <w:lang w:eastAsia="es-ES" w:bidi="ar-SA"/>
        </w:rPr>
        <w:t xml:space="preserve">. </w:t>
      </w:r>
      <w:r w:rsidR="00EF5E38">
        <w:rPr>
          <w:rFonts w:cs="Times New Roman"/>
          <w:b/>
          <w:sz w:val="22"/>
          <w:szCs w:val="22"/>
          <w:lang w:eastAsia="es-ES" w:bidi="ar-SA"/>
        </w:rPr>
        <w:t>Personas</w:t>
      </w:r>
      <w:r w:rsidR="006C0A5E" w:rsidRPr="00104054">
        <w:rPr>
          <w:rFonts w:cs="Times New Roman"/>
          <w:b/>
          <w:sz w:val="22"/>
          <w:szCs w:val="22"/>
          <w:lang w:eastAsia="es-ES" w:bidi="ar-SA"/>
        </w:rPr>
        <w:t xml:space="preserve"> beneficiarias.</w:t>
      </w:r>
    </w:p>
    <w:p w14:paraId="3C0A3756" w14:textId="1EF8BD0F" w:rsidR="006C0A5E" w:rsidRPr="00290E2C" w:rsidRDefault="00290E2C" w:rsidP="006C0A5E">
      <w:pPr>
        <w:suppressAutoHyphens w:val="0"/>
        <w:spacing w:after="240"/>
        <w:jc w:val="both"/>
        <w:rPr>
          <w:rFonts w:cs="Times New Roman"/>
          <w:color w:val="000000" w:themeColor="text1"/>
          <w:sz w:val="22"/>
          <w:szCs w:val="22"/>
          <w:lang w:eastAsia="es-ES" w:bidi="ar-SA"/>
        </w:rPr>
      </w:pPr>
      <w:r w:rsidRPr="00290E2C">
        <w:rPr>
          <w:rFonts w:cs="Times New Roman"/>
          <w:color w:val="000000" w:themeColor="text1"/>
          <w:sz w:val="22"/>
          <w:szCs w:val="22"/>
          <w:lang w:eastAsia="es-ES" w:bidi="ar-SA"/>
        </w:rPr>
        <w:t>Podrán ser beneficiarias de las presentes subvenciones:</w:t>
      </w:r>
    </w:p>
    <w:p w14:paraId="2011DCC1" w14:textId="00DE8433" w:rsidR="00290E2C" w:rsidRDefault="00290E2C" w:rsidP="00290E2C">
      <w:pPr>
        <w:pStyle w:val="Prrafodelista"/>
        <w:numPr>
          <w:ilvl w:val="0"/>
          <w:numId w:val="9"/>
        </w:numPr>
        <w:suppressAutoHyphens w:val="0"/>
        <w:spacing w:after="240"/>
        <w:jc w:val="both"/>
        <w:rPr>
          <w:rFonts w:cs="Times New Roman"/>
          <w:sz w:val="22"/>
          <w:szCs w:val="22"/>
          <w:lang w:eastAsia="es-ES" w:bidi="ar-SA"/>
        </w:rPr>
      </w:pPr>
      <w:r w:rsidRPr="00EB2361">
        <w:rPr>
          <w:rFonts w:cs="Times New Roman"/>
          <w:sz w:val="22"/>
          <w:szCs w:val="22"/>
          <w:lang w:eastAsia="es-ES" w:bidi="ar-SA"/>
        </w:rPr>
        <w:t xml:space="preserve">Los concejos de Álava para núcleos de población menores de </w:t>
      </w:r>
      <w:r w:rsidR="00027549" w:rsidRPr="00EB2361">
        <w:rPr>
          <w:rFonts w:cs="Times New Roman"/>
          <w:sz w:val="22"/>
          <w:szCs w:val="22"/>
          <w:lang w:eastAsia="es-ES" w:bidi="ar-SA"/>
        </w:rPr>
        <w:t>5</w:t>
      </w:r>
      <w:r w:rsidRPr="00EB2361">
        <w:rPr>
          <w:rFonts w:cs="Times New Roman"/>
          <w:sz w:val="22"/>
          <w:szCs w:val="22"/>
          <w:lang w:eastAsia="es-ES" w:bidi="ar-SA"/>
        </w:rPr>
        <w:t>00 habitantes.</w:t>
      </w:r>
    </w:p>
    <w:p w14:paraId="3536CFC6" w14:textId="77777777" w:rsidR="00EB2361" w:rsidRPr="00EB2361" w:rsidRDefault="00EB2361" w:rsidP="00EB2361">
      <w:pPr>
        <w:pStyle w:val="Prrafodelista"/>
        <w:suppressAutoHyphens w:val="0"/>
        <w:spacing w:after="240"/>
        <w:jc w:val="both"/>
        <w:rPr>
          <w:rFonts w:cs="Times New Roman"/>
          <w:sz w:val="22"/>
          <w:szCs w:val="22"/>
          <w:lang w:eastAsia="es-ES" w:bidi="ar-SA"/>
        </w:rPr>
      </w:pPr>
    </w:p>
    <w:p w14:paraId="592790AD" w14:textId="1C0F9314" w:rsidR="00290E2C" w:rsidRPr="00290E2C" w:rsidRDefault="00290E2C" w:rsidP="00290E2C">
      <w:pPr>
        <w:pStyle w:val="Prrafodelista"/>
        <w:numPr>
          <w:ilvl w:val="0"/>
          <w:numId w:val="9"/>
        </w:numPr>
        <w:suppressAutoHyphens w:val="0"/>
        <w:spacing w:after="240"/>
        <w:jc w:val="both"/>
        <w:rPr>
          <w:rFonts w:cs="Times New Roman"/>
          <w:color w:val="000000" w:themeColor="text1"/>
          <w:sz w:val="22"/>
          <w:szCs w:val="22"/>
          <w:lang w:eastAsia="es-ES" w:bidi="ar-SA"/>
        </w:rPr>
      </w:pPr>
      <w:r w:rsidRPr="00EB2361">
        <w:rPr>
          <w:rFonts w:cs="Times New Roman"/>
          <w:sz w:val="22"/>
          <w:szCs w:val="22"/>
          <w:lang w:eastAsia="es-ES" w:bidi="ar-SA"/>
        </w:rPr>
        <w:t xml:space="preserve">Las personas físicas que </w:t>
      </w:r>
      <w:r w:rsidR="009C763A" w:rsidRPr="00EB2361">
        <w:rPr>
          <w:rFonts w:cs="Times New Roman"/>
          <w:sz w:val="22"/>
          <w:szCs w:val="22"/>
          <w:lang w:eastAsia="es-ES" w:bidi="ar-SA"/>
        </w:rPr>
        <w:t>residan efectivamente</w:t>
      </w:r>
      <w:r w:rsidR="002C3E6F" w:rsidRPr="00EB2361">
        <w:rPr>
          <w:rFonts w:cs="Times New Roman"/>
          <w:sz w:val="22"/>
          <w:szCs w:val="22"/>
          <w:lang w:eastAsia="es-ES" w:bidi="ar-SA"/>
        </w:rPr>
        <w:t xml:space="preserve"> en Álava</w:t>
      </w:r>
      <w:r w:rsidR="001B7A22" w:rsidRPr="00EB2361">
        <w:rPr>
          <w:rFonts w:cs="Times New Roman"/>
          <w:sz w:val="22"/>
          <w:szCs w:val="22"/>
          <w:lang w:eastAsia="es-ES" w:bidi="ar-SA"/>
        </w:rPr>
        <w:t xml:space="preserve">, y que </w:t>
      </w:r>
      <w:r w:rsidR="001B7A22">
        <w:rPr>
          <w:rFonts w:cs="Times New Roman"/>
          <w:color w:val="000000" w:themeColor="text1"/>
          <w:sz w:val="22"/>
          <w:szCs w:val="22"/>
          <w:lang w:eastAsia="es-ES" w:bidi="ar-SA"/>
        </w:rPr>
        <w:t>cumplan con los criterios máximo</w:t>
      </w:r>
      <w:r w:rsidR="009C763A">
        <w:rPr>
          <w:rFonts w:cs="Times New Roman"/>
          <w:color w:val="000000" w:themeColor="text1"/>
          <w:sz w:val="22"/>
          <w:szCs w:val="22"/>
          <w:lang w:eastAsia="es-ES" w:bidi="ar-SA"/>
        </w:rPr>
        <w:t>s</w:t>
      </w:r>
      <w:r w:rsidR="001B7A22">
        <w:rPr>
          <w:rFonts w:cs="Times New Roman"/>
          <w:color w:val="000000" w:themeColor="text1"/>
          <w:sz w:val="22"/>
          <w:szCs w:val="22"/>
          <w:lang w:eastAsia="es-ES" w:bidi="ar-SA"/>
        </w:rPr>
        <w:t xml:space="preserve"> de renta reflejados en cada convocatoria</w:t>
      </w:r>
      <w:r w:rsidRPr="00290E2C">
        <w:rPr>
          <w:rFonts w:cs="Times New Roman"/>
          <w:color w:val="000000" w:themeColor="text1"/>
          <w:sz w:val="22"/>
          <w:szCs w:val="22"/>
          <w:lang w:eastAsia="es-ES" w:bidi="ar-SA"/>
        </w:rPr>
        <w:t>.</w:t>
      </w:r>
    </w:p>
    <w:p w14:paraId="6EF9B083" w14:textId="502595AA"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No podrán tener la condición de </w:t>
      </w:r>
      <w:r w:rsidR="00E93B38">
        <w:rPr>
          <w:rFonts w:cs="Times New Roman"/>
          <w:sz w:val="22"/>
          <w:szCs w:val="22"/>
          <w:lang w:eastAsia="es-ES" w:bidi="ar-SA"/>
        </w:rPr>
        <w:t>personas</w:t>
      </w:r>
      <w:r w:rsidRPr="00104054">
        <w:rPr>
          <w:rFonts w:cs="Times New Roman"/>
          <w:sz w:val="22"/>
          <w:szCs w:val="22"/>
          <w:lang w:eastAsia="es-ES" w:bidi="ar-SA"/>
        </w:rPr>
        <w:t xml:space="preserve"> beneficiarias aquellas que hayan sido sancionadas por las infracciones a que se refiere el título IV de la Ley 38/2003 general de subvenciones, de 17 de noviembre, al igual que las que incurran en los supuestos contemplados en Decreto Legislativo 1/2023, de 16 de marzo, por el que se aprueba el texto refundido de la Ley para la Igualdad de Mujeres y Hombres y Vidas Libres de Violencia Machista contra las Mujeres, y en la Ley Orgánica 3/2007, de 22 de marzo, para la igualdad efectiva de mujeres y hombres.</w:t>
      </w:r>
    </w:p>
    <w:p w14:paraId="7BF57C5C" w14:textId="77777777"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 xml:space="preserve">9. Procedimiento de concesión de las subvenciones. Cuantificación de </w:t>
      </w:r>
      <w:proofErr w:type="gramStart"/>
      <w:r w:rsidRPr="00104054">
        <w:rPr>
          <w:rFonts w:cs="Times New Roman"/>
          <w:b/>
          <w:sz w:val="22"/>
          <w:szCs w:val="22"/>
          <w:lang w:eastAsia="es-ES" w:bidi="ar-SA"/>
        </w:rPr>
        <w:t>las mismas</w:t>
      </w:r>
      <w:proofErr w:type="gramEnd"/>
      <w:r w:rsidRPr="00104054">
        <w:rPr>
          <w:rFonts w:cs="Times New Roman"/>
          <w:b/>
          <w:sz w:val="22"/>
          <w:szCs w:val="22"/>
          <w:lang w:eastAsia="es-ES" w:bidi="ar-SA"/>
        </w:rPr>
        <w:t>.</w:t>
      </w:r>
    </w:p>
    <w:p w14:paraId="079DF869" w14:textId="77777777" w:rsidR="00C277CB" w:rsidRPr="00812A6F" w:rsidRDefault="00C277CB" w:rsidP="00C277CB">
      <w:pPr>
        <w:suppressAutoHyphens w:val="0"/>
        <w:spacing w:after="240"/>
        <w:jc w:val="both"/>
        <w:rPr>
          <w:rFonts w:cs="Times New Roman"/>
          <w:sz w:val="22"/>
          <w:szCs w:val="22"/>
          <w:lang w:eastAsia="es-ES" w:bidi="ar-SA"/>
        </w:rPr>
      </w:pPr>
      <w:bookmarkStart w:id="1" w:name="_Hlk72751518"/>
      <w:r w:rsidRPr="00812A6F">
        <w:rPr>
          <w:rFonts w:cs="Times New Roman"/>
          <w:sz w:val="22"/>
          <w:szCs w:val="22"/>
          <w:lang w:eastAsia="es-ES" w:bidi="ar-SA"/>
        </w:rPr>
        <w:t xml:space="preserve">La concesión de las subvenciones se realizará en régimen de libre concurrencia. </w:t>
      </w:r>
    </w:p>
    <w:p w14:paraId="524F8898" w14:textId="350CF2AC" w:rsidR="00C277CB" w:rsidRPr="00812A6F" w:rsidRDefault="00C277CB" w:rsidP="00C277CB">
      <w:pPr>
        <w:suppressAutoHyphens w:val="0"/>
        <w:spacing w:after="240"/>
        <w:jc w:val="both"/>
        <w:rPr>
          <w:rFonts w:cs="Times New Roman"/>
          <w:sz w:val="22"/>
          <w:szCs w:val="22"/>
          <w:lang w:eastAsia="es-ES" w:bidi="ar-SA"/>
        </w:rPr>
      </w:pPr>
      <w:r w:rsidRPr="00812A6F">
        <w:rPr>
          <w:rFonts w:cs="Times New Roman"/>
          <w:sz w:val="22"/>
          <w:szCs w:val="22"/>
          <w:lang w:eastAsia="es-ES" w:bidi="ar-SA"/>
        </w:rPr>
        <w:t>Los proyectos serán ordenados por los servicios técnicos del Departamento de Equilibrio Territorial atendiendo al orden de solicitud.</w:t>
      </w:r>
    </w:p>
    <w:p w14:paraId="50380EC0" w14:textId="4CC688D3" w:rsidR="00C277CB" w:rsidRPr="00812A6F" w:rsidRDefault="00C277CB" w:rsidP="00C277CB">
      <w:pPr>
        <w:suppressAutoHyphens w:val="0"/>
        <w:spacing w:after="240"/>
        <w:jc w:val="both"/>
        <w:rPr>
          <w:rFonts w:cs="Times New Roman"/>
          <w:sz w:val="22"/>
          <w:szCs w:val="22"/>
          <w:lang w:eastAsia="es-ES" w:bidi="ar-SA"/>
        </w:rPr>
      </w:pPr>
      <w:r w:rsidRPr="00812A6F">
        <w:rPr>
          <w:rFonts w:cs="Times New Roman"/>
          <w:sz w:val="22"/>
          <w:szCs w:val="22"/>
          <w:lang w:eastAsia="es-ES" w:bidi="ar-SA"/>
        </w:rPr>
        <w:lastRenderedPageBreak/>
        <w:t>El porcentaje máximo subvencionable se calculará sobre el coste total de la actividad. Se entenderá como coste de la actividad el definido en la base segunda, con inclusión del porcentaje de IVA que no sea objeto de recuperación por parte del beneficiario.</w:t>
      </w:r>
    </w:p>
    <w:p w14:paraId="119ACC4C" w14:textId="31D21070" w:rsidR="00C277CB" w:rsidRPr="00812A6F" w:rsidRDefault="00C277CB" w:rsidP="00C277CB">
      <w:pPr>
        <w:suppressAutoHyphens w:val="0"/>
        <w:spacing w:after="240"/>
        <w:jc w:val="both"/>
        <w:rPr>
          <w:rFonts w:cs="Times New Roman"/>
          <w:sz w:val="22"/>
          <w:szCs w:val="22"/>
          <w:lang w:eastAsia="es-ES" w:bidi="ar-SA"/>
        </w:rPr>
      </w:pPr>
      <w:r w:rsidRPr="00812A6F">
        <w:rPr>
          <w:rFonts w:cs="Times New Roman"/>
          <w:sz w:val="22"/>
          <w:szCs w:val="22"/>
          <w:lang w:eastAsia="es-ES" w:bidi="ar-SA"/>
        </w:rPr>
        <w:t>Se entenderá que las personas beneficiarias aceptan los términos de la subvención, siempre que en el plazo de 10 días hábiles desde la notificación de la resolución no renuncien por escrito a la misma.</w:t>
      </w:r>
    </w:p>
    <w:p w14:paraId="416D75C5" w14:textId="713CB47D" w:rsidR="006C0A5E" w:rsidRPr="00104054" w:rsidRDefault="00C277CB" w:rsidP="006C0A5E">
      <w:pPr>
        <w:suppressAutoHyphens w:val="0"/>
        <w:spacing w:after="240"/>
        <w:jc w:val="both"/>
        <w:rPr>
          <w:rFonts w:cs="Times New Roman"/>
          <w:sz w:val="22"/>
          <w:szCs w:val="22"/>
          <w:lang w:eastAsia="es-ES" w:bidi="ar-SA"/>
        </w:rPr>
      </w:pPr>
      <w:r w:rsidRPr="00812A6F">
        <w:rPr>
          <w:rFonts w:cs="Times New Roman"/>
          <w:sz w:val="22"/>
          <w:szCs w:val="22"/>
          <w:lang w:eastAsia="es-ES" w:bidi="ar-SA"/>
        </w:rPr>
        <w:t>Las solicitudes no atendidas por agotamiento de la dotación quedarán en bolsa en el orden de su presentación, y obtendrán subvención en el caso de que no se puedan aplicar los fondos inicialmente consignados por renuncias a las subvenciones originalmente otorgadas. Las renuncias deberán realizarse en el plazo máximo de dos meses desde la notificación de la concesión.</w:t>
      </w:r>
    </w:p>
    <w:bookmarkEnd w:id="1"/>
    <w:p w14:paraId="6C8C522B" w14:textId="361198F8" w:rsidR="006C0A5E" w:rsidRPr="00104054" w:rsidRDefault="00EF5E38" w:rsidP="006C0A5E">
      <w:pPr>
        <w:suppressAutoHyphens w:val="0"/>
        <w:spacing w:after="240"/>
        <w:jc w:val="both"/>
        <w:rPr>
          <w:rFonts w:cs="Times New Roman"/>
          <w:b/>
          <w:sz w:val="22"/>
          <w:szCs w:val="22"/>
          <w:lang w:eastAsia="es-ES" w:bidi="ar-SA"/>
        </w:rPr>
      </w:pPr>
      <w:r>
        <w:rPr>
          <w:rFonts w:cs="Times New Roman"/>
          <w:b/>
          <w:sz w:val="22"/>
          <w:szCs w:val="22"/>
          <w:lang w:eastAsia="es-ES" w:bidi="ar-SA"/>
        </w:rPr>
        <w:t>10</w:t>
      </w:r>
      <w:r w:rsidR="006C0A5E" w:rsidRPr="00104054">
        <w:rPr>
          <w:rFonts w:cs="Times New Roman"/>
          <w:b/>
          <w:sz w:val="22"/>
          <w:szCs w:val="22"/>
          <w:lang w:eastAsia="es-ES" w:bidi="ar-SA"/>
        </w:rPr>
        <w:t>. Pago, plazo y forma de justificación por parte de las entidades beneficiarias del cumplimiento de la finalidad para la que se concedió la subvención.</w:t>
      </w:r>
    </w:p>
    <w:p w14:paraId="5E392A97" w14:textId="77777777" w:rsidR="006C0A5E"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El pago de las subvenciones se realizará, con carácter general, previa justificación del cumplimiento de la actividad para la que se concedió. No obstante, la convocatoria anual podrá prever la existencia de anticipos a justificar.</w:t>
      </w:r>
    </w:p>
    <w:p w14:paraId="025EA85E" w14:textId="49EA3182" w:rsidR="001644F9" w:rsidRPr="00EB2361" w:rsidRDefault="001644F9" w:rsidP="006C0A5E">
      <w:pPr>
        <w:suppressAutoHyphens w:val="0"/>
        <w:spacing w:after="240"/>
        <w:jc w:val="both"/>
        <w:rPr>
          <w:rFonts w:cs="Times New Roman"/>
          <w:sz w:val="22"/>
          <w:szCs w:val="22"/>
          <w:lang w:eastAsia="es-ES" w:bidi="ar-SA"/>
        </w:rPr>
      </w:pPr>
      <w:r w:rsidRPr="00EB2361">
        <w:rPr>
          <w:rFonts w:cs="Times New Roman"/>
          <w:sz w:val="22"/>
          <w:szCs w:val="22"/>
          <w:lang w:eastAsia="es-ES" w:bidi="ar-SA"/>
        </w:rPr>
        <w:t>La convocatoria podrá contemplar la posibilidad de pago directo de la cantidad concedida a la comunidad energética.</w:t>
      </w:r>
    </w:p>
    <w:p w14:paraId="5223BD25"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Para hacer efectivo el abono, se deberá aportar la documentación que se especifique en la convocatoria. El plazo máximo de presentación se establecerá en la correspondiente convocatoria.</w:t>
      </w:r>
    </w:p>
    <w:p w14:paraId="238082F3" w14:textId="77777777" w:rsidR="00F025DA" w:rsidRPr="00F025DA" w:rsidRDefault="006C0A5E" w:rsidP="00F025DA">
      <w:pPr>
        <w:suppressAutoHyphens w:val="0"/>
        <w:spacing w:after="240"/>
        <w:jc w:val="both"/>
        <w:rPr>
          <w:rFonts w:cs="Times New Roman"/>
          <w:color w:val="000000" w:themeColor="text1"/>
          <w:sz w:val="22"/>
          <w:szCs w:val="22"/>
          <w:lang w:eastAsia="es-ES" w:bidi="ar-SA"/>
        </w:rPr>
      </w:pPr>
      <w:r w:rsidRPr="00F025DA">
        <w:rPr>
          <w:rFonts w:cs="Times New Roman"/>
          <w:color w:val="000000" w:themeColor="text1"/>
          <w:sz w:val="22"/>
          <w:szCs w:val="22"/>
          <w:lang w:eastAsia="es-ES" w:bidi="ar-SA"/>
        </w:rPr>
        <w:t>La justificación contendrá, como mínimo</w:t>
      </w:r>
      <w:r w:rsidR="00F025DA" w:rsidRPr="00F025DA">
        <w:rPr>
          <w:rFonts w:cs="Times New Roman"/>
          <w:color w:val="000000" w:themeColor="text1"/>
          <w:sz w:val="22"/>
          <w:szCs w:val="22"/>
          <w:lang w:eastAsia="es-ES" w:bidi="ar-SA"/>
        </w:rPr>
        <w:t xml:space="preserve"> c</w:t>
      </w:r>
      <w:r w:rsidRPr="00F025DA">
        <w:rPr>
          <w:rFonts w:cs="Times New Roman"/>
          <w:color w:val="000000" w:themeColor="text1"/>
          <w:sz w:val="22"/>
          <w:szCs w:val="22"/>
          <w:lang w:eastAsia="es-ES" w:bidi="ar-SA"/>
        </w:rPr>
        <w:t>opia de certificaciones de obra, facturas, y de sus correspondientes justificantes bancarios de pago.</w:t>
      </w:r>
    </w:p>
    <w:p w14:paraId="5772063B" w14:textId="17A1D202" w:rsidR="006C0A5E" w:rsidRPr="00104054" w:rsidRDefault="006C0A5E" w:rsidP="00F025DA">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623CED">
        <w:rPr>
          <w:rFonts w:cs="Times New Roman"/>
          <w:b/>
          <w:sz w:val="22"/>
          <w:szCs w:val="22"/>
          <w:lang w:eastAsia="es-ES" w:bidi="ar-SA"/>
        </w:rPr>
        <w:t>1</w:t>
      </w:r>
      <w:r w:rsidRPr="00104054">
        <w:rPr>
          <w:rFonts w:cs="Times New Roman"/>
          <w:b/>
          <w:sz w:val="22"/>
          <w:szCs w:val="22"/>
          <w:lang w:eastAsia="es-ES" w:bidi="ar-SA"/>
        </w:rPr>
        <w:t>. Patrocinio.</w:t>
      </w:r>
    </w:p>
    <w:p w14:paraId="4C65EF3B" w14:textId="77777777" w:rsidR="006C0A5E" w:rsidRDefault="006C0A5E" w:rsidP="006C0A5E">
      <w:pPr>
        <w:suppressAutoHyphens w:val="0"/>
        <w:spacing w:after="240"/>
        <w:jc w:val="both"/>
        <w:rPr>
          <w:rFonts w:cs="Times New Roman"/>
          <w:sz w:val="22"/>
          <w:szCs w:val="22"/>
          <w:lang w:eastAsia="es-ES"/>
        </w:rPr>
      </w:pPr>
      <w:r w:rsidRPr="00104054">
        <w:rPr>
          <w:rFonts w:cs="Times New Roman"/>
          <w:sz w:val="22"/>
          <w:szCs w:val="22"/>
          <w:lang w:eastAsia="es-ES" w:bidi="ar-SA"/>
        </w:rPr>
        <w:t>En todas aquellas publicaciones, folletos o publicidad en general que genere la actividad subvencionada, deberá hacerse mención expresa a la ayuda concedida por el Departamento de Equilibrio Territorial y Ordenación del Territorio de la Diputación Foral de Álava. Además, se asegurará un adecuado uso del lenguaje desde la perspectiva de género y se utilizarán los mensajes y canales adecuados para que la información llegue de forma equivalente a hombres y mujeres. Así mismo,</w:t>
      </w:r>
      <w:r w:rsidRPr="00104054">
        <w:rPr>
          <w:rFonts w:cs="Times New Roman"/>
          <w:sz w:val="22"/>
          <w:szCs w:val="22"/>
          <w:lang w:eastAsia="es-ES"/>
        </w:rPr>
        <w:t xml:space="preserve"> la difusión y publicidad de la actividad subvencionada, cualquiera que sea su soporte (folletos, carteles, publicaciones...), deberá realizarse en ambas lenguas oficiales, y libre de estereotipos y roles sexistas.</w:t>
      </w:r>
    </w:p>
    <w:p w14:paraId="7D97968D" w14:textId="14C811D2"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623CED">
        <w:rPr>
          <w:rFonts w:cs="Times New Roman"/>
          <w:b/>
          <w:sz w:val="22"/>
          <w:szCs w:val="22"/>
          <w:lang w:eastAsia="es-ES" w:bidi="ar-SA"/>
        </w:rPr>
        <w:t>2</w:t>
      </w:r>
      <w:r w:rsidRPr="00104054">
        <w:rPr>
          <w:rFonts w:cs="Times New Roman"/>
          <w:b/>
          <w:sz w:val="22"/>
          <w:szCs w:val="22"/>
          <w:lang w:eastAsia="es-ES" w:bidi="ar-SA"/>
        </w:rPr>
        <w:t>. Reintegro de la subvención.</w:t>
      </w:r>
    </w:p>
    <w:p w14:paraId="3B77A38C"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Procederá el reintegro de las cantidades percibidas en los casos establecidos en la Norma Foral 11/2016, de subvenciones del Territorio Histórico de Álava y en la Ley 38/2003, de 17 de noviembre, General de Subvenciones y Real Decreto 887/2006, de 21 de julio, por el que se aprueba el Reglamento de la Ley 38/2003, de 17 de noviembre, General de Subvenciones.</w:t>
      </w:r>
    </w:p>
    <w:p w14:paraId="77CA034E"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El reintegro de las cantidades percibidas sobre la subvención aprobada tendrá la consideración de ingresos de derecho público y su cobro se realizará conforme a lo previsto en el Título II, Capítulo I, de la Norma Foral 3/2023, de 25 de enero, General Presupuestaria del Territorio Histórico de Álava.</w:t>
      </w:r>
    </w:p>
    <w:p w14:paraId="1BEDB230" w14:textId="77777777"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Supuestos de incumplimiento:</w:t>
      </w:r>
    </w:p>
    <w:p w14:paraId="08D98FD1" w14:textId="77777777" w:rsidR="006C0A5E" w:rsidRPr="00104054" w:rsidRDefault="006C0A5E" w:rsidP="006C0A5E">
      <w:pPr>
        <w:numPr>
          <w:ilvl w:val="0"/>
          <w:numId w:val="3"/>
        </w:numPr>
        <w:suppressAutoHyphens w:val="0"/>
        <w:spacing w:after="240"/>
        <w:contextualSpacing/>
        <w:jc w:val="both"/>
        <w:rPr>
          <w:rFonts w:cs="Times New Roman"/>
          <w:sz w:val="22"/>
          <w:szCs w:val="22"/>
          <w:lang w:eastAsia="es-ES" w:bidi="ar-SA"/>
        </w:rPr>
      </w:pPr>
      <w:r w:rsidRPr="00104054">
        <w:rPr>
          <w:rFonts w:cs="Times New Roman"/>
          <w:sz w:val="22"/>
          <w:szCs w:val="22"/>
          <w:lang w:eastAsia="es-ES" w:bidi="ar-SA"/>
        </w:rPr>
        <w:lastRenderedPageBreak/>
        <w:t>Incumplimiento de la obligación de justificación.</w:t>
      </w:r>
    </w:p>
    <w:p w14:paraId="1D6EF721" w14:textId="77777777" w:rsidR="006C0A5E" w:rsidRPr="00104054" w:rsidRDefault="006C0A5E" w:rsidP="006C0A5E">
      <w:pPr>
        <w:suppressAutoHyphens w:val="0"/>
        <w:spacing w:after="240"/>
        <w:ind w:left="720"/>
        <w:contextualSpacing/>
        <w:jc w:val="both"/>
        <w:rPr>
          <w:rFonts w:cs="Times New Roman"/>
          <w:sz w:val="22"/>
          <w:szCs w:val="22"/>
          <w:lang w:eastAsia="es-ES" w:bidi="ar-SA"/>
        </w:rPr>
      </w:pPr>
    </w:p>
    <w:p w14:paraId="450B7B4A" w14:textId="77777777" w:rsidR="006C0A5E" w:rsidRDefault="006C0A5E" w:rsidP="006C0A5E">
      <w:pPr>
        <w:numPr>
          <w:ilvl w:val="0"/>
          <w:numId w:val="3"/>
        </w:numPr>
        <w:suppressAutoHyphens w:val="0"/>
        <w:spacing w:after="240"/>
        <w:contextualSpacing/>
        <w:jc w:val="both"/>
        <w:rPr>
          <w:rFonts w:cs="Times New Roman"/>
          <w:sz w:val="22"/>
          <w:szCs w:val="22"/>
          <w:lang w:eastAsia="es-ES" w:bidi="ar-SA"/>
        </w:rPr>
      </w:pPr>
      <w:r w:rsidRPr="00104054">
        <w:rPr>
          <w:rFonts w:cs="Times New Roman"/>
          <w:sz w:val="22"/>
          <w:szCs w:val="22"/>
          <w:lang w:eastAsia="es-ES" w:bidi="ar-SA"/>
        </w:rPr>
        <w:t>Obtención de la subvención sin reunir las condiciones requeridas para ello.</w:t>
      </w:r>
    </w:p>
    <w:p w14:paraId="6485989A" w14:textId="77777777" w:rsidR="006C0A5E" w:rsidRPr="00104054" w:rsidRDefault="006C0A5E" w:rsidP="006C0A5E">
      <w:pPr>
        <w:suppressAutoHyphens w:val="0"/>
        <w:spacing w:after="240"/>
        <w:contextualSpacing/>
        <w:jc w:val="both"/>
        <w:rPr>
          <w:rFonts w:cs="Times New Roman"/>
          <w:sz w:val="22"/>
          <w:szCs w:val="22"/>
          <w:lang w:eastAsia="es-ES" w:bidi="ar-SA"/>
        </w:rPr>
      </w:pPr>
    </w:p>
    <w:p w14:paraId="743C3A29" w14:textId="77777777" w:rsidR="006C0A5E" w:rsidRPr="00104054" w:rsidRDefault="006C0A5E" w:rsidP="006C0A5E">
      <w:pPr>
        <w:numPr>
          <w:ilvl w:val="0"/>
          <w:numId w:val="3"/>
        </w:numPr>
        <w:suppressAutoHyphens w:val="0"/>
        <w:spacing w:after="240"/>
        <w:jc w:val="both"/>
        <w:rPr>
          <w:rFonts w:cs="Times New Roman"/>
          <w:sz w:val="22"/>
          <w:szCs w:val="22"/>
          <w:lang w:eastAsia="es-ES" w:bidi="ar-SA"/>
        </w:rPr>
      </w:pPr>
      <w:r w:rsidRPr="00104054">
        <w:rPr>
          <w:rFonts w:cs="Times New Roman"/>
          <w:sz w:val="22"/>
          <w:szCs w:val="22"/>
          <w:lang w:eastAsia="es-ES" w:bidi="ar-SA"/>
        </w:rPr>
        <w:t>Incumplimiento de la finalidad para la que la subvención fue concedida.</w:t>
      </w:r>
    </w:p>
    <w:p w14:paraId="45903E84" w14:textId="77777777" w:rsidR="006C0A5E" w:rsidRPr="00104054" w:rsidRDefault="006C0A5E" w:rsidP="006C0A5E">
      <w:pPr>
        <w:numPr>
          <w:ilvl w:val="0"/>
          <w:numId w:val="3"/>
        </w:numPr>
        <w:suppressAutoHyphens w:val="0"/>
        <w:spacing w:after="240"/>
        <w:jc w:val="both"/>
        <w:rPr>
          <w:rFonts w:cs="Times New Roman"/>
          <w:sz w:val="22"/>
          <w:szCs w:val="22"/>
          <w:lang w:eastAsia="es-ES" w:bidi="ar-SA"/>
        </w:rPr>
      </w:pPr>
      <w:r w:rsidRPr="00104054">
        <w:rPr>
          <w:rFonts w:cs="Times New Roman"/>
          <w:sz w:val="22"/>
          <w:szCs w:val="22"/>
          <w:lang w:eastAsia="es-ES" w:bidi="ar-SA"/>
        </w:rPr>
        <w:t>Incumplimiento de las condiciones impuestas a la entidad beneficiaria con motivo de la concesión de la subvención.</w:t>
      </w:r>
    </w:p>
    <w:p w14:paraId="49BB1F1A" w14:textId="77777777" w:rsidR="006C0A5E" w:rsidRPr="00104054" w:rsidRDefault="006C0A5E" w:rsidP="006C0A5E">
      <w:pPr>
        <w:numPr>
          <w:ilvl w:val="0"/>
          <w:numId w:val="3"/>
        </w:numPr>
        <w:suppressAutoHyphens w:val="0"/>
        <w:spacing w:after="240"/>
        <w:jc w:val="both"/>
        <w:rPr>
          <w:rFonts w:cs="Times New Roman"/>
          <w:sz w:val="22"/>
          <w:szCs w:val="22"/>
          <w:lang w:eastAsia="es-ES" w:bidi="ar-SA"/>
        </w:rPr>
      </w:pPr>
      <w:r w:rsidRPr="00104054">
        <w:rPr>
          <w:rFonts w:cs="Times New Roman"/>
          <w:sz w:val="22"/>
          <w:szCs w:val="22"/>
          <w:lang w:eastAsia="es-ES" w:bidi="ar-SA"/>
        </w:rPr>
        <w:t>Negativa u obstrucción a las actuaciones de control o comprobación.</w:t>
      </w:r>
    </w:p>
    <w:p w14:paraId="2AA4F76C" w14:textId="77777777" w:rsidR="006C0A5E" w:rsidRPr="00104054" w:rsidRDefault="006C0A5E" w:rsidP="006C0A5E">
      <w:pPr>
        <w:numPr>
          <w:ilvl w:val="0"/>
          <w:numId w:val="3"/>
        </w:numPr>
        <w:suppressAutoHyphens w:val="0"/>
        <w:spacing w:after="240"/>
        <w:jc w:val="both"/>
        <w:rPr>
          <w:rFonts w:cs="Times New Roman"/>
          <w:sz w:val="22"/>
          <w:szCs w:val="22"/>
          <w:lang w:eastAsia="es-ES" w:bidi="ar-SA"/>
        </w:rPr>
      </w:pPr>
      <w:r w:rsidRPr="00104054">
        <w:rPr>
          <w:rFonts w:cs="Times New Roman"/>
          <w:sz w:val="22"/>
          <w:szCs w:val="22"/>
          <w:lang w:eastAsia="es-ES" w:bidi="ar-SA"/>
        </w:rPr>
        <w:t>Percepción de subvenciones superiores al coste de la actividad a desarrollar. En este caso procederá el reintegro del exceso obtenido sobre el coste de la actividad, junto con los intereses de demora correspondientes.</w:t>
      </w:r>
    </w:p>
    <w:p w14:paraId="15B4AEF2" w14:textId="77777777" w:rsidR="006C0A5E" w:rsidRPr="00104054" w:rsidRDefault="006C0A5E" w:rsidP="006C0A5E">
      <w:pPr>
        <w:numPr>
          <w:ilvl w:val="0"/>
          <w:numId w:val="3"/>
        </w:numPr>
        <w:suppressAutoHyphens w:val="0"/>
        <w:spacing w:after="240"/>
        <w:jc w:val="both"/>
        <w:rPr>
          <w:rFonts w:cs="Times New Roman"/>
          <w:sz w:val="22"/>
          <w:szCs w:val="22"/>
          <w:lang w:eastAsia="es-ES" w:bidi="ar-SA"/>
        </w:rPr>
      </w:pPr>
      <w:r w:rsidRPr="00104054">
        <w:rPr>
          <w:rFonts w:cs="Times New Roman"/>
          <w:sz w:val="22"/>
          <w:szCs w:val="22"/>
          <w:lang w:eastAsia="es-ES" w:bidi="ar-SA"/>
        </w:rPr>
        <w:t>La existencia no declarada previamente de otras subvenciones con el mismo destino.</w:t>
      </w:r>
    </w:p>
    <w:p w14:paraId="4FA8430B" w14:textId="3C31B4C6"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623CED">
        <w:rPr>
          <w:rFonts w:cs="Times New Roman"/>
          <w:b/>
          <w:sz w:val="22"/>
          <w:szCs w:val="22"/>
          <w:lang w:eastAsia="es-ES" w:bidi="ar-SA"/>
        </w:rPr>
        <w:t>3</w:t>
      </w:r>
      <w:r w:rsidRPr="00104054">
        <w:rPr>
          <w:rFonts w:cs="Times New Roman"/>
          <w:b/>
          <w:sz w:val="22"/>
          <w:szCs w:val="22"/>
          <w:lang w:eastAsia="es-ES" w:bidi="ar-SA"/>
        </w:rPr>
        <w:t>. Comprobación.</w:t>
      </w:r>
    </w:p>
    <w:p w14:paraId="0520E1A1" w14:textId="713E5C47" w:rsidR="006C0A5E" w:rsidRPr="00104054" w:rsidRDefault="006C0A5E" w:rsidP="006C0A5E">
      <w:pPr>
        <w:suppressAutoHyphens w:val="0"/>
        <w:spacing w:after="240"/>
        <w:jc w:val="both"/>
        <w:rPr>
          <w:rFonts w:cs="Times New Roman"/>
          <w:sz w:val="22"/>
          <w:szCs w:val="22"/>
          <w:lang w:eastAsia="es-ES" w:bidi="ar-SA"/>
        </w:rPr>
      </w:pPr>
      <w:r w:rsidRPr="008B6C40">
        <w:rPr>
          <w:rFonts w:cs="Times New Roman"/>
          <w:sz w:val="22"/>
          <w:szCs w:val="22"/>
          <w:lang w:eastAsia="es-ES" w:bidi="ar-SA"/>
        </w:rPr>
        <w:t>Por la persona titular del departamento de Equilibrio Territorial y Ordenación del Territorio se procederá a dictar las resoluciones</w:t>
      </w:r>
      <w:r w:rsidRPr="00104054">
        <w:rPr>
          <w:rFonts w:cs="Times New Roman"/>
          <w:sz w:val="22"/>
          <w:szCs w:val="22"/>
          <w:lang w:eastAsia="es-ES" w:bidi="ar-SA"/>
        </w:rPr>
        <w:t xml:space="preserve"> que se estimen oportunas para el desarrollo de </w:t>
      </w:r>
      <w:r>
        <w:rPr>
          <w:rFonts w:cs="Times New Roman"/>
          <w:sz w:val="22"/>
          <w:szCs w:val="22"/>
          <w:lang w:eastAsia="es-ES" w:bidi="ar-SA"/>
        </w:rPr>
        <w:t>cada</w:t>
      </w:r>
      <w:r w:rsidRPr="00104054">
        <w:rPr>
          <w:rFonts w:cs="Times New Roman"/>
          <w:sz w:val="22"/>
          <w:szCs w:val="22"/>
          <w:lang w:eastAsia="es-ES" w:bidi="ar-SA"/>
        </w:rPr>
        <w:t xml:space="preserve"> </w:t>
      </w:r>
      <w:r>
        <w:rPr>
          <w:rFonts w:cs="Times New Roman"/>
          <w:sz w:val="22"/>
          <w:szCs w:val="22"/>
          <w:lang w:eastAsia="es-ES" w:bidi="ar-SA"/>
        </w:rPr>
        <w:t>c</w:t>
      </w:r>
      <w:r w:rsidRPr="00104054">
        <w:rPr>
          <w:rFonts w:cs="Times New Roman"/>
          <w:sz w:val="22"/>
          <w:szCs w:val="22"/>
          <w:lang w:eastAsia="es-ES" w:bidi="ar-SA"/>
        </w:rPr>
        <w:t xml:space="preserve">onvocatoria a iniciativa de la unidad orgánica que tramita la subvención, pudiendo ejercer acciones que permitan exigir y comprobar la veracidad de los datos aportados por las </w:t>
      </w:r>
      <w:r w:rsidR="001B7A22">
        <w:rPr>
          <w:rFonts w:cs="Times New Roman"/>
          <w:sz w:val="22"/>
          <w:szCs w:val="22"/>
          <w:lang w:eastAsia="es-ES" w:bidi="ar-SA"/>
        </w:rPr>
        <w:t>personas</w:t>
      </w:r>
      <w:r w:rsidRPr="00104054">
        <w:rPr>
          <w:rFonts w:cs="Times New Roman"/>
          <w:sz w:val="22"/>
          <w:szCs w:val="22"/>
          <w:lang w:eastAsia="es-ES" w:bidi="ar-SA"/>
        </w:rPr>
        <w:t xml:space="preserve"> beneficiarias y el cumplimiento de lo regulado en las presentes bases. </w:t>
      </w:r>
    </w:p>
    <w:p w14:paraId="597C8ECA" w14:textId="5EC37CC5" w:rsidR="006C0A5E"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Para ello, las </w:t>
      </w:r>
      <w:r w:rsidR="001B7A22">
        <w:rPr>
          <w:rFonts w:cs="Times New Roman"/>
          <w:sz w:val="22"/>
          <w:szCs w:val="22"/>
          <w:lang w:eastAsia="es-ES" w:bidi="ar-SA"/>
        </w:rPr>
        <w:t>personas</w:t>
      </w:r>
      <w:r w:rsidRPr="00104054">
        <w:rPr>
          <w:rFonts w:cs="Times New Roman"/>
          <w:sz w:val="22"/>
          <w:szCs w:val="22"/>
          <w:lang w:eastAsia="es-ES" w:bidi="ar-SA"/>
        </w:rPr>
        <w:t xml:space="preserve"> beneficiarias quedan comprometidos a facilitar cuantos datos y documentos tengan relación con las actividades desarrolladas por ellos y sean solicitados por el Departamento de Equilibrio Territorial y Ordenación del Territorio. Igualmente deberán facilitar cuanta información pueda ser requerida por el Departamento de Hacienda, Finanzas y Presupuestos, Tribunal de Cuentas u otros organismos competentes.</w:t>
      </w:r>
    </w:p>
    <w:p w14:paraId="05C5ADFD" w14:textId="3925D0FA"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8D3780">
        <w:rPr>
          <w:rFonts w:cs="Times New Roman"/>
          <w:b/>
          <w:sz w:val="22"/>
          <w:szCs w:val="22"/>
          <w:lang w:eastAsia="es-ES" w:bidi="ar-SA"/>
        </w:rPr>
        <w:t>4</w:t>
      </w:r>
      <w:r w:rsidRPr="00104054">
        <w:rPr>
          <w:rFonts w:cs="Times New Roman"/>
          <w:b/>
          <w:sz w:val="22"/>
          <w:szCs w:val="22"/>
          <w:lang w:eastAsia="es-ES" w:bidi="ar-SA"/>
        </w:rPr>
        <w:t>. Responsabilidades.</w:t>
      </w:r>
    </w:p>
    <w:p w14:paraId="0BB06DF6" w14:textId="27ABC6CE" w:rsidR="006C0A5E" w:rsidRPr="00104054"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Las </w:t>
      </w:r>
      <w:r w:rsidR="0013254A">
        <w:rPr>
          <w:rFonts w:cs="Times New Roman"/>
          <w:sz w:val="22"/>
          <w:szCs w:val="22"/>
          <w:lang w:eastAsia="es-ES" w:bidi="ar-SA"/>
        </w:rPr>
        <w:t>personas</w:t>
      </w:r>
      <w:r w:rsidRPr="00104054">
        <w:rPr>
          <w:rFonts w:cs="Times New Roman"/>
          <w:sz w:val="22"/>
          <w:szCs w:val="22"/>
          <w:lang w:eastAsia="es-ES" w:bidi="ar-SA"/>
        </w:rPr>
        <w:t xml:space="preserve"> beneficiarias asumen las responsabilidades que pudieran derivarse de la realización del programa y/o actividad, y a solicitar</w:t>
      </w:r>
      <w:r w:rsidR="0013254A">
        <w:rPr>
          <w:rFonts w:cs="Times New Roman"/>
          <w:sz w:val="22"/>
          <w:szCs w:val="22"/>
          <w:lang w:eastAsia="es-ES" w:bidi="ar-SA"/>
        </w:rPr>
        <w:t>, en su caso,</w:t>
      </w:r>
      <w:r w:rsidRPr="00104054">
        <w:rPr>
          <w:rFonts w:cs="Times New Roman"/>
          <w:sz w:val="22"/>
          <w:szCs w:val="22"/>
          <w:lang w:eastAsia="es-ES" w:bidi="ar-SA"/>
        </w:rPr>
        <w:t xml:space="preserve"> las autorizaciones que para su desarrollo sean exigidas por la legislación vigente.</w:t>
      </w:r>
    </w:p>
    <w:p w14:paraId="0A772430" w14:textId="6DE6A10E"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8D3780">
        <w:rPr>
          <w:rFonts w:cs="Times New Roman"/>
          <w:b/>
          <w:sz w:val="22"/>
          <w:szCs w:val="22"/>
          <w:lang w:eastAsia="es-ES" w:bidi="ar-SA"/>
        </w:rPr>
        <w:t>5</w:t>
      </w:r>
      <w:r w:rsidRPr="00104054">
        <w:rPr>
          <w:rFonts w:cs="Times New Roman"/>
          <w:b/>
          <w:sz w:val="22"/>
          <w:szCs w:val="22"/>
          <w:lang w:eastAsia="es-ES" w:bidi="ar-SA"/>
        </w:rPr>
        <w:t>. Modificaciones.</w:t>
      </w:r>
    </w:p>
    <w:p w14:paraId="17B40EE8" w14:textId="77777777" w:rsidR="006C0A5E"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 xml:space="preserve">Toda alteración de las condiciones tenidas en cuenta para la concesión de la subvención y, en todo caso, la obtención concurrente de subvenciones o ayudas concedidas por cualquier entidad pública o privada dará lugar a la modificación de la resolución de concesión, así como al reintegro parcial de la misma. Una vez aprobada la subvención, cuando las circunstancias de hecho que motivaron su concesión puedan dar lugar a una modificación de dicha subvención, a propuesta razonada de su beneficiaria, </w:t>
      </w:r>
      <w:r w:rsidRPr="00716064">
        <w:rPr>
          <w:rFonts w:cs="Times New Roman"/>
          <w:sz w:val="22"/>
          <w:szCs w:val="22"/>
          <w:lang w:eastAsia="es-ES" w:bidi="ar-SA"/>
        </w:rPr>
        <w:t>la persona titular de</w:t>
      </w:r>
      <w:r>
        <w:rPr>
          <w:rFonts w:cs="Times New Roman"/>
          <w:sz w:val="22"/>
          <w:szCs w:val="22"/>
          <w:lang w:eastAsia="es-ES" w:bidi="ar-SA"/>
        </w:rPr>
        <w:t xml:space="preserve"> departamento</w:t>
      </w:r>
      <w:r w:rsidRPr="00104054">
        <w:rPr>
          <w:rFonts w:cs="Times New Roman"/>
          <w:sz w:val="22"/>
          <w:szCs w:val="22"/>
          <w:lang w:eastAsia="es-ES" w:bidi="ar-SA"/>
        </w:rPr>
        <w:t xml:space="preserve"> de Equilibrio Territorial y Ordenación del Territorio podrá modificar ésta mediante la correspondiente Orden Foral.</w:t>
      </w:r>
    </w:p>
    <w:p w14:paraId="71ACA4B8" w14:textId="59473D22"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t>1</w:t>
      </w:r>
      <w:r w:rsidR="008D3780">
        <w:rPr>
          <w:rFonts w:cs="Times New Roman"/>
          <w:b/>
          <w:sz w:val="22"/>
          <w:szCs w:val="22"/>
          <w:lang w:eastAsia="es-ES" w:bidi="ar-SA"/>
        </w:rPr>
        <w:t>6</w:t>
      </w:r>
      <w:r w:rsidRPr="00104054">
        <w:rPr>
          <w:rFonts w:cs="Times New Roman"/>
          <w:b/>
          <w:sz w:val="22"/>
          <w:szCs w:val="22"/>
          <w:lang w:eastAsia="es-ES" w:bidi="ar-SA"/>
        </w:rPr>
        <w:t>. Interpretación.</w:t>
      </w:r>
    </w:p>
    <w:p w14:paraId="07382584" w14:textId="77777777" w:rsidR="006C0A5E" w:rsidRPr="00104054" w:rsidRDefault="006C0A5E" w:rsidP="00EB2361">
      <w:pPr>
        <w:suppressAutoHyphens w:val="0"/>
        <w:spacing w:after="600"/>
        <w:jc w:val="both"/>
        <w:rPr>
          <w:rFonts w:cs="Times New Roman"/>
          <w:sz w:val="22"/>
          <w:szCs w:val="22"/>
          <w:lang w:eastAsia="es-ES" w:bidi="ar-SA"/>
        </w:rPr>
      </w:pPr>
      <w:r w:rsidRPr="00104054">
        <w:rPr>
          <w:rFonts w:cs="Times New Roman"/>
          <w:sz w:val="22"/>
          <w:szCs w:val="22"/>
          <w:lang w:eastAsia="es-ES" w:bidi="ar-SA"/>
        </w:rPr>
        <w:t>Cualquier duda que pudiera surgir en torno a la interpretación de estas bases será resuelta por el Departamento de Equilibrio Territorial y Ordenación del Territorio de esta Diputación.</w:t>
      </w:r>
    </w:p>
    <w:p w14:paraId="1003DBCC" w14:textId="4DB0E1A7" w:rsidR="006C0A5E" w:rsidRPr="00104054" w:rsidRDefault="006C0A5E" w:rsidP="006C0A5E">
      <w:pPr>
        <w:suppressAutoHyphens w:val="0"/>
        <w:spacing w:after="240"/>
        <w:jc w:val="both"/>
        <w:rPr>
          <w:rFonts w:cs="Times New Roman"/>
          <w:b/>
          <w:sz w:val="22"/>
          <w:szCs w:val="22"/>
          <w:lang w:eastAsia="es-ES" w:bidi="ar-SA"/>
        </w:rPr>
      </w:pPr>
      <w:r w:rsidRPr="00104054">
        <w:rPr>
          <w:rFonts w:cs="Times New Roman"/>
          <w:b/>
          <w:sz w:val="22"/>
          <w:szCs w:val="22"/>
          <w:lang w:eastAsia="es-ES" w:bidi="ar-SA"/>
        </w:rPr>
        <w:lastRenderedPageBreak/>
        <w:t>1</w:t>
      </w:r>
      <w:r w:rsidR="008D3780">
        <w:rPr>
          <w:rFonts w:cs="Times New Roman"/>
          <w:b/>
          <w:sz w:val="22"/>
          <w:szCs w:val="22"/>
          <w:lang w:eastAsia="es-ES" w:bidi="ar-SA"/>
        </w:rPr>
        <w:t>7</w:t>
      </w:r>
      <w:r w:rsidRPr="00104054">
        <w:rPr>
          <w:rFonts w:cs="Times New Roman"/>
          <w:b/>
          <w:sz w:val="22"/>
          <w:szCs w:val="22"/>
          <w:lang w:eastAsia="es-ES" w:bidi="ar-SA"/>
        </w:rPr>
        <w:t>. Recursos.</w:t>
      </w:r>
    </w:p>
    <w:p w14:paraId="7F13E657" w14:textId="77777777" w:rsidR="006C0A5E" w:rsidRDefault="006C0A5E" w:rsidP="006C0A5E">
      <w:pPr>
        <w:suppressAutoHyphens w:val="0"/>
        <w:spacing w:after="240"/>
        <w:jc w:val="both"/>
        <w:rPr>
          <w:rFonts w:cs="Times New Roman"/>
          <w:sz w:val="22"/>
          <w:szCs w:val="22"/>
          <w:lang w:eastAsia="es-ES" w:bidi="ar-SA"/>
        </w:rPr>
      </w:pPr>
      <w:r w:rsidRPr="00104054">
        <w:rPr>
          <w:rFonts w:cs="Times New Roman"/>
          <w:sz w:val="22"/>
          <w:szCs w:val="22"/>
          <w:lang w:eastAsia="es-ES" w:bidi="ar-SA"/>
        </w:rPr>
        <w:t>Las presentes bases y cuantos actos administrativos se deriven de ella, podrán ser impugnados en los casos y en la forma establecidos por la Ley 39/2015, de 1 de octubre, del Procedimiento Administrativo Común de las Administraciones Públicas.</w:t>
      </w:r>
    </w:p>
    <w:p w14:paraId="39789184" w14:textId="233233E7" w:rsidR="006C0A5E" w:rsidRPr="00104054" w:rsidRDefault="008D3780" w:rsidP="006C0A5E">
      <w:pPr>
        <w:suppressAutoHyphens w:val="0"/>
        <w:spacing w:after="240"/>
        <w:jc w:val="both"/>
        <w:rPr>
          <w:rFonts w:cs="Times New Roman"/>
          <w:b/>
          <w:sz w:val="22"/>
          <w:szCs w:val="22"/>
          <w:lang w:eastAsia="es-ES" w:bidi="ar-SA"/>
        </w:rPr>
      </w:pPr>
      <w:r>
        <w:rPr>
          <w:rFonts w:cs="Times New Roman"/>
          <w:b/>
          <w:sz w:val="22"/>
          <w:szCs w:val="22"/>
          <w:lang w:eastAsia="es-ES" w:bidi="ar-SA"/>
        </w:rPr>
        <w:t>1</w:t>
      </w:r>
      <w:r w:rsidR="0013254A">
        <w:rPr>
          <w:rFonts w:cs="Times New Roman"/>
          <w:b/>
          <w:sz w:val="22"/>
          <w:szCs w:val="22"/>
          <w:lang w:eastAsia="es-ES" w:bidi="ar-SA"/>
        </w:rPr>
        <w:t>8</w:t>
      </w:r>
      <w:r w:rsidR="006C0A5E" w:rsidRPr="00104054">
        <w:rPr>
          <w:rFonts w:cs="Times New Roman"/>
          <w:b/>
          <w:sz w:val="22"/>
          <w:szCs w:val="22"/>
          <w:lang w:eastAsia="es-ES" w:bidi="ar-SA"/>
        </w:rPr>
        <w:t>. Normativa aplicable.</w:t>
      </w:r>
    </w:p>
    <w:p w14:paraId="61733CCF" w14:textId="77777777" w:rsidR="006C0A5E" w:rsidRPr="00104054" w:rsidRDefault="006C0A5E" w:rsidP="006C0A5E">
      <w:pPr>
        <w:suppressAutoHyphens w:val="0"/>
        <w:spacing w:after="240"/>
        <w:jc w:val="both"/>
        <w:rPr>
          <w:rFonts w:cs="Times New Roman"/>
          <w:sz w:val="22"/>
          <w:lang w:eastAsia="es-ES" w:bidi="ar-SA"/>
        </w:rPr>
      </w:pPr>
      <w:r w:rsidRPr="00104054">
        <w:rPr>
          <w:rFonts w:cs="Times New Roman"/>
          <w:sz w:val="22"/>
          <w:szCs w:val="22"/>
          <w:lang w:eastAsia="es-ES" w:bidi="ar-SA"/>
        </w:rPr>
        <w:t xml:space="preserve">En lo no dispuesto en las presentes bases se regulará por la Norma Foral 11/2016, de subvenciones del Territorio Histórico de Álava, </w:t>
      </w:r>
      <w:r>
        <w:rPr>
          <w:rFonts w:cs="Times New Roman"/>
          <w:sz w:val="22"/>
          <w:szCs w:val="22"/>
          <w:lang w:eastAsia="es-ES" w:bidi="ar-SA"/>
        </w:rPr>
        <w:t xml:space="preserve">la </w:t>
      </w:r>
      <w:r w:rsidRPr="00104054">
        <w:rPr>
          <w:rFonts w:cs="Times New Roman"/>
          <w:sz w:val="22"/>
          <w:szCs w:val="22"/>
          <w:lang w:eastAsia="es-ES" w:bidi="ar-SA"/>
        </w:rPr>
        <w:t xml:space="preserve">Ley 38/2003, de 17 de noviembre, General de Subvenciones, </w:t>
      </w:r>
      <w:r>
        <w:rPr>
          <w:rFonts w:cs="Times New Roman"/>
          <w:sz w:val="22"/>
          <w:szCs w:val="22"/>
          <w:lang w:eastAsia="es-ES" w:bidi="ar-SA"/>
        </w:rPr>
        <w:t xml:space="preserve">el </w:t>
      </w:r>
      <w:r w:rsidRPr="00104054">
        <w:rPr>
          <w:rFonts w:cs="Times New Roman"/>
          <w:sz w:val="22"/>
          <w:szCs w:val="22"/>
          <w:lang w:eastAsia="es-ES" w:bidi="ar-SA"/>
        </w:rPr>
        <w:t xml:space="preserve">Real Decreto 887/2006, de 21 de julio, por el que se aprueba el Reglamento de la Ley 38/2003, de 17 de noviembre, General de Subvenciones, </w:t>
      </w:r>
      <w:r>
        <w:rPr>
          <w:rFonts w:cs="Times New Roman"/>
          <w:sz w:val="22"/>
          <w:szCs w:val="22"/>
          <w:lang w:eastAsia="es-ES" w:bidi="ar-SA"/>
        </w:rPr>
        <w:t xml:space="preserve">la </w:t>
      </w:r>
      <w:r w:rsidRPr="00104054">
        <w:rPr>
          <w:rFonts w:cs="Times New Roman"/>
          <w:sz w:val="22"/>
          <w:szCs w:val="22"/>
          <w:lang w:eastAsia="es-ES" w:bidi="ar-SA"/>
        </w:rPr>
        <w:t xml:space="preserve">Norma Foral 3/2023, de 25 de enero, General Presupuestaria del Territorio Histórico de Álava, la Norma Foral de </w:t>
      </w:r>
      <w:r w:rsidRPr="00716064">
        <w:rPr>
          <w:rFonts w:cs="Times New Roman"/>
          <w:sz w:val="22"/>
          <w:szCs w:val="22"/>
          <w:lang w:eastAsia="es-ES" w:bidi="ar-SA"/>
        </w:rPr>
        <w:t>ejecución presupuestaria</w:t>
      </w:r>
      <w:r w:rsidRPr="00104054">
        <w:rPr>
          <w:rFonts w:cs="Times New Roman"/>
          <w:sz w:val="22"/>
          <w:szCs w:val="22"/>
          <w:lang w:eastAsia="es-ES" w:bidi="ar-SA"/>
        </w:rPr>
        <w:t xml:space="preserve"> que se encuentre vigente,</w:t>
      </w:r>
      <w:r>
        <w:rPr>
          <w:rFonts w:cs="Times New Roman"/>
          <w:sz w:val="22"/>
          <w:szCs w:val="22"/>
          <w:lang w:eastAsia="es-ES" w:bidi="ar-SA"/>
        </w:rPr>
        <w:t xml:space="preserve"> la </w:t>
      </w:r>
      <w:r w:rsidRPr="00104054">
        <w:rPr>
          <w:rFonts w:cs="Times New Roman"/>
          <w:sz w:val="22"/>
          <w:szCs w:val="22"/>
          <w:lang w:eastAsia="es-ES" w:bidi="ar-SA"/>
        </w:rPr>
        <w:t>Ley 39/2015, de 1 de octubre, del Procedimiento Administrativo Común de las Administraciones Públicas y demás normativa que le sea de aplicación.</w:t>
      </w:r>
    </w:p>
    <w:p w14:paraId="1CF0B275" w14:textId="77777777" w:rsidR="006C0A5E" w:rsidRPr="004857F6" w:rsidRDefault="006C0A5E" w:rsidP="006C0A5E"/>
    <w:p w14:paraId="58FB0380" w14:textId="77777777" w:rsidR="006C0A5E" w:rsidRPr="00104054" w:rsidRDefault="006C0A5E" w:rsidP="006C0A5E">
      <w:pPr>
        <w:suppressAutoHyphens w:val="0"/>
        <w:spacing w:after="240"/>
        <w:jc w:val="both"/>
        <w:rPr>
          <w:rFonts w:cs="Times New Roman"/>
          <w:sz w:val="22"/>
          <w:lang w:eastAsia="es-ES" w:bidi="ar-SA"/>
        </w:rPr>
      </w:pPr>
    </w:p>
    <w:p w14:paraId="30C22CE7" w14:textId="77777777" w:rsidR="006C0A5E" w:rsidRDefault="006C0A5E" w:rsidP="006C0A5E"/>
    <w:p w14:paraId="3A3ABE72" w14:textId="7121E973" w:rsidR="00AD6030" w:rsidRPr="006C0A5E" w:rsidRDefault="00AD6030" w:rsidP="006C0A5E"/>
    <w:sectPr w:rsidR="00AD6030" w:rsidRPr="006C0A5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5A7E" w14:textId="77777777" w:rsidR="00507F66" w:rsidRDefault="00507F66" w:rsidP="00507F66">
      <w:r>
        <w:separator/>
      </w:r>
    </w:p>
  </w:endnote>
  <w:endnote w:type="continuationSeparator" w:id="0">
    <w:p w14:paraId="457902E9" w14:textId="77777777" w:rsidR="00507F66" w:rsidRDefault="00507F66" w:rsidP="0050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D7B7" w14:textId="77777777" w:rsidR="00507F66" w:rsidRDefault="00507F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FE6A" w14:textId="77777777" w:rsidR="00507F66" w:rsidRDefault="00507F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863" w14:textId="77777777" w:rsidR="00507F66" w:rsidRDefault="00507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B605" w14:textId="77777777" w:rsidR="00507F66" w:rsidRDefault="00507F66" w:rsidP="00507F66">
      <w:r>
        <w:separator/>
      </w:r>
    </w:p>
  </w:footnote>
  <w:footnote w:type="continuationSeparator" w:id="0">
    <w:p w14:paraId="582C2958" w14:textId="77777777" w:rsidR="00507F66" w:rsidRDefault="00507F66" w:rsidP="0050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1C1B" w14:textId="77777777" w:rsidR="00507F66" w:rsidRDefault="00507F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3856"/>
      <w:gridCol w:w="1361"/>
      <w:gridCol w:w="3856"/>
    </w:tblGrid>
    <w:tr w:rsidR="00507F66" w:rsidRPr="00507F66" w14:paraId="1925202F" w14:textId="77777777" w:rsidTr="00CA30D7">
      <w:trPr>
        <w:cantSplit/>
        <w:trHeight w:hRule="exact" w:val="338"/>
      </w:trPr>
      <w:tc>
        <w:tcPr>
          <w:tcW w:w="3856" w:type="dxa"/>
          <w:tcBorders>
            <w:bottom w:val="single" w:sz="4" w:space="0" w:color="000000"/>
          </w:tcBorders>
        </w:tcPr>
        <w:p w14:paraId="5ED160B0" w14:textId="77777777" w:rsidR="00507F66" w:rsidRPr="00507F66" w:rsidRDefault="00507F66" w:rsidP="00507F66">
          <w:pPr>
            <w:pStyle w:val="Encabezado"/>
          </w:pPr>
        </w:p>
      </w:tc>
      <w:tc>
        <w:tcPr>
          <w:tcW w:w="1361" w:type="dxa"/>
          <w:vMerge w:val="restart"/>
        </w:tcPr>
        <w:p w14:paraId="217717AE" w14:textId="77777777" w:rsidR="00507F66" w:rsidRPr="00507F66" w:rsidRDefault="00507F66" w:rsidP="00507F66">
          <w:pPr>
            <w:pStyle w:val="Encabezado"/>
          </w:pPr>
          <w:r w:rsidRPr="00507F66">
            <w:rPr>
              <w:noProof/>
            </w:rPr>
            <w:drawing>
              <wp:inline distT="0" distB="0" distL="0" distR="0" wp14:anchorId="6D13A140" wp14:editId="251E0325">
                <wp:extent cx="438150" cy="4381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solidFill>
                          <a:srgbClr val="FFFFFF"/>
                        </a:solidFill>
                        <a:ln>
                          <a:noFill/>
                        </a:ln>
                      </pic:spPr>
                    </pic:pic>
                  </a:graphicData>
                </a:graphic>
              </wp:inline>
            </w:drawing>
          </w:r>
        </w:p>
      </w:tc>
      <w:tc>
        <w:tcPr>
          <w:tcW w:w="3856" w:type="dxa"/>
          <w:tcBorders>
            <w:bottom w:val="single" w:sz="4" w:space="0" w:color="000000"/>
          </w:tcBorders>
        </w:tcPr>
        <w:p w14:paraId="70D43C95" w14:textId="77777777" w:rsidR="00507F66" w:rsidRPr="00507F66" w:rsidRDefault="00507F66" w:rsidP="00507F66">
          <w:pPr>
            <w:pStyle w:val="Encabezado"/>
          </w:pPr>
        </w:p>
      </w:tc>
    </w:tr>
    <w:tr w:rsidR="00507F66" w:rsidRPr="00507F66" w14:paraId="3AD0888F" w14:textId="77777777" w:rsidTr="00CA30D7">
      <w:trPr>
        <w:cantSplit/>
        <w:trHeight w:val="337"/>
      </w:trPr>
      <w:tc>
        <w:tcPr>
          <w:tcW w:w="3856" w:type="dxa"/>
          <w:tcBorders>
            <w:top w:val="single" w:sz="4" w:space="0" w:color="000000"/>
          </w:tcBorders>
        </w:tcPr>
        <w:p w14:paraId="40506EE2" w14:textId="77777777" w:rsidR="00507F66" w:rsidRPr="00507F66" w:rsidRDefault="00507F66" w:rsidP="00507F66">
          <w:pPr>
            <w:pStyle w:val="Encabezado"/>
          </w:pPr>
        </w:p>
      </w:tc>
      <w:tc>
        <w:tcPr>
          <w:tcW w:w="1361" w:type="dxa"/>
          <w:vMerge/>
        </w:tcPr>
        <w:p w14:paraId="68BABCB3" w14:textId="77777777" w:rsidR="00507F66" w:rsidRPr="00507F66" w:rsidRDefault="00507F66" w:rsidP="00507F66">
          <w:pPr>
            <w:pStyle w:val="Encabezado"/>
          </w:pPr>
        </w:p>
      </w:tc>
      <w:tc>
        <w:tcPr>
          <w:tcW w:w="3856" w:type="dxa"/>
          <w:tcBorders>
            <w:top w:val="single" w:sz="4" w:space="0" w:color="000000"/>
          </w:tcBorders>
        </w:tcPr>
        <w:p w14:paraId="5EE60EBE" w14:textId="77777777" w:rsidR="00507F66" w:rsidRPr="00507F66" w:rsidRDefault="00507F66" w:rsidP="00507F66">
          <w:pPr>
            <w:pStyle w:val="Encabezado"/>
          </w:pPr>
        </w:p>
      </w:tc>
    </w:tr>
  </w:tbl>
  <w:p w14:paraId="1C7B0B5D" w14:textId="1D4935EF" w:rsidR="00507F66" w:rsidRDefault="00507F66">
    <w:pPr>
      <w:pStyle w:val="Encabezado"/>
    </w:pPr>
  </w:p>
  <w:p w14:paraId="10F04C0C" w14:textId="77777777" w:rsidR="00507F66" w:rsidRDefault="00507F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E50E" w14:textId="77777777" w:rsidR="00507F66" w:rsidRDefault="00507F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984"/>
    <w:multiLevelType w:val="hybridMultilevel"/>
    <w:tmpl w:val="8F82FC32"/>
    <w:lvl w:ilvl="0" w:tplc="5C548634">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854D4"/>
    <w:multiLevelType w:val="hybridMultilevel"/>
    <w:tmpl w:val="C3E4B8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B6587F"/>
    <w:multiLevelType w:val="hybridMultilevel"/>
    <w:tmpl w:val="C60E8B54"/>
    <w:lvl w:ilvl="0" w:tplc="0C0A0019">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622D2B"/>
    <w:multiLevelType w:val="hybridMultilevel"/>
    <w:tmpl w:val="F75C4C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536CBE"/>
    <w:multiLevelType w:val="hybridMultilevel"/>
    <w:tmpl w:val="1A3E26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E84FBA"/>
    <w:multiLevelType w:val="hybridMultilevel"/>
    <w:tmpl w:val="B5BEE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CF02A5"/>
    <w:multiLevelType w:val="multilevel"/>
    <w:tmpl w:val="464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814EE"/>
    <w:multiLevelType w:val="hybridMultilevel"/>
    <w:tmpl w:val="3CD2D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890451F"/>
    <w:multiLevelType w:val="hybridMultilevel"/>
    <w:tmpl w:val="0E82FB62"/>
    <w:lvl w:ilvl="0" w:tplc="38928AC8">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DD5F33"/>
    <w:multiLevelType w:val="multilevel"/>
    <w:tmpl w:val="B556417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FC2733E"/>
    <w:multiLevelType w:val="hybridMultilevel"/>
    <w:tmpl w:val="CD6E7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B50704"/>
    <w:multiLevelType w:val="multilevel"/>
    <w:tmpl w:val="C60E8B54"/>
    <w:lvl w:ilvl="0">
      <w:start w:val="1"/>
      <w:numFmt w:val="lowerLetter"/>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15140E"/>
    <w:multiLevelType w:val="hybridMultilevel"/>
    <w:tmpl w:val="E37ED3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3442586">
    <w:abstractNumId w:val="9"/>
  </w:num>
  <w:num w:numId="2" w16cid:durableId="1667437249">
    <w:abstractNumId w:val="2"/>
  </w:num>
  <w:num w:numId="3" w16cid:durableId="1779329396">
    <w:abstractNumId w:val="3"/>
  </w:num>
  <w:num w:numId="4" w16cid:durableId="1844663654">
    <w:abstractNumId w:val="12"/>
  </w:num>
  <w:num w:numId="5" w16cid:durableId="1285039176">
    <w:abstractNumId w:val="7"/>
  </w:num>
  <w:num w:numId="6" w16cid:durableId="319235649">
    <w:abstractNumId w:val="0"/>
  </w:num>
  <w:num w:numId="7" w16cid:durableId="1637251639">
    <w:abstractNumId w:val="11"/>
  </w:num>
  <w:num w:numId="8" w16cid:durableId="1190071148">
    <w:abstractNumId w:val="8"/>
  </w:num>
  <w:num w:numId="9" w16cid:durableId="2131777120">
    <w:abstractNumId w:val="1"/>
  </w:num>
  <w:num w:numId="10" w16cid:durableId="1367802184">
    <w:abstractNumId w:val="6"/>
  </w:num>
  <w:num w:numId="11" w16cid:durableId="767584084">
    <w:abstractNumId w:val="10"/>
  </w:num>
  <w:num w:numId="12" w16cid:durableId="1464614246">
    <w:abstractNumId w:val="5"/>
  </w:num>
  <w:num w:numId="13" w16cid:durableId="64389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30"/>
    <w:rsid w:val="00010F95"/>
    <w:rsid w:val="00027549"/>
    <w:rsid w:val="00053984"/>
    <w:rsid w:val="00060B61"/>
    <w:rsid w:val="000D2448"/>
    <w:rsid w:val="000D385A"/>
    <w:rsid w:val="001316BB"/>
    <w:rsid w:val="00131B33"/>
    <w:rsid w:val="0013254A"/>
    <w:rsid w:val="001423C9"/>
    <w:rsid w:val="001644F9"/>
    <w:rsid w:val="001858CD"/>
    <w:rsid w:val="001B7A22"/>
    <w:rsid w:val="001D4948"/>
    <w:rsid w:val="001F24A3"/>
    <w:rsid w:val="00223B78"/>
    <w:rsid w:val="0025722F"/>
    <w:rsid w:val="002714B3"/>
    <w:rsid w:val="00290E2C"/>
    <w:rsid w:val="002C3E6F"/>
    <w:rsid w:val="002F2496"/>
    <w:rsid w:val="0032696E"/>
    <w:rsid w:val="0037031E"/>
    <w:rsid w:val="00387E0A"/>
    <w:rsid w:val="0043131B"/>
    <w:rsid w:val="00447CC3"/>
    <w:rsid w:val="0047010E"/>
    <w:rsid w:val="004857F6"/>
    <w:rsid w:val="004F1BE0"/>
    <w:rsid w:val="00507F66"/>
    <w:rsid w:val="00532FB3"/>
    <w:rsid w:val="005404E5"/>
    <w:rsid w:val="00543A4C"/>
    <w:rsid w:val="00544688"/>
    <w:rsid w:val="0056535B"/>
    <w:rsid w:val="005B1A39"/>
    <w:rsid w:val="005E04D2"/>
    <w:rsid w:val="005E182D"/>
    <w:rsid w:val="005E1E91"/>
    <w:rsid w:val="005F6140"/>
    <w:rsid w:val="00623CED"/>
    <w:rsid w:val="0064796F"/>
    <w:rsid w:val="006C0A5E"/>
    <w:rsid w:val="006C2F3A"/>
    <w:rsid w:val="006C4F1F"/>
    <w:rsid w:val="006C6C7C"/>
    <w:rsid w:val="006E32C0"/>
    <w:rsid w:val="00707D46"/>
    <w:rsid w:val="00710FCD"/>
    <w:rsid w:val="00716064"/>
    <w:rsid w:val="007A064D"/>
    <w:rsid w:val="007C1460"/>
    <w:rsid w:val="00816115"/>
    <w:rsid w:val="00817C98"/>
    <w:rsid w:val="00826364"/>
    <w:rsid w:val="00843A35"/>
    <w:rsid w:val="0089491B"/>
    <w:rsid w:val="008B0854"/>
    <w:rsid w:val="008B6C40"/>
    <w:rsid w:val="008C61D0"/>
    <w:rsid w:val="008D3780"/>
    <w:rsid w:val="008E3F0E"/>
    <w:rsid w:val="00974D03"/>
    <w:rsid w:val="00982D07"/>
    <w:rsid w:val="00984209"/>
    <w:rsid w:val="009A7F67"/>
    <w:rsid w:val="009C763A"/>
    <w:rsid w:val="009F1177"/>
    <w:rsid w:val="00A97E06"/>
    <w:rsid w:val="00AD1B7C"/>
    <w:rsid w:val="00AD6030"/>
    <w:rsid w:val="00B11BED"/>
    <w:rsid w:val="00B26BA2"/>
    <w:rsid w:val="00B26BC2"/>
    <w:rsid w:val="00B34AED"/>
    <w:rsid w:val="00B45B83"/>
    <w:rsid w:val="00B5192D"/>
    <w:rsid w:val="00B70447"/>
    <w:rsid w:val="00BF6B5B"/>
    <w:rsid w:val="00C22393"/>
    <w:rsid w:val="00C277CB"/>
    <w:rsid w:val="00C4316C"/>
    <w:rsid w:val="00C52B72"/>
    <w:rsid w:val="00C71A3B"/>
    <w:rsid w:val="00C83229"/>
    <w:rsid w:val="00C93922"/>
    <w:rsid w:val="00CD3438"/>
    <w:rsid w:val="00CD78D3"/>
    <w:rsid w:val="00D17E73"/>
    <w:rsid w:val="00D27055"/>
    <w:rsid w:val="00D31354"/>
    <w:rsid w:val="00D410C7"/>
    <w:rsid w:val="00D538D0"/>
    <w:rsid w:val="00D6258F"/>
    <w:rsid w:val="00D76753"/>
    <w:rsid w:val="00D93A0D"/>
    <w:rsid w:val="00DD056D"/>
    <w:rsid w:val="00E24368"/>
    <w:rsid w:val="00E2448B"/>
    <w:rsid w:val="00E93B38"/>
    <w:rsid w:val="00E94AE6"/>
    <w:rsid w:val="00EA2141"/>
    <w:rsid w:val="00EA339B"/>
    <w:rsid w:val="00EB2361"/>
    <w:rsid w:val="00ED1704"/>
    <w:rsid w:val="00EE6499"/>
    <w:rsid w:val="00EF360B"/>
    <w:rsid w:val="00EF44E0"/>
    <w:rsid w:val="00EF5E38"/>
    <w:rsid w:val="00F025DA"/>
    <w:rsid w:val="00F13725"/>
    <w:rsid w:val="00F2475B"/>
    <w:rsid w:val="00F25918"/>
    <w:rsid w:val="00F60E66"/>
    <w:rsid w:val="00F830BD"/>
    <w:rsid w:val="00FF3E0D"/>
    <w:rsid w:val="00FF61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B6BB"/>
  <w15:chartTrackingRefBased/>
  <w15:docId w15:val="{A4EFE93E-F276-409B-83A5-39715A9A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F6"/>
    <w:pPr>
      <w:suppressAutoHyphens/>
      <w:spacing w:after="0" w:line="240" w:lineRule="auto"/>
    </w:pPr>
    <w:rPr>
      <w:rFonts w:ascii="Times New Roman" w:eastAsia="Times New Roman" w:hAnsi="Times New Roman" w:cs="Arial"/>
      <w:kern w:val="0"/>
      <w:sz w:val="20"/>
      <w:szCs w:val="20"/>
      <w:lang w:eastAsia="or-IN" w:bidi="or-IN"/>
      <w14:ligatures w14:val="none"/>
    </w:rPr>
  </w:style>
  <w:style w:type="paragraph" w:styleId="Ttulo1">
    <w:name w:val="heading 1"/>
    <w:basedOn w:val="Normal"/>
    <w:next w:val="Normal"/>
    <w:link w:val="Ttulo1Car"/>
    <w:uiPriority w:val="9"/>
    <w:qFormat/>
    <w:rsid w:val="00AD6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6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60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60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60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603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603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603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603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60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60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60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60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60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60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60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60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6030"/>
    <w:rPr>
      <w:rFonts w:eastAsiaTheme="majorEastAsia" w:cstheme="majorBidi"/>
      <w:color w:val="272727" w:themeColor="text1" w:themeTint="D8"/>
    </w:rPr>
  </w:style>
  <w:style w:type="paragraph" w:styleId="Ttulo">
    <w:name w:val="Title"/>
    <w:basedOn w:val="Normal"/>
    <w:next w:val="Normal"/>
    <w:link w:val="TtuloCar"/>
    <w:uiPriority w:val="10"/>
    <w:qFormat/>
    <w:rsid w:val="00AD60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60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60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60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6030"/>
    <w:pPr>
      <w:spacing w:before="160"/>
      <w:jc w:val="center"/>
    </w:pPr>
    <w:rPr>
      <w:i/>
      <w:iCs/>
      <w:color w:val="404040" w:themeColor="text1" w:themeTint="BF"/>
    </w:rPr>
  </w:style>
  <w:style w:type="character" w:customStyle="1" w:styleId="CitaCar">
    <w:name w:val="Cita Car"/>
    <w:basedOn w:val="Fuentedeprrafopredeter"/>
    <w:link w:val="Cita"/>
    <w:uiPriority w:val="29"/>
    <w:rsid w:val="00AD6030"/>
    <w:rPr>
      <w:i/>
      <w:iCs/>
      <w:color w:val="404040" w:themeColor="text1" w:themeTint="BF"/>
    </w:rPr>
  </w:style>
  <w:style w:type="paragraph" w:styleId="Prrafodelista">
    <w:name w:val="List Paragraph"/>
    <w:basedOn w:val="Normal"/>
    <w:uiPriority w:val="34"/>
    <w:qFormat/>
    <w:rsid w:val="00AD6030"/>
    <w:pPr>
      <w:ind w:left="720"/>
      <w:contextualSpacing/>
    </w:pPr>
  </w:style>
  <w:style w:type="character" w:styleId="nfasisintenso">
    <w:name w:val="Intense Emphasis"/>
    <w:basedOn w:val="Fuentedeprrafopredeter"/>
    <w:uiPriority w:val="21"/>
    <w:qFormat/>
    <w:rsid w:val="00AD6030"/>
    <w:rPr>
      <w:i/>
      <w:iCs/>
      <w:color w:val="0F4761" w:themeColor="accent1" w:themeShade="BF"/>
    </w:rPr>
  </w:style>
  <w:style w:type="paragraph" w:styleId="Citadestacada">
    <w:name w:val="Intense Quote"/>
    <w:basedOn w:val="Normal"/>
    <w:next w:val="Normal"/>
    <w:link w:val="CitadestacadaCar"/>
    <w:uiPriority w:val="30"/>
    <w:qFormat/>
    <w:rsid w:val="00AD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6030"/>
    <w:rPr>
      <w:i/>
      <w:iCs/>
      <w:color w:val="0F4761" w:themeColor="accent1" w:themeShade="BF"/>
    </w:rPr>
  </w:style>
  <w:style w:type="character" w:styleId="Referenciaintensa">
    <w:name w:val="Intense Reference"/>
    <w:basedOn w:val="Fuentedeprrafopredeter"/>
    <w:uiPriority w:val="32"/>
    <w:qFormat/>
    <w:rsid w:val="00AD6030"/>
    <w:rPr>
      <w:b/>
      <w:bCs/>
      <w:smallCaps/>
      <w:color w:val="0F4761" w:themeColor="accent1" w:themeShade="BF"/>
      <w:spacing w:val="5"/>
    </w:rPr>
  </w:style>
  <w:style w:type="paragraph" w:styleId="Encabezado">
    <w:name w:val="header"/>
    <w:basedOn w:val="Normal"/>
    <w:link w:val="EncabezadoCar"/>
    <w:uiPriority w:val="99"/>
    <w:unhideWhenUsed/>
    <w:rsid w:val="00507F66"/>
    <w:pPr>
      <w:tabs>
        <w:tab w:val="center" w:pos="4252"/>
        <w:tab w:val="right" w:pos="8504"/>
      </w:tabs>
    </w:pPr>
  </w:style>
  <w:style w:type="character" w:customStyle="1" w:styleId="EncabezadoCar">
    <w:name w:val="Encabezado Car"/>
    <w:basedOn w:val="Fuentedeprrafopredeter"/>
    <w:link w:val="Encabezado"/>
    <w:uiPriority w:val="99"/>
    <w:rsid w:val="00507F66"/>
  </w:style>
  <w:style w:type="paragraph" w:styleId="Piedepgina">
    <w:name w:val="footer"/>
    <w:basedOn w:val="Normal"/>
    <w:link w:val="PiedepginaCar"/>
    <w:uiPriority w:val="99"/>
    <w:unhideWhenUsed/>
    <w:rsid w:val="00507F66"/>
    <w:pPr>
      <w:tabs>
        <w:tab w:val="center" w:pos="4252"/>
        <w:tab w:val="right" w:pos="8504"/>
      </w:tabs>
    </w:pPr>
  </w:style>
  <w:style w:type="character" w:customStyle="1" w:styleId="PiedepginaCar">
    <w:name w:val="Pie de página Car"/>
    <w:basedOn w:val="Fuentedeprrafopredeter"/>
    <w:link w:val="Piedepgina"/>
    <w:uiPriority w:val="99"/>
    <w:rsid w:val="00507F66"/>
  </w:style>
  <w:style w:type="character" w:styleId="Hipervnculo">
    <w:name w:val="Hyperlink"/>
    <w:basedOn w:val="Fuentedeprrafopredeter"/>
    <w:uiPriority w:val="99"/>
    <w:unhideWhenUsed/>
    <w:rsid w:val="00C22393"/>
    <w:rPr>
      <w:color w:val="467886" w:themeColor="hyperlink"/>
      <w:u w:val="single"/>
    </w:rPr>
  </w:style>
  <w:style w:type="character" w:styleId="Mencinsinresolver">
    <w:name w:val="Unresolved Mention"/>
    <w:basedOn w:val="Fuentedeprrafopredeter"/>
    <w:uiPriority w:val="99"/>
    <w:semiHidden/>
    <w:unhideWhenUsed/>
    <w:rsid w:val="00C2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991">
      <w:bodyDiv w:val="1"/>
      <w:marLeft w:val="0"/>
      <w:marRight w:val="0"/>
      <w:marTop w:val="0"/>
      <w:marBottom w:val="0"/>
      <w:divBdr>
        <w:top w:val="none" w:sz="0" w:space="0" w:color="auto"/>
        <w:left w:val="none" w:sz="0" w:space="0" w:color="auto"/>
        <w:bottom w:val="none" w:sz="0" w:space="0" w:color="auto"/>
        <w:right w:val="none" w:sz="0" w:space="0" w:color="auto"/>
      </w:divBdr>
    </w:div>
    <w:div w:id="155069910">
      <w:bodyDiv w:val="1"/>
      <w:marLeft w:val="0"/>
      <w:marRight w:val="0"/>
      <w:marTop w:val="0"/>
      <w:marBottom w:val="0"/>
      <w:divBdr>
        <w:top w:val="none" w:sz="0" w:space="0" w:color="auto"/>
        <w:left w:val="none" w:sz="0" w:space="0" w:color="auto"/>
        <w:bottom w:val="none" w:sz="0" w:space="0" w:color="auto"/>
        <w:right w:val="none" w:sz="0" w:space="0" w:color="auto"/>
      </w:divBdr>
      <w:divsChild>
        <w:div w:id="1331368267">
          <w:marLeft w:val="-225"/>
          <w:marRight w:val="-225"/>
          <w:marTop w:val="0"/>
          <w:marBottom w:val="0"/>
          <w:divBdr>
            <w:top w:val="none" w:sz="0" w:space="0" w:color="auto"/>
            <w:left w:val="none" w:sz="0" w:space="0" w:color="auto"/>
            <w:bottom w:val="none" w:sz="0" w:space="0" w:color="auto"/>
            <w:right w:val="none" w:sz="0" w:space="0" w:color="auto"/>
          </w:divBdr>
          <w:divsChild>
            <w:div w:id="1619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057">
      <w:bodyDiv w:val="1"/>
      <w:marLeft w:val="0"/>
      <w:marRight w:val="0"/>
      <w:marTop w:val="0"/>
      <w:marBottom w:val="0"/>
      <w:divBdr>
        <w:top w:val="none" w:sz="0" w:space="0" w:color="auto"/>
        <w:left w:val="none" w:sz="0" w:space="0" w:color="auto"/>
        <w:bottom w:val="none" w:sz="0" w:space="0" w:color="auto"/>
        <w:right w:val="none" w:sz="0" w:space="0" w:color="auto"/>
      </w:divBdr>
      <w:divsChild>
        <w:div w:id="1981230818">
          <w:marLeft w:val="-225"/>
          <w:marRight w:val="-225"/>
          <w:marTop w:val="0"/>
          <w:marBottom w:val="0"/>
          <w:divBdr>
            <w:top w:val="none" w:sz="0" w:space="0" w:color="auto"/>
            <w:left w:val="none" w:sz="0" w:space="0" w:color="auto"/>
            <w:bottom w:val="none" w:sz="0" w:space="0" w:color="auto"/>
            <w:right w:val="none" w:sz="0" w:space="0" w:color="auto"/>
          </w:divBdr>
          <w:divsChild>
            <w:div w:id="17708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8807">
      <w:bodyDiv w:val="1"/>
      <w:marLeft w:val="0"/>
      <w:marRight w:val="0"/>
      <w:marTop w:val="0"/>
      <w:marBottom w:val="0"/>
      <w:divBdr>
        <w:top w:val="none" w:sz="0" w:space="0" w:color="auto"/>
        <w:left w:val="none" w:sz="0" w:space="0" w:color="auto"/>
        <w:bottom w:val="none" w:sz="0" w:space="0" w:color="auto"/>
        <w:right w:val="none" w:sz="0" w:space="0" w:color="auto"/>
      </w:divBdr>
    </w:div>
    <w:div w:id="1512257790">
      <w:bodyDiv w:val="1"/>
      <w:marLeft w:val="0"/>
      <w:marRight w:val="0"/>
      <w:marTop w:val="0"/>
      <w:marBottom w:val="0"/>
      <w:divBdr>
        <w:top w:val="none" w:sz="0" w:space="0" w:color="auto"/>
        <w:left w:val="none" w:sz="0" w:space="0" w:color="auto"/>
        <w:bottom w:val="none" w:sz="0" w:space="0" w:color="auto"/>
        <w:right w:val="none" w:sz="0" w:space="0" w:color="auto"/>
      </w:divBdr>
    </w:div>
    <w:div w:id="1618443424">
      <w:bodyDiv w:val="1"/>
      <w:marLeft w:val="0"/>
      <w:marRight w:val="0"/>
      <w:marTop w:val="0"/>
      <w:marBottom w:val="0"/>
      <w:divBdr>
        <w:top w:val="none" w:sz="0" w:space="0" w:color="auto"/>
        <w:left w:val="none" w:sz="0" w:space="0" w:color="auto"/>
        <w:bottom w:val="none" w:sz="0" w:space="0" w:color="auto"/>
        <w:right w:val="none" w:sz="0" w:space="0" w:color="auto"/>
      </w:divBdr>
    </w:div>
    <w:div w:id="2135907984">
      <w:bodyDiv w:val="1"/>
      <w:marLeft w:val="0"/>
      <w:marRight w:val="0"/>
      <w:marTop w:val="0"/>
      <w:marBottom w:val="0"/>
      <w:divBdr>
        <w:top w:val="none" w:sz="0" w:space="0" w:color="auto"/>
        <w:left w:val="none" w:sz="0" w:space="0" w:color="auto"/>
        <w:bottom w:val="none" w:sz="0" w:space="0" w:color="auto"/>
        <w:right w:val="none" w:sz="0" w:space="0" w:color="auto"/>
      </w:divBdr>
      <w:divsChild>
        <w:div w:id="178811195">
          <w:marLeft w:val="-225"/>
          <w:marRight w:val="-225"/>
          <w:marTop w:val="0"/>
          <w:marBottom w:val="0"/>
          <w:divBdr>
            <w:top w:val="none" w:sz="0" w:space="0" w:color="auto"/>
            <w:left w:val="none" w:sz="0" w:space="0" w:color="auto"/>
            <w:bottom w:val="none" w:sz="0" w:space="0" w:color="auto"/>
            <w:right w:val="none" w:sz="0" w:space="0" w:color="auto"/>
          </w:divBdr>
          <w:divsChild>
            <w:div w:id="651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energiadeluzia.es/coches-electricos-el-futuro-de-la-movilid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aenergiadeluzia.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860</TotalTime>
  <Pages>6</Pages>
  <Words>2472</Words>
  <Characters>13600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Alday Galan, Eduardo</dc:creator>
  <cp:keywords/>
  <dc:description/>
  <cp:lastModifiedBy>Ibañez Beltran de Heredia, Lorea</cp:lastModifiedBy>
  <cp:revision>51</cp:revision>
  <dcterms:created xsi:type="dcterms:W3CDTF">2026-02-04T07:29:00Z</dcterms:created>
  <dcterms:modified xsi:type="dcterms:W3CDTF">2026-06-09T06:09:00Z</dcterms:modified>
</cp:coreProperties>
</file>