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BB47A" w14:textId="77777777" w:rsidR="00B83E84" w:rsidRPr="00854372" w:rsidRDefault="007E5716">
      <w:pPr>
        <w:spacing w:after="12" w:line="265" w:lineRule="auto"/>
        <w:ind w:left="-5804" w:right="804"/>
        <w:jc w:val="right"/>
        <w:rPr>
          <w:color w:val="auto"/>
          <w:lang w:val="eu-ES"/>
        </w:rPr>
      </w:pPr>
      <w:r w:rsidRPr="00854372">
        <w:rPr>
          <w:noProof/>
          <w:color w:val="auto"/>
          <w:lang w:val="eu-ES"/>
        </w:rPr>
        <w:drawing>
          <wp:anchor distT="0" distB="0" distL="114300" distR="114300" simplePos="0" relativeHeight="251658240" behindDoc="0" locked="0" layoutInCell="1" allowOverlap="0" wp14:anchorId="7AD0B1CE" wp14:editId="33422FF0">
            <wp:simplePos x="0" y="0"/>
            <wp:positionH relativeFrom="column">
              <wp:posOffset>-628649</wp:posOffset>
            </wp:positionH>
            <wp:positionV relativeFrom="paragraph">
              <wp:posOffset>-191105</wp:posOffset>
            </wp:positionV>
            <wp:extent cx="2105025" cy="7143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2105025" cy="714375"/>
                    </a:xfrm>
                    <a:prstGeom prst="rect">
                      <a:avLst/>
                    </a:prstGeom>
                  </pic:spPr>
                </pic:pic>
              </a:graphicData>
            </a:graphic>
          </wp:anchor>
        </w:drawing>
      </w:r>
      <w:r w:rsidRPr="00854372">
        <w:rPr>
          <w:rFonts w:ascii="Arial" w:eastAsia="Arial" w:hAnsi="Arial" w:cs="Arial"/>
          <w:b/>
          <w:bCs/>
          <w:color w:val="auto"/>
          <w:sz w:val="18"/>
          <w:szCs w:val="18"/>
          <w:lang w:val="eu-ES"/>
        </w:rPr>
        <w:t>Foru Gobernu Kontseilua</w:t>
      </w:r>
    </w:p>
    <w:p w14:paraId="6F577659" w14:textId="77777777" w:rsidR="00B83E84" w:rsidRPr="00854372" w:rsidRDefault="007E5716">
      <w:pPr>
        <w:spacing w:after="1418" w:line="265" w:lineRule="auto"/>
        <w:ind w:left="-5804" w:right="648"/>
        <w:jc w:val="right"/>
        <w:rPr>
          <w:color w:val="auto"/>
          <w:lang w:val="eu-ES"/>
        </w:rPr>
      </w:pPr>
      <w:r w:rsidRPr="00854372">
        <w:rPr>
          <w:rFonts w:ascii="Arial" w:eastAsia="Arial" w:hAnsi="Arial" w:cs="Arial"/>
          <w:b/>
          <w:bCs/>
          <w:color w:val="auto"/>
          <w:sz w:val="18"/>
          <w:szCs w:val="18"/>
          <w:lang w:val="eu-ES"/>
        </w:rPr>
        <w:t>Consejo de Gobierno Foral</w:t>
      </w:r>
    </w:p>
    <w:p w14:paraId="09641FDC" w14:textId="77777777" w:rsidR="00675E99" w:rsidRPr="00854372" w:rsidRDefault="007E5716" w:rsidP="00DC3CD9">
      <w:pPr>
        <w:spacing w:after="735" w:line="259" w:lineRule="auto"/>
        <w:ind w:left="-18" w:right="-1" w:firstLine="0"/>
        <w:jc w:val="left"/>
        <w:rPr>
          <w:color w:val="auto"/>
          <w:lang w:val="eu-ES"/>
        </w:rPr>
      </w:pPr>
      <w:r w:rsidRPr="00854372">
        <w:rPr>
          <w:rFonts w:ascii="Calibri" w:eastAsia="Calibri" w:hAnsi="Calibri" w:cs="Calibri"/>
          <w:noProof/>
          <w:color w:val="auto"/>
          <w:lang w:val="eu-ES"/>
        </w:rPr>
        <mc:AlternateContent>
          <mc:Choice Requires="wpg">
            <w:drawing>
              <wp:inline distT="0" distB="0" distL="0" distR="0" wp14:anchorId="0D35C6A8" wp14:editId="6312E4E9">
                <wp:extent cx="5591810" cy="6350"/>
                <wp:effectExtent l="0" t="0" r="0" b="0"/>
                <wp:docPr id="16114" name="Group 16114"/>
                <wp:cNvGraphicFramePr/>
                <a:graphic xmlns:a="http://schemas.openxmlformats.org/drawingml/2006/main">
                  <a:graphicData uri="http://schemas.microsoft.com/office/word/2010/wordprocessingGroup">
                    <wpg:wgp>
                      <wpg:cNvGrpSpPr/>
                      <wpg:grpSpPr>
                        <a:xfrm>
                          <a:off x="0" y="0"/>
                          <a:ext cx="5591810" cy="6350"/>
                          <a:chOff x="0" y="0"/>
                          <a:chExt cx="5591810" cy="6350"/>
                        </a:xfrm>
                      </wpg:grpSpPr>
                      <wps:wsp>
                        <wps:cNvPr id="10" name="Shape 10"/>
                        <wps:cNvSpPr/>
                        <wps:spPr>
                          <a:xfrm>
                            <a:off x="0" y="0"/>
                            <a:ext cx="5591810" cy="0"/>
                          </a:xfrm>
                          <a:custGeom>
                            <a:avLst/>
                            <a:gdLst/>
                            <a:ahLst/>
                            <a:cxnLst/>
                            <a:rect l="0" t="0" r="0" b="0"/>
                            <a:pathLst>
                              <a:path w="5591810">
                                <a:moveTo>
                                  <a:pt x="0" y="0"/>
                                </a:moveTo>
                                <a:lnTo>
                                  <a:pt x="5591810" y="0"/>
                                </a:lnTo>
                              </a:path>
                            </a:pathLst>
                          </a:custGeom>
                          <a:ln w="6350">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id="_x0000_i1025" style="width:440.3pt;height:0.5pt;mso-position-horizontal-relative:char;mso-position-vertical-relative:line" coordsize="55918,63">
                <v:shape id="_x0000_s1026" style="width:55918;height:0;position:absolute" coordsize="5591810,0" path="m,l5591810,e" filled="f" fillcolor="black" stroked="t" strokecolor="black">
                  <v:fill opacity="0"/>
                  <v:stroke joinstyle="miter" endcap="flat"/>
                </v:shape>
                <w10:wrap type="none"/>
              </v:group>
            </w:pict>
          </mc:Fallback>
        </mc:AlternateContent>
      </w:r>
    </w:p>
    <w:p w14:paraId="6126E135" w14:textId="77777777" w:rsidR="00E76DD3" w:rsidRPr="00854372" w:rsidRDefault="007E5716" w:rsidP="00A015E4">
      <w:pPr>
        <w:ind w:left="-5" w:right="0"/>
        <w:rPr>
          <w:b/>
          <w:bCs/>
          <w:color w:val="auto"/>
          <w:lang w:val="eu-ES"/>
        </w:rPr>
      </w:pPr>
      <w:r w:rsidRPr="00854372">
        <w:rPr>
          <w:b/>
          <w:bCs/>
          <w:color w:val="auto"/>
          <w:szCs w:val="22"/>
          <w:lang w:val="eu-ES"/>
        </w:rPr>
        <w:t>FORU DEKRETUA</w:t>
      </w:r>
    </w:p>
    <w:p w14:paraId="2B9AA77D" w14:textId="77777777" w:rsidR="00E76DD3" w:rsidRPr="00854372" w:rsidRDefault="007E5716" w:rsidP="00E76DD3">
      <w:pPr>
        <w:spacing w:after="0"/>
        <w:ind w:left="-5" w:right="0"/>
        <w:rPr>
          <w:color w:val="auto"/>
          <w:lang w:val="eu-ES"/>
        </w:rPr>
      </w:pPr>
      <w:r w:rsidRPr="00854372">
        <w:rPr>
          <w:color w:val="auto"/>
          <w:szCs w:val="22"/>
          <w:lang w:val="eu-ES"/>
        </w:rPr>
        <w:t>Lurralde Orekaren eta Lurralde Antolamenduaren Saila</w:t>
      </w:r>
    </w:p>
    <w:p w14:paraId="67183C33" w14:textId="77777777" w:rsidR="00675E99" w:rsidRPr="00854372" w:rsidRDefault="007E5716" w:rsidP="00675E99">
      <w:pPr>
        <w:spacing w:after="347"/>
        <w:ind w:left="-5" w:right="0"/>
        <w:rPr>
          <w:color w:val="auto"/>
          <w:lang w:val="eu-ES"/>
        </w:rPr>
      </w:pPr>
      <w:r w:rsidRPr="00854372">
        <w:rPr>
          <w:color w:val="auto"/>
          <w:szCs w:val="22"/>
          <w:lang w:val="eu-ES"/>
        </w:rPr>
        <w:t>Esp. zk.:</w:t>
      </w:r>
    </w:p>
    <w:p w14:paraId="22EB9571" w14:textId="09FD2BB3" w:rsidR="00B32434" w:rsidRPr="007A560A" w:rsidRDefault="00B32434" w:rsidP="00863244">
      <w:pPr>
        <w:spacing w:after="347"/>
        <w:ind w:left="-5" w:right="0"/>
        <w:rPr>
          <w:b/>
          <w:color w:val="auto"/>
          <w:lang w:val="eu-ES"/>
        </w:rPr>
      </w:pPr>
      <w:r w:rsidRPr="007A560A">
        <w:rPr>
          <w:b/>
          <w:color w:val="auto"/>
          <w:lang w:val="eu-ES"/>
        </w:rPr>
        <w:t xml:space="preserve">Onespena ematea Foru Gobernuaren Kontseiluaren martxoaren 24ko 9/2026 Foru Dekretuaren eranskinaren aldaketari. Dekretu horren bidez, Arabako Lurralde Historikoko toki erakundeei Obra Txikiak Egiteko Programaren kargura norgehiagoka </w:t>
      </w:r>
      <w:r w:rsidR="007A560A" w:rsidRPr="007A560A">
        <w:rPr>
          <w:b/>
          <w:color w:val="auto"/>
          <w:lang w:val="eu-ES"/>
        </w:rPr>
        <w:t xml:space="preserve">araubidean </w:t>
      </w:r>
      <w:r w:rsidRPr="007A560A">
        <w:rPr>
          <w:b/>
          <w:color w:val="auto"/>
          <w:lang w:val="eu-ES"/>
        </w:rPr>
        <w:t>laguntzak emateko oinarri arautzaile orokorrak onartu ziren.</w:t>
      </w:r>
    </w:p>
    <w:p w14:paraId="1C33E908" w14:textId="77777777" w:rsidR="008122E5" w:rsidRPr="00854372" w:rsidRDefault="007E5716" w:rsidP="008122E5">
      <w:pPr>
        <w:ind w:left="-5" w:right="0"/>
        <w:rPr>
          <w:color w:val="auto"/>
          <w:lang w:val="eu-ES"/>
        </w:rPr>
      </w:pPr>
      <w:r w:rsidRPr="00854372">
        <w:rPr>
          <w:color w:val="auto"/>
          <w:szCs w:val="22"/>
          <w:lang w:val="eu-ES"/>
        </w:rPr>
        <w:t>Ekainaren 27ko 21/2013 Foru Arauak, auzo harremanak sustatzeko ekimenetarako eta Arabako toki erakundeetan obra txikiak gauzatzeko laguntza programak arautzen dituenak (aurrerantzean, 21/2013 Foru Araua), auzo harremanak sustatzeko ekimenetarako eta Arabako toki erakundeetan obra txikiak gauzatzeko laguntza programak arautzen ditu.</w:t>
      </w:r>
    </w:p>
    <w:p w14:paraId="0E7F91E7" w14:textId="77777777" w:rsidR="00BE72E8" w:rsidRPr="00854372" w:rsidRDefault="007E5716" w:rsidP="008122E5">
      <w:pPr>
        <w:ind w:left="-5" w:right="0"/>
        <w:rPr>
          <w:color w:val="auto"/>
          <w:lang w:val="eu-ES"/>
        </w:rPr>
      </w:pPr>
      <w:r w:rsidRPr="00854372">
        <w:rPr>
          <w:color w:val="auto"/>
          <w:szCs w:val="22"/>
          <w:lang w:val="eu-ES"/>
        </w:rPr>
        <w:t xml:space="preserve">Foru arau horren III. tituluan Obra Txikiak Egiteko Programari buruzko xedapenak ezartzen dira eta halako laguntzak emateko arauak eta irizpideak finkatzen dira. </w:t>
      </w:r>
    </w:p>
    <w:p w14:paraId="4F0D1505" w14:textId="77777777" w:rsidR="00066EE5" w:rsidRPr="00854372" w:rsidRDefault="007E5716" w:rsidP="008122E5">
      <w:pPr>
        <w:ind w:left="-5" w:right="0"/>
        <w:rPr>
          <w:color w:val="auto"/>
          <w:lang w:val="eu-ES"/>
        </w:rPr>
      </w:pPr>
      <w:r w:rsidRPr="00854372">
        <w:rPr>
          <w:color w:val="auto"/>
          <w:szCs w:val="22"/>
          <w:lang w:val="eu-ES"/>
        </w:rPr>
        <w:t>Programa hori Arabako Foru Aldundiak Arabako Lurralde Historikoko tokiko erakundeekin duen finantza lankidetzarako aparteko tresna da, erakunde horietan egin beharreko 40.000,00 eurotik (BEZa barne) beherako inbertsioak finantzatzeko laguntzak emateko.</w:t>
      </w:r>
    </w:p>
    <w:p w14:paraId="43EC534F" w14:textId="77777777" w:rsidR="008122E5" w:rsidRPr="00854372" w:rsidRDefault="007E5716" w:rsidP="008122E5">
      <w:pPr>
        <w:ind w:left="-5" w:right="0"/>
        <w:rPr>
          <w:color w:val="auto"/>
          <w:lang w:val="eu-ES"/>
        </w:rPr>
      </w:pPr>
      <w:r w:rsidRPr="00854372">
        <w:rPr>
          <w:color w:val="auto"/>
          <w:szCs w:val="22"/>
          <w:lang w:val="eu-ES"/>
        </w:rPr>
        <w:t>21/2013 Foru Arauaren azken xedapenetako lehenengoan Arabako Foru Aldundiari ahalmena ematen zaio foru arau hori garatzeko eta gauzatzeko beharrezkotzat jotzen diren xedapen gehigarri guztiak emateko.</w:t>
      </w:r>
    </w:p>
    <w:p w14:paraId="5C44C627" w14:textId="77777777" w:rsidR="008122E5" w:rsidRPr="00854372" w:rsidRDefault="007E5716" w:rsidP="008122E5">
      <w:pPr>
        <w:ind w:left="-5" w:right="0"/>
        <w:rPr>
          <w:color w:val="auto"/>
          <w:lang w:val="eu-ES"/>
        </w:rPr>
      </w:pPr>
      <w:r w:rsidRPr="00854372">
        <w:rPr>
          <w:color w:val="auto"/>
          <w:szCs w:val="22"/>
          <w:lang w:val="eu-ES"/>
        </w:rPr>
        <w:t>Horri dagokionez, Arabako Lurralde Historikoko Dirulaguntzei buruzko urriaren 19ko 11/2016 Foru Arauaren (aurrerantzean, 11/2016 Foru Araua) 8. artikuluak dirulaguntzak eman aurretik laguntzak emateko oinarri arautzaileak onetsi beharko direla jasotzen du, eta 16. artikuluak Gobernu Kontseiluari esleitzen dio dirulaguntzak onesteko eskumena, Arabako Foru Aldundiaren, foru erakunde autonomoen eta foru partzuergoen eremuan.</w:t>
      </w:r>
    </w:p>
    <w:p w14:paraId="5572B8CF" w14:textId="77777777" w:rsidR="00D07014" w:rsidRPr="00854372" w:rsidRDefault="007E5716" w:rsidP="00D07014">
      <w:pPr>
        <w:ind w:left="-5" w:right="0"/>
        <w:rPr>
          <w:color w:val="auto"/>
          <w:lang w:val="eu-ES"/>
        </w:rPr>
      </w:pPr>
      <w:r w:rsidRPr="00854372">
        <w:rPr>
          <w:color w:val="auto"/>
          <w:szCs w:val="22"/>
          <w:lang w:val="eu-ES"/>
        </w:rPr>
        <w:t>Horrenbestez, 21/2013 Foru Arauan eta 11/2016 Foru Arauan xedatzen dena aplikatuz, eta Foru Gobernu Kontseiluaren martxoaren 24ko 9/2026 Foru Dekretuaren bidez, Arabako Lurralde Historikoko toki erakundeei Obra Txikiak Egiteko Programaren kargura laguntzak emateko prozedura arautzen duten oinarri orokorrak onesten dira.</w:t>
      </w:r>
    </w:p>
    <w:p w14:paraId="2D28B398" w14:textId="77777777" w:rsidR="00D07014" w:rsidRPr="00854372" w:rsidRDefault="007E5716" w:rsidP="00D07014">
      <w:pPr>
        <w:ind w:left="-5" w:right="0"/>
        <w:rPr>
          <w:color w:val="auto"/>
          <w:lang w:val="eu-ES"/>
        </w:rPr>
      </w:pPr>
      <w:r w:rsidRPr="00854372">
        <w:rPr>
          <w:color w:val="auto"/>
          <w:szCs w:val="22"/>
          <w:lang w:val="eu-ES"/>
        </w:rPr>
        <w:t>Kontuan hartuta 21/2013 Foru Araua onartu zenetik igarotako denbora, bai eta xedapen horrek araututako laguntza programen kudeaketan bildutako esperientzia ere, Arabako Batzar Nagusiek komenigarritzat jo dute xedapen horretan ezarritako arau esparrua aldatzea, haren edukia eguneratzeko eta haren eraginkortasuna hobetzeko, baina horietako bakoitzaren konfigurazioari eta funtsezko ezaugarriei eustea.</w:t>
      </w:r>
    </w:p>
    <w:p w14:paraId="0D7E9242" w14:textId="77777777" w:rsidR="00D07014" w:rsidRPr="00854372" w:rsidRDefault="007E5716" w:rsidP="00D07014">
      <w:pPr>
        <w:suppressAutoHyphens/>
        <w:spacing w:line="240" w:lineRule="auto"/>
        <w:ind w:left="0" w:right="0" w:firstLine="0"/>
        <w:rPr>
          <w:color w:val="auto"/>
          <w:kern w:val="0"/>
          <w:szCs w:val="22"/>
          <w:lang w:val="eu-ES" w:eastAsia="ar-SA"/>
          <w14:ligatures w14:val="none"/>
        </w:rPr>
      </w:pPr>
      <w:r w:rsidRPr="00854372">
        <w:rPr>
          <w:color w:val="auto"/>
          <w:kern w:val="0"/>
          <w:szCs w:val="22"/>
          <w:lang w:val="eu-ES" w:eastAsia="ar-SA"/>
        </w:rPr>
        <w:lastRenderedPageBreak/>
        <w:t>Helburu horrekin, Arabako Batzar Nagusiek onespena eman zioten, 2026ko maiatzaren 31n egindako osoko bilkuran, 11/2026 Foru Arauari, zeinak aldatu egiten baitu ekainaren 27ko 21/2013 Foru Araua, auzo harremanak sustatzeko ekimenetarako eta Arabako toki erakundeetan obra txikiak gauzatzeko laguntza programak arautzen dituena.</w:t>
      </w:r>
    </w:p>
    <w:p w14:paraId="4BBD9EC1" w14:textId="77777777" w:rsidR="00D07014" w:rsidRPr="00854372" w:rsidRDefault="007E5716" w:rsidP="00D07014">
      <w:pPr>
        <w:suppressAutoHyphens/>
        <w:spacing w:line="240" w:lineRule="auto"/>
        <w:ind w:left="0" w:right="0" w:firstLine="0"/>
        <w:rPr>
          <w:color w:val="auto"/>
          <w:kern w:val="0"/>
          <w:szCs w:val="22"/>
          <w:lang w:val="eu-ES" w:eastAsia="ar-SA"/>
          <w14:ligatures w14:val="none"/>
        </w:rPr>
      </w:pPr>
      <w:r w:rsidRPr="00854372">
        <w:rPr>
          <w:color w:val="auto"/>
          <w:kern w:val="0"/>
          <w:szCs w:val="22"/>
          <w:lang w:val="eu-ES" w:eastAsia="ar-SA"/>
        </w:rPr>
        <w:t>Xedapen hori onestearen ondorioz, aldaketa puntualak egin behar dira 9/2026 Foru Dekretuaren bidez onetsitako oinarrietan, hartan onetsitako aldaketetara egokitzeko.</w:t>
      </w:r>
    </w:p>
    <w:p w14:paraId="02E4BB92" w14:textId="3C0DDC9B" w:rsidR="00675E99" w:rsidRPr="00854372" w:rsidRDefault="007E5716" w:rsidP="007A560A">
      <w:pPr>
        <w:ind w:left="-5" w:right="0"/>
        <w:rPr>
          <w:color w:val="auto"/>
          <w:lang w:val="eu-ES"/>
        </w:rPr>
      </w:pPr>
      <w:r w:rsidRPr="00854372">
        <w:rPr>
          <w:color w:val="auto"/>
          <w:szCs w:val="22"/>
          <w:lang w:val="eu-ES"/>
        </w:rPr>
        <w:t>Horrenbestez, nahitaezko txostenak aztertu dira, eta Lurralde Orekaren eta Lurralde Antolamenduaren Saileko foru diputatuak proposaturik eta Foru Gobernu Kontseiluak gaur egindako bilkuran gaia aztertu ondoren, hau</w:t>
      </w:r>
    </w:p>
    <w:p w14:paraId="40F234C4" w14:textId="7AA58C8C" w:rsidR="00675E99" w:rsidRPr="00854372" w:rsidRDefault="007E5716" w:rsidP="007A560A">
      <w:pPr>
        <w:pStyle w:val="Ttulo1"/>
        <w:spacing w:after="332"/>
        <w:ind w:right="1"/>
        <w:rPr>
          <w:color w:val="auto"/>
          <w:lang w:val="eu-ES"/>
        </w:rPr>
      </w:pPr>
      <w:r w:rsidRPr="00854372">
        <w:rPr>
          <w:bCs/>
          <w:color w:val="auto"/>
          <w:szCs w:val="22"/>
          <w:lang w:val="eu-ES"/>
        </w:rPr>
        <w:t>XEDATZEN DUT</w:t>
      </w:r>
    </w:p>
    <w:p w14:paraId="26DF1E05" w14:textId="561BDF89" w:rsidR="007A458C" w:rsidRPr="007A560A" w:rsidRDefault="007E5716" w:rsidP="00B32434">
      <w:pPr>
        <w:spacing w:after="347"/>
        <w:ind w:left="-5" w:right="0"/>
        <w:rPr>
          <w:b/>
          <w:color w:val="auto"/>
          <w:lang w:val="eu-ES"/>
        </w:rPr>
      </w:pPr>
      <w:r w:rsidRPr="00854372">
        <w:rPr>
          <w:color w:val="auto"/>
          <w:szCs w:val="22"/>
          <w:lang w:val="eu-ES"/>
        </w:rPr>
        <w:t>Lehenengoa.</w:t>
      </w:r>
      <w:r w:rsidR="007A560A">
        <w:rPr>
          <w:color w:val="auto"/>
          <w:szCs w:val="22"/>
          <w:lang w:val="eu-ES"/>
        </w:rPr>
        <w:t xml:space="preserve"> </w:t>
      </w:r>
      <w:r w:rsidR="00B32434" w:rsidRPr="007A560A">
        <w:rPr>
          <w:bCs/>
          <w:color w:val="auto"/>
          <w:lang w:val="eu-ES"/>
        </w:rPr>
        <w:t xml:space="preserve">Onespena ematea Foru Gobernuaren Kontseiluaren martxoaren 24ko 9/2026 Foru Dekretuaren eranskinaren aldaketari. Dekretu horren bidez, Arabako Lurralde Historikoko toki-erakundeei Obra Txikiak Egiteko Programaren kargura norgehiagoka </w:t>
      </w:r>
      <w:r w:rsidR="007A560A" w:rsidRPr="007A560A">
        <w:rPr>
          <w:bCs/>
          <w:color w:val="auto"/>
          <w:lang w:val="eu-ES"/>
        </w:rPr>
        <w:t>araubidean</w:t>
      </w:r>
      <w:r w:rsidR="00B32434" w:rsidRPr="007A560A">
        <w:rPr>
          <w:bCs/>
          <w:color w:val="auto"/>
          <w:lang w:val="eu-ES"/>
        </w:rPr>
        <w:t xml:space="preserve"> laguntzak emateko oinarri arautzaile orokorrak onartu ziren.</w:t>
      </w:r>
      <w:r w:rsidR="00B32434" w:rsidRPr="007A560A">
        <w:rPr>
          <w:b/>
          <w:color w:val="auto"/>
          <w:lang w:val="eu-ES"/>
        </w:rPr>
        <w:t xml:space="preserve"> </w:t>
      </w:r>
      <w:r w:rsidRPr="00854372">
        <w:rPr>
          <w:color w:val="auto"/>
          <w:szCs w:val="22"/>
          <w:lang w:val="eu-ES"/>
        </w:rPr>
        <w:t xml:space="preserve">Aipatutako oinarriak dekretu honen I. eranskinean jasotzen </w:t>
      </w:r>
      <w:r w:rsidRPr="007A560A">
        <w:rPr>
          <w:color w:val="auto"/>
          <w:szCs w:val="22"/>
          <w:lang w:val="eu-ES"/>
        </w:rPr>
        <w:t>dira.</w:t>
      </w:r>
    </w:p>
    <w:p w14:paraId="588F5EFC" w14:textId="77777777" w:rsidR="003335E4" w:rsidRPr="00854372" w:rsidRDefault="007E5716" w:rsidP="00070250">
      <w:pPr>
        <w:ind w:left="-5" w:right="0"/>
        <w:rPr>
          <w:color w:val="auto"/>
          <w:lang w:val="eu-ES"/>
        </w:rPr>
      </w:pPr>
      <w:r w:rsidRPr="00854372">
        <w:rPr>
          <w:color w:val="auto"/>
          <w:szCs w:val="22"/>
          <w:lang w:val="eu-ES"/>
        </w:rPr>
        <w:t xml:space="preserve">Bigarrena. Lurralde Orekaren eta Lurralde Antolamenduaren Saileko foru diputatuari ahalmena ematea diruz lagundutako jarduketak izapidetzeko eta gauzatzeko beharrezkoak diren egintza eta xedapen guztiak eman ditzan. </w:t>
      </w:r>
    </w:p>
    <w:p w14:paraId="0F3BDA18" w14:textId="77777777" w:rsidR="00324828" w:rsidRPr="00854372" w:rsidRDefault="007E5716" w:rsidP="00070250">
      <w:pPr>
        <w:ind w:left="-5" w:right="0"/>
        <w:rPr>
          <w:color w:val="auto"/>
          <w:lang w:val="eu-ES"/>
        </w:rPr>
      </w:pPr>
      <w:r w:rsidRPr="00854372">
        <w:rPr>
          <w:color w:val="auto"/>
          <w:szCs w:val="22"/>
          <w:lang w:val="eu-ES"/>
        </w:rPr>
        <w:t>Hirugarrena. Foru dekretu hau Arabako Lurralde Historikoko Aldizkari Ofizialean (ALHAO) argitaratzeko agintzea.</w:t>
      </w:r>
    </w:p>
    <w:p w14:paraId="062A7774" w14:textId="77777777" w:rsidR="00324828" w:rsidRPr="00854372" w:rsidRDefault="007E5716" w:rsidP="00070250">
      <w:pPr>
        <w:ind w:left="-5" w:right="0"/>
        <w:rPr>
          <w:color w:val="auto"/>
          <w:lang w:val="eu-ES"/>
        </w:rPr>
      </w:pPr>
      <w:r w:rsidRPr="00854372">
        <w:rPr>
          <w:color w:val="auto"/>
          <w:szCs w:val="22"/>
          <w:lang w:val="eu-ES"/>
        </w:rPr>
        <w:t>Azken xedapena. Foru dekretu hau ALHAOn argitaratu eta hurrengo egunean sartuko da indarrean.</w:t>
      </w:r>
    </w:p>
    <w:p w14:paraId="2635617A" w14:textId="77777777" w:rsidR="00544F58" w:rsidRPr="00854372" w:rsidRDefault="007E5716" w:rsidP="00070250">
      <w:pPr>
        <w:spacing w:after="0" w:line="250" w:lineRule="auto"/>
        <w:ind w:left="-6" w:right="0" w:hanging="11"/>
        <w:rPr>
          <w:color w:val="auto"/>
          <w:lang w:val="eu-ES"/>
        </w:rPr>
      </w:pPr>
      <w:r w:rsidRPr="00854372">
        <w:rPr>
          <w:color w:val="auto"/>
          <w:szCs w:val="22"/>
          <w:lang w:val="eu-ES"/>
        </w:rPr>
        <w:t>Vitoria-Gasteiz</w:t>
      </w:r>
    </w:p>
    <w:tbl>
      <w:tblPr>
        <w:tblpPr w:leftFromText="141" w:rightFromText="141" w:vertAnchor="text" w:horzAnchor="margin" w:tblpY="293"/>
        <w:tblW w:w="9212" w:type="dxa"/>
        <w:tblLayout w:type="fixed"/>
        <w:tblCellMar>
          <w:left w:w="70" w:type="dxa"/>
          <w:right w:w="70" w:type="dxa"/>
        </w:tblCellMar>
        <w:tblLook w:val="0000" w:firstRow="0" w:lastRow="0" w:firstColumn="0" w:lastColumn="0" w:noHBand="0" w:noVBand="0"/>
      </w:tblPr>
      <w:tblGrid>
        <w:gridCol w:w="4606"/>
        <w:gridCol w:w="4606"/>
      </w:tblGrid>
      <w:tr w:rsidR="005B44EF" w:rsidRPr="00854372" w14:paraId="7A0A0C92" w14:textId="77777777" w:rsidTr="00A416C6">
        <w:trPr>
          <w:trHeight w:val="2125"/>
        </w:trPr>
        <w:tc>
          <w:tcPr>
            <w:tcW w:w="4606" w:type="dxa"/>
          </w:tcPr>
          <w:p w14:paraId="68E951F8" w14:textId="77777777" w:rsidR="00266B8E" w:rsidRPr="00854372" w:rsidRDefault="007E5716" w:rsidP="00070250">
            <w:pPr>
              <w:keepNext/>
              <w:spacing w:before="1560" w:after="60" w:line="240" w:lineRule="exact"/>
              <w:ind w:left="0" w:right="0" w:firstLine="0"/>
              <w:jc w:val="left"/>
              <w:outlineLvl w:val="0"/>
              <w:rPr>
                <w:rFonts w:cs="Arial"/>
                <w:b/>
                <w:bCs/>
                <w:color w:val="auto"/>
                <w:kern w:val="0"/>
                <w:szCs w:val="22"/>
                <w:lang w:val="eu-ES" w:bidi="or-IN"/>
                <w14:ligatures w14:val="none"/>
              </w:rPr>
            </w:pPr>
            <w:r w:rsidRPr="00854372">
              <w:rPr>
                <w:rFonts w:cs="Arial"/>
                <w:b/>
                <w:bCs/>
                <w:color w:val="auto"/>
                <w:kern w:val="0"/>
                <w:szCs w:val="22"/>
                <w:lang w:val="eu-ES" w:bidi="or-IN"/>
              </w:rPr>
              <w:t>Ramiro González Vicente</w:t>
            </w:r>
          </w:p>
          <w:p w14:paraId="59FA9054" w14:textId="77777777" w:rsidR="00266B8E" w:rsidRPr="00854372" w:rsidRDefault="007E5716" w:rsidP="00266B8E">
            <w:pPr>
              <w:spacing w:after="20" w:line="240" w:lineRule="exact"/>
              <w:ind w:left="0" w:right="0" w:firstLine="0"/>
              <w:jc w:val="left"/>
              <w:rPr>
                <w:rFonts w:cs="Arial"/>
                <w:color w:val="auto"/>
                <w:kern w:val="0"/>
                <w:szCs w:val="20"/>
                <w:lang w:val="eu-ES" w:bidi="or-IN"/>
                <w14:ligatures w14:val="none"/>
              </w:rPr>
            </w:pPr>
            <w:r w:rsidRPr="00854372">
              <w:rPr>
                <w:rFonts w:cs="Arial"/>
                <w:color w:val="auto"/>
                <w:kern w:val="0"/>
                <w:szCs w:val="22"/>
                <w:lang w:val="eu-ES" w:bidi="or-IN"/>
              </w:rPr>
              <w:t>Diputatu nagusia</w:t>
            </w:r>
          </w:p>
          <w:p w14:paraId="7C7FBC4E" w14:textId="77777777" w:rsidR="00266B8E" w:rsidRPr="00854372" w:rsidRDefault="007E5716" w:rsidP="00266B8E">
            <w:pPr>
              <w:spacing w:after="0" w:line="240" w:lineRule="auto"/>
              <w:ind w:left="0" w:right="0" w:firstLine="0"/>
              <w:jc w:val="left"/>
              <w:rPr>
                <w:rFonts w:cs="Arial"/>
                <w:color w:val="auto"/>
                <w:kern w:val="0"/>
                <w:szCs w:val="20"/>
                <w:lang w:val="eu-ES" w:bidi="or-IN"/>
                <w14:ligatures w14:val="none"/>
              </w:rPr>
            </w:pPr>
            <w:r w:rsidRPr="00854372">
              <w:rPr>
                <w:rFonts w:cs="Arial"/>
                <w:color w:val="auto"/>
                <w:kern w:val="0"/>
                <w:szCs w:val="22"/>
                <w:lang w:val="eu-ES" w:bidi="or-IN"/>
              </w:rPr>
              <w:t>Diputado general</w:t>
            </w:r>
          </w:p>
        </w:tc>
        <w:tc>
          <w:tcPr>
            <w:tcW w:w="4606" w:type="dxa"/>
          </w:tcPr>
          <w:p w14:paraId="4B67FBB7" w14:textId="77777777" w:rsidR="00266B8E" w:rsidRPr="00854372" w:rsidRDefault="007E5716" w:rsidP="00070250">
            <w:pPr>
              <w:spacing w:before="1560" w:after="60" w:line="240" w:lineRule="atLeast"/>
              <w:ind w:left="0" w:right="0" w:firstLine="0"/>
              <w:jc w:val="left"/>
              <w:rPr>
                <w:rFonts w:cs="Arial"/>
                <w:b/>
                <w:bCs/>
                <w:color w:val="auto"/>
                <w:kern w:val="0"/>
                <w:szCs w:val="22"/>
                <w:lang w:val="eu-ES" w:bidi="or-IN"/>
                <w14:ligatures w14:val="none"/>
              </w:rPr>
            </w:pPr>
            <w:r w:rsidRPr="00854372">
              <w:rPr>
                <w:rFonts w:cs="Arial"/>
                <w:b/>
                <w:bCs/>
                <w:color w:val="auto"/>
                <w:kern w:val="0"/>
                <w:szCs w:val="22"/>
                <w:lang w:val="eu-ES" w:bidi="or-IN"/>
              </w:rPr>
              <w:t>Laura Pérez Borinaga</w:t>
            </w:r>
          </w:p>
          <w:p w14:paraId="6F306D3A" w14:textId="77777777" w:rsidR="00266B8E" w:rsidRPr="00854372" w:rsidRDefault="007E5716" w:rsidP="00266B8E">
            <w:pPr>
              <w:spacing w:after="0" w:line="240" w:lineRule="auto"/>
              <w:ind w:left="0" w:right="0" w:firstLine="0"/>
              <w:jc w:val="left"/>
              <w:rPr>
                <w:rFonts w:cs="Arial"/>
                <w:bCs/>
                <w:color w:val="auto"/>
                <w:kern w:val="0"/>
                <w:szCs w:val="22"/>
                <w:lang w:val="eu-ES" w:bidi="or-IN"/>
                <w14:ligatures w14:val="none"/>
              </w:rPr>
            </w:pPr>
            <w:r w:rsidRPr="00854372">
              <w:rPr>
                <w:rFonts w:cs="Arial"/>
                <w:bCs/>
                <w:color w:val="auto"/>
                <w:kern w:val="0"/>
                <w:szCs w:val="22"/>
                <w:lang w:val="eu-ES" w:bidi="or-IN"/>
              </w:rPr>
              <w:t xml:space="preserve">Lurralde Orekaren </w:t>
            </w:r>
            <w:r w:rsidRPr="00854372">
              <w:rPr>
                <w:rFonts w:ascii="Tms Rmn" w:eastAsia="Tms Rmn" w:hAnsi="Tms Rmn"/>
                <w:bCs/>
                <w:color w:val="auto"/>
                <w:kern w:val="0"/>
                <w:sz w:val="24"/>
                <w:lang w:val="eu-ES" w:bidi="or-IN"/>
              </w:rPr>
              <w:t>eta Lu</w:t>
            </w:r>
            <w:r w:rsidRPr="00854372">
              <w:rPr>
                <w:rFonts w:cs="Arial"/>
                <w:bCs/>
                <w:color w:val="auto"/>
                <w:kern w:val="0"/>
                <w:szCs w:val="22"/>
                <w:lang w:val="eu-ES" w:bidi="or-IN"/>
              </w:rPr>
              <w:t xml:space="preserve">rralde </w:t>
            </w:r>
          </w:p>
          <w:p w14:paraId="2FDB2A6E" w14:textId="1FC78A91" w:rsidR="00266B8E" w:rsidRPr="00854372" w:rsidRDefault="007E5716" w:rsidP="00266B8E">
            <w:pPr>
              <w:spacing w:after="20" w:line="240" w:lineRule="auto"/>
              <w:ind w:left="0" w:right="0" w:firstLine="0"/>
              <w:jc w:val="left"/>
              <w:rPr>
                <w:rFonts w:cs="Arial"/>
                <w:bCs/>
                <w:color w:val="auto"/>
                <w:kern w:val="0"/>
                <w:szCs w:val="22"/>
                <w:lang w:val="eu-ES" w:bidi="or-IN"/>
                <w14:ligatures w14:val="none"/>
              </w:rPr>
            </w:pPr>
            <w:r w:rsidRPr="00854372">
              <w:rPr>
                <w:rFonts w:cs="Arial"/>
                <w:bCs/>
                <w:color w:val="auto"/>
                <w:kern w:val="0"/>
                <w:szCs w:val="22"/>
                <w:lang w:val="eu-ES" w:bidi="or-IN"/>
              </w:rPr>
              <w:t xml:space="preserve">Antolamenduaren </w:t>
            </w:r>
            <w:r w:rsidR="00854372">
              <w:rPr>
                <w:rFonts w:cs="Arial"/>
                <w:bCs/>
                <w:color w:val="auto"/>
                <w:kern w:val="0"/>
                <w:szCs w:val="22"/>
                <w:lang w:val="eu-ES" w:bidi="or-IN"/>
              </w:rPr>
              <w:t xml:space="preserve">Saileko </w:t>
            </w:r>
            <w:r w:rsidRPr="00854372">
              <w:rPr>
                <w:rFonts w:cs="Arial"/>
                <w:bCs/>
                <w:color w:val="auto"/>
                <w:kern w:val="0"/>
                <w:szCs w:val="22"/>
                <w:lang w:val="eu-ES" w:bidi="or-IN"/>
              </w:rPr>
              <w:t>Foru diputatua</w:t>
            </w:r>
          </w:p>
          <w:p w14:paraId="05F78838" w14:textId="77777777" w:rsidR="00266B8E" w:rsidRPr="00854372" w:rsidRDefault="007E5716" w:rsidP="00266B8E">
            <w:pPr>
              <w:spacing w:after="0" w:line="240" w:lineRule="auto"/>
              <w:ind w:left="0" w:right="0" w:firstLine="0"/>
              <w:jc w:val="left"/>
              <w:rPr>
                <w:rFonts w:cs="Arial"/>
                <w:bCs/>
                <w:color w:val="auto"/>
                <w:kern w:val="0"/>
                <w:szCs w:val="22"/>
                <w:lang w:val="eu-ES" w:bidi="or-IN"/>
                <w14:ligatures w14:val="none"/>
              </w:rPr>
            </w:pPr>
            <w:r w:rsidRPr="00854372">
              <w:rPr>
                <w:rFonts w:cs="Arial"/>
                <w:bCs/>
                <w:color w:val="auto"/>
                <w:kern w:val="0"/>
                <w:szCs w:val="22"/>
                <w:lang w:val="eu-ES" w:bidi="or-IN"/>
              </w:rPr>
              <w:t>Diputada foral de Equilibrio Territorial</w:t>
            </w:r>
          </w:p>
          <w:p w14:paraId="0431800C" w14:textId="77777777" w:rsidR="00266B8E" w:rsidRPr="00854372" w:rsidRDefault="007E5716" w:rsidP="00266B8E">
            <w:pPr>
              <w:spacing w:after="0" w:line="240" w:lineRule="auto"/>
              <w:ind w:left="0" w:right="0" w:firstLine="0"/>
              <w:jc w:val="left"/>
              <w:rPr>
                <w:rFonts w:cs="Arial"/>
                <w:color w:val="auto"/>
                <w:kern w:val="0"/>
                <w:szCs w:val="20"/>
                <w:lang w:val="eu-ES" w:bidi="or-IN"/>
                <w14:ligatures w14:val="none"/>
              </w:rPr>
            </w:pPr>
            <w:r w:rsidRPr="00854372">
              <w:rPr>
                <w:rFonts w:cs="Arial"/>
                <w:bCs/>
                <w:color w:val="auto"/>
                <w:kern w:val="0"/>
                <w:szCs w:val="22"/>
                <w:lang w:val="eu-ES" w:bidi="or-IN"/>
              </w:rPr>
              <w:t xml:space="preserve">y Ordenación del Territorio </w:t>
            </w:r>
          </w:p>
        </w:tc>
      </w:tr>
      <w:tr w:rsidR="005B44EF" w:rsidRPr="00854372" w14:paraId="6C21CE1B" w14:textId="77777777" w:rsidTr="00A416C6">
        <w:trPr>
          <w:trHeight w:val="2239"/>
        </w:trPr>
        <w:tc>
          <w:tcPr>
            <w:tcW w:w="4606" w:type="dxa"/>
          </w:tcPr>
          <w:p w14:paraId="6E91306D" w14:textId="77777777" w:rsidR="00266B8E" w:rsidRPr="00854372" w:rsidRDefault="007E5716" w:rsidP="00070250">
            <w:pPr>
              <w:spacing w:before="1560" w:after="60" w:line="240" w:lineRule="atLeast"/>
              <w:ind w:left="0" w:right="0" w:firstLine="0"/>
              <w:jc w:val="left"/>
              <w:rPr>
                <w:rFonts w:cs="Arial"/>
                <w:color w:val="auto"/>
                <w:kern w:val="0"/>
                <w:szCs w:val="20"/>
                <w:lang w:val="eu-ES" w:bidi="or-IN"/>
                <w14:ligatures w14:val="none"/>
              </w:rPr>
            </w:pPr>
            <w:r w:rsidRPr="00854372">
              <w:rPr>
                <w:rFonts w:cs="Arial"/>
                <w:b/>
                <w:bCs/>
                <w:color w:val="auto"/>
                <w:kern w:val="0"/>
                <w:szCs w:val="22"/>
                <w:lang w:val="eu-ES" w:bidi="or-IN"/>
              </w:rPr>
              <w:t>Javier Gorbeña García</w:t>
            </w:r>
          </w:p>
          <w:p w14:paraId="52FBBB4F" w14:textId="77777777" w:rsidR="00266B8E" w:rsidRPr="00854372" w:rsidRDefault="007E5716" w:rsidP="00266B8E">
            <w:pPr>
              <w:spacing w:after="20" w:line="240" w:lineRule="auto"/>
              <w:ind w:left="0" w:right="0" w:firstLine="0"/>
              <w:jc w:val="left"/>
              <w:rPr>
                <w:rFonts w:cs="Arial"/>
                <w:color w:val="auto"/>
                <w:kern w:val="0"/>
                <w:szCs w:val="20"/>
                <w:lang w:val="eu-ES" w:bidi="or-IN"/>
                <w14:ligatures w14:val="none"/>
              </w:rPr>
            </w:pPr>
            <w:r w:rsidRPr="00854372">
              <w:rPr>
                <w:rFonts w:cs="Arial"/>
                <w:color w:val="auto"/>
                <w:kern w:val="0"/>
                <w:szCs w:val="22"/>
                <w:lang w:val="eu-ES" w:bidi="or-IN"/>
              </w:rPr>
              <w:t>Lurralde Orekaren zuzendaria</w:t>
            </w:r>
          </w:p>
          <w:p w14:paraId="1E4DAD54" w14:textId="77777777" w:rsidR="00266B8E" w:rsidRPr="00854372" w:rsidRDefault="007E5716" w:rsidP="00266B8E">
            <w:pPr>
              <w:spacing w:after="0" w:line="240" w:lineRule="auto"/>
              <w:ind w:left="0" w:right="0" w:firstLine="0"/>
              <w:jc w:val="left"/>
              <w:rPr>
                <w:rFonts w:cs="Arial"/>
                <w:color w:val="auto"/>
                <w:kern w:val="0"/>
                <w:szCs w:val="20"/>
                <w:lang w:val="eu-ES" w:bidi="or-IN"/>
                <w14:ligatures w14:val="none"/>
              </w:rPr>
            </w:pPr>
            <w:r w:rsidRPr="00854372">
              <w:rPr>
                <w:rFonts w:cs="Arial"/>
                <w:color w:val="auto"/>
                <w:kern w:val="0"/>
                <w:szCs w:val="22"/>
                <w:lang w:val="eu-ES" w:bidi="or-IN"/>
              </w:rPr>
              <w:t>Director de Equilibrio Territorial</w:t>
            </w:r>
          </w:p>
        </w:tc>
        <w:tc>
          <w:tcPr>
            <w:tcW w:w="4606" w:type="dxa"/>
          </w:tcPr>
          <w:p w14:paraId="24FF2B03" w14:textId="77777777" w:rsidR="00266B8E" w:rsidRPr="00854372" w:rsidRDefault="00266B8E" w:rsidP="00266B8E">
            <w:pPr>
              <w:spacing w:before="120" w:after="120" w:line="240" w:lineRule="auto"/>
              <w:ind w:left="0" w:right="0" w:firstLine="0"/>
              <w:jc w:val="left"/>
              <w:rPr>
                <w:rFonts w:cs="Arial"/>
                <w:color w:val="auto"/>
                <w:kern w:val="0"/>
                <w:szCs w:val="20"/>
                <w:lang w:val="eu-ES" w:bidi="or-IN"/>
                <w14:ligatures w14:val="none"/>
              </w:rPr>
            </w:pPr>
          </w:p>
        </w:tc>
      </w:tr>
    </w:tbl>
    <w:p w14:paraId="67ECCE9A" w14:textId="77777777" w:rsidR="00266B8E" w:rsidRPr="00854372" w:rsidRDefault="00266B8E">
      <w:pPr>
        <w:spacing w:after="1697"/>
        <w:ind w:left="-5" w:right="0"/>
        <w:rPr>
          <w:color w:val="auto"/>
          <w:lang w:val="eu-ES"/>
        </w:rPr>
      </w:pPr>
    </w:p>
    <w:p w14:paraId="02BEE043" w14:textId="77777777" w:rsidR="00DC3CD9" w:rsidRPr="00854372" w:rsidRDefault="00DC3CD9">
      <w:pPr>
        <w:spacing w:after="1697"/>
        <w:ind w:left="-5" w:right="0"/>
        <w:rPr>
          <w:color w:val="auto"/>
          <w:lang w:val="eu-ES"/>
        </w:rPr>
      </w:pPr>
    </w:p>
    <w:p w14:paraId="2EAA2D50" w14:textId="77777777" w:rsidR="00DC3CD9" w:rsidRPr="00854372" w:rsidRDefault="007E5716" w:rsidP="00DC3CD9">
      <w:pPr>
        <w:pStyle w:val="Ttulo1"/>
        <w:ind w:right="1"/>
        <w:rPr>
          <w:color w:val="auto"/>
          <w:lang w:val="eu-ES"/>
        </w:rPr>
      </w:pPr>
      <w:r w:rsidRPr="00854372">
        <w:rPr>
          <w:bCs/>
          <w:color w:val="auto"/>
          <w:szCs w:val="22"/>
          <w:lang w:val="eu-ES"/>
        </w:rPr>
        <w:lastRenderedPageBreak/>
        <w:t>I. ERANSKINA</w:t>
      </w:r>
    </w:p>
    <w:p w14:paraId="51991EF8" w14:textId="77777777" w:rsidR="00DC3CD9" w:rsidRPr="00854372" w:rsidRDefault="007E5716" w:rsidP="00DC3CD9">
      <w:pPr>
        <w:spacing w:line="250" w:lineRule="auto"/>
        <w:ind w:left="11" w:right="0" w:hanging="11"/>
        <w:rPr>
          <w:b/>
          <w:color w:val="auto"/>
          <w:lang w:val="eu-ES"/>
        </w:rPr>
      </w:pPr>
      <w:r w:rsidRPr="00854372">
        <w:rPr>
          <w:b/>
          <w:bCs/>
          <w:color w:val="auto"/>
          <w:szCs w:val="22"/>
          <w:lang w:val="eu-ES"/>
        </w:rPr>
        <w:t>Arabako Lurralde Historikoko toki erakundeei</w:t>
      </w:r>
      <w:bookmarkStart w:id="0" w:name="_Hlk193964664"/>
      <w:r w:rsidRPr="00854372">
        <w:rPr>
          <w:b/>
          <w:bCs/>
          <w:color w:val="auto"/>
          <w:szCs w:val="22"/>
          <w:lang w:val="eu-ES"/>
        </w:rPr>
        <w:t xml:space="preserve"> Obra Txikiak Egiteko Programaren kargura laguntzak </w:t>
      </w:r>
      <w:bookmarkStart w:id="1" w:name="_Hlk200358989"/>
      <w:r w:rsidRPr="00854372">
        <w:rPr>
          <w:b/>
          <w:bCs/>
          <w:color w:val="auto"/>
          <w:szCs w:val="22"/>
          <w:lang w:val="eu-ES"/>
        </w:rPr>
        <w:t>norgehiagoka bidez</w:t>
      </w:r>
      <w:bookmarkEnd w:id="0"/>
      <w:r w:rsidRPr="00854372">
        <w:rPr>
          <w:b/>
          <w:bCs/>
          <w:color w:val="auto"/>
          <w:szCs w:val="22"/>
          <w:lang w:val="eu-ES"/>
        </w:rPr>
        <w:t xml:space="preserve"> emateko prozedura arautzen duten oinarri orokorrak</w:t>
      </w:r>
      <w:bookmarkEnd w:id="1"/>
      <w:r w:rsidRPr="00854372">
        <w:rPr>
          <w:b/>
          <w:bCs/>
          <w:color w:val="auto"/>
          <w:szCs w:val="22"/>
          <w:lang w:val="eu-ES"/>
        </w:rPr>
        <w:t>.</w:t>
      </w:r>
    </w:p>
    <w:p w14:paraId="7A45DFD0"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Xedea eta aplikazio eremua.</w:t>
      </w:r>
    </w:p>
    <w:p w14:paraId="65A838F4" w14:textId="77777777" w:rsidR="00DC3CD9" w:rsidRPr="00854372" w:rsidRDefault="007E5716" w:rsidP="00DC3CD9">
      <w:pPr>
        <w:pStyle w:val="Prrafodelista"/>
        <w:numPr>
          <w:ilvl w:val="1"/>
          <w:numId w:val="23"/>
        </w:numPr>
        <w:spacing w:before="120" w:line="250" w:lineRule="auto"/>
        <w:ind w:right="0"/>
        <w:contextualSpacing w:val="0"/>
        <w:rPr>
          <w:color w:val="auto"/>
          <w:lang w:val="eu-ES"/>
        </w:rPr>
      </w:pPr>
      <w:r w:rsidRPr="00854372">
        <w:rPr>
          <w:color w:val="auto"/>
          <w:lang w:val="eu-ES"/>
        </w:rPr>
        <w:t>Dekretu honen bidez ezartzen dira Arabako Lurralde Historikoko toki erakundeei Obra Txikiak egiteko Programaren kargura norgehiagoka bidez laguntzak emateko prozedura arautzen duten oinarri orokorrak.</w:t>
      </w:r>
    </w:p>
    <w:p w14:paraId="019DD55E" w14:textId="77777777" w:rsidR="00DC3CD9" w:rsidRPr="00854372" w:rsidRDefault="007E5716" w:rsidP="00DC3CD9">
      <w:pPr>
        <w:pStyle w:val="Prrafodelista"/>
        <w:numPr>
          <w:ilvl w:val="1"/>
          <w:numId w:val="23"/>
        </w:numPr>
        <w:spacing w:before="120" w:line="250" w:lineRule="auto"/>
        <w:ind w:right="0"/>
        <w:contextualSpacing w:val="0"/>
        <w:rPr>
          <w:color w:val="auto"/>
          <w:lang w:val="eu-ES"/>
        </w:rPr>
      </w:pPr>
      <w:r w:rsidRPr="00854372">
        <w:rPr>
          <w:color w:val="auto"/>
          <w:lang w:val="eu-ES"/>
        </w:rPr>
        <w:t>Programa honen kargura laguntza eman ahal izango da Auzo harremanak sustatzeko ekimenetarako eta Arabako toki erakundeetan obra txikiak gauzatzeko laguntza programak arautzen dituen ekainaren 27ko 21/2013 Foru Arauaren (aurrerantzean, 21/2013 Foru Araua) 17. artikuluaren (“Obren tipologia”) 1. apartatuan azaltzen diren obrak egiteko, 21/2013 Foru Arauan, oinarri arautzaile hauetan eta kasuan kasuko deialdian ezartzen diren baldintzak betez gero.</w:t>
      </w:r>
    </w:p>
    <w:p w14:paraId="1F0F19C5" w14:textId="77777777" w:rsidR="00DC3CD9" w:rsidRPr="00854372" w:rsidRDefault="007E5716" w:rsidP="00DC3CD9">
      <w:pPr>
        <w:pStyle w:val="Prrafodelista"/>
        <w:spacing w:before="120" w:line="250" w:lineRule="auto"/>
        <w:ind w:left="0" w:right="0" w:firstLine="0"/>
        <w:contextualSpacing w:val="0"/>
        <w:rPr>
          <w:color w:val="auto"/>
          <w:lang w:val="eu-ES"/>
        </w:rPr>
      </w:pPr>
      <w:r w:rsidRPr="00854372">
        <w:rPr>
          <w:color w:val="auto"/>
          <w:lang w:val="eu-ES"/>
        </w:rPr>
        <w:t>Baldin eta eskatutako jarduketa bideetan egin beharrekoa bada, mantentze edo garbiketa jarduketak hartuko dira aintzat, eta salbuespen gisa zoladurak (hormigoizkoak edo akabera asfaltikozkoak) inguruabar fisikoek hala aholkatzen badute (adibidez, malda nabarmenetan), aurkeztutako dokumentazio teknikoan horrela definitzen badira eta, Arabako Foru Aldundiaren Bideen Erregistroan edo Baso Pisten Inbentarioan dauden bideen kasuan, Nekazaritza Garapenerako Zerbitzuak edo Mendi Zerbitzuak, hurrenez hurren, berariaz aholkatzen badu.</w:t>
      </w:r>
    </w:p>
    <w:p w14:paraId="215C4AE6" w14:textId="77777777" w:rsidR="00DC3CD9" w:rsidRPr="00854372" w:rsidRDefault="007E5716" w:rsidP="00DC3CD9">
      <w:pPr>
        <w:pStyle w:val="Prrafodelista"/>
        <w:numPr>
          <w:ilvl w:val="1"/>
          <w:numId w:val="23"/>
        </w:numPr>
        <w:spacing w:before="120" w:line="250" w:lineRule="auto"/>
        <w:ind w:right="0"/>
        <w:contextualSpacing w:val="0"/>
        <w:rPr>
          <w:color w:val="auto"/>
          <w:lang w:val="eu-ES"/>
        </w:rPr>
      </w:pPr>
      <w:r w:rsidRPr="00854372">
        <w:rPr>
          <w:color w:val="auto"/>
          <w:lang w:val="eu-ES"/>
        </w:rPr>
        <w:t>21/2013 Foru Arauaren 15. artikuluaren (“Izaera”) 3. apartatuan ezartzen da, jarduketaren guztirako kostua ezin dela izan 40.000,00 eurotik gorakoa (BEZa barne).</w:t>
      </w:r>
    </w:p>
    <w:p w14:paraId="6CB21E99"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bookmarkStart w:id="2" w:name="_Hlk189227143"/>
      <w:r w:rsidRPr="00854372">
        <w:rPr>
          <w:b/>
          <w:bCs/>
          <w:color w:val="auto"/>
          <w:lang w:val="eu-ES"/>
        </w:rPr>
        <w:t>Printzipio orokorrak.</w:t>
      </w:r>
    </w:p>
    <w:bookmarkEnd w:id="2"/>
    <w:p w14:paraId="084CCF41" w14:textId="77777777" w:rsidR="00DC3CD9" w:rsidRPr="00854372" w:rsidRDefault="007E5716" w:rsidP="00DC3CD9">
      <w:pPr>
        <w:pStyle w:val="Prrafodelista"/>
        <w:numPr>
          <w:ilvl w:val="1"/>
          <w:numId w:val="23"/>
        </w:numPr>
        <w:spacing w:line="250" w:lineRule="auto"/>
        <w:ind w:right="0"/>
        <w:rPr>
          <w:color w:val="auto"/>
          <w:lang w:val="eu-ES"/>
        </w:rPr>
      </w:pPr>
      <w:r w:rsidRPr="00854372">
        <w:rPr>
          <w:color w:val="auto"/>
          <w:lang w:val="eu-ES"/>
        </w:rPr>
        <w:t xml:space="preserve">Ematen diren dirulaguntzak </w:t>
      </w:r>
      <w:bookmarkStart w:id="3" w:name="_Hlk151457489"/>
      <w:bookmarkEnd w:id="3"/>
      <w:r w:rsidRPr="00854372">
        <w:rPr>
          <w:color w:val="auto"/>
          <w:lang w:val="eu-ES"/>
        </w:rPr>
        <w:t>21/2013 Foru Arauaren 2. artikuluan (“Printzipio inspiratzaileak”) biltzen diren printzipio inspiratzaileen arabera kudeatuko dira.</w:t>
      </w:r>
    </w:p>
    <w:p w14:paraId="05B7AFA2" w14:textId="77777777" w:rsidR="00DC3CD9" w:rsidRPr="00854372" w:rsidRDefault="007E5716" w:rsidP="00DC3CD9">
      <w:pPr>
        <w:spacing w:line="250" w:lineRule="auto"/>
        <w:ind w:left="-6" w:right="0" w:hanging="11"/>
        <w:rPr>
          <w:color w:val="auto"/>
          <w:lang w:val="eu-ES"/>
        </w:rPr>
      </w:pPr>
      <w:r w:rsidRPr="00854372">
        <w:rPr>
          <w:color w:val="auto"/>
          <w:szCs w:val="22"/>
          <w:lang w:val="eu-ES"/>
        </w:rPr>
        <w:t>Horrez gain, Arabako Lurralde Historikoaren dirulaguntzei buruzko urriaren 19ko 11/2016 Foru Arauaren 7. artikuluan jasotako printzipio orokorrak aplikatuko dira.</w:t>
      </w:r>
    </w:p>
    <w:p w14:paraId="72D9841C"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Dirulaguntza hauen onuradun diren toki erakundeek Emakumeen eta gizonen berdintasunerako eta emakumeen aurkako indarkeria matxistarik gabe bizitzeko Legearen testu bategina onesten duen martxoaren 16ko 1/2023 Legegintzako Dekretuaren 3. artikuluan jasotako printzipio orokorren arabera bideratu behar dituzte beren jarduketak, eta lege horretan esleitutako eskumenen eta eginkizunen arabera dagozkien betebeharrak bete.  Zehazki, diruz lagundutako jarduera gauzatzeko administrazio kontratuak egiten direnean, aipatutako legegintzako dekretuaren 22. artikuluan xedatutakoa aplikatu behar da. Ondorioz, kontratua betetzeko baldintzen artean adjudikaziodunaren betebehar hau ezarriko da: prestazioa egitean emakumeen eta gizonen berdintasuna sustatzeko neurriak aplikatu beharra, kontratuen legeriarekin bat etorriz, baldin eta organo eskudunak ezarri badu kontratazioan neurri hori aplikatu behar dela.</w:t>
      </w:r>
    </w:p>
    <w:p w14:paraId="1DAE1119"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Erakunde onuradunak.</w:t>
      </w:r>
    </w:p>
    <w:p w14:paraId="39D2A75A"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Erakunde onuraduntzat hartuko dira 21/2013 Foru Arauaren 16. artikuluan (“Erakunde onuradunak”) adierazitakoak, baldin eta oinarri arautzaile hauetan eta deialdian ezarritako betekizunak betetzen badituzte, bai eta Arabako Lurralde Historikoko Dirulaguntzen urriaren 19ko 11/2016 Foru Arauan ezarritakoak ere.</w:t>
      </w:r>
    </w:p>
    <w:p w14:paraId="616AF52B"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lastRenderedPageBreak/>
        <w:t>Ezin izango dira erakunde onuradun izan Dirulaguntzei buruzko azaroaren 17ko 38/2003 Lege Orokorraren IV. tituluan aipatzen diren arau hausteengatik zehapena jaso dutenak, ez eta Emakumeen eta gizonen berdintasunerako eta emakumeen aurkako indarkeria matxistarik gabe bizitzeko Legearen testu bategina onartzen duen martxoaren 16ko 1/2023 Legegintzako Dekretuan eta Emakumeen eta Gizonen Berdintasun Eragingarrirako martxoaren 22ko 3/2007 Lege Organikoan jasotako kasuetan daudenak ere.</w:t>
      </w:r>
    </w:p>
    <w:p w14:paraId="5F4C6BC7"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Aurrekontuko zuzkidura eta dirulaguntzen zenbatekoa.</w:t>
      </w:r>
    </w:p>
    <w:p w14:paraId="11CFA67C"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Laguntza lerro honetako finantzaketa ezartzeko, 21/2013 Foru Arauaren 3. artikuluan (“Diru hornidura”) xedatzen dena aplikatuko da.</w:t>
      </w:r>
    </w:p>
    <w:p w14:paraId="663299D1"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Dirulaguntzak Arabako Foru Aldundiaren aurrekontuan obra txikiak finantzatzeko berariaz edo osagarri modura ezartzen den partidari egotziko zaizkio deialdi bakoitzean.</w:t>
      </w:r>
    </w:p>
    <w:p w14:paraId="3E43DEA9"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Ematen diren laguntzen zenbatekoak 21/2013 Foru Arauaren 18. artikuluan (“ Laguntzen zenbatekoa”) ezartzen denaren arabera zehaztuko dira.</w:t>
      </w:r>
    </w:p>
    <w:p w14:paraId="4CC1DD46"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Deialdi bakoitzeko ebazpena emateko, dirulaguntza bakoitzaren hasierako kalkulua eskaerarekin batera aurkeztutako aurrekontu ekonomikoan oinarrituta egingo da. Aurrekontuan diferentziarik edo akatsik antzemanez gero, zuzendu egin beharko da. Zuzenketa egin ondoren, emaitza ondorio guztietarako aplikatuko da.</w:t>
      </w:r>
    </w:p>
    <w:p w14:paraId="4452A524"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Ez dira inolaz ere diruz laguntzeko moduko gastutzat hartuko berreskuratu edo konpentsatu daitezkeen zeharkako zergak.</w:t>
      </w:r>
    </w:p>
    <w:p w14:paraId="31962055"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Aplikatutako gastu orokorrak eta industria etekinak ezingo dira guztira % 19 baino gehiago izan.</w:t>
      </w:r>
    </w:p>
    <w:p w14:paraId="676336F1"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Eskaerak aurkeztea eta horretarako epea.</w:t>
      </w:r>
    </w:p>
    <w:p w14:paraId="643FA220" w14:textId="77777777" w:rsidR="00DC3CD9" w:rsidRPr="00854372" w:rsidRDefault="007E5716" w:rsidP="00DC3CD9">
      <w:pPr>
        <w:pStyle w:val="Prrafodelista"/>
        <w:numPr>
          <w:ilvl w:val="1"/>
          <w:numId w:val="23"/>
        </w:numPr>
        <w:tabs>
          <w:tab w:val="left" w:pos="709"/>
        </w:tabs>
        <w:spacing w:line="250" w:lineRule="auto"/>
        <w:ind w:right="0"/>
        <w:contextualSpacing w:val="0"/>
        <w:rPr>
          <w:color w:val="auto"/>
          <w:lang w:val="eu-ES"/>
        </w:rPr>
      </w:pPr>
      <w:r w:rsidRPr="00854372">
        <w:rPr>
          <w:color w:val="auto"/>
          <w:lang w:val="eu-ES"/>
        </w:rPr>
        <w:t>Eskaerak aurkezteko epea deialdi bakoitzean ezartzen dena izango da, eta ALHAOn argitaratu eta hurrengo egunetik aurrera zenbatuko da.</w:t>
      </w:r>
    </w:p>
    <w:p w14:paraId="783B9903" w14:textId="77777777" w:rsidR="00DC3CD9" w:rsidRPr="00854372" w:rsidRDefault="007E5716" w:rsidP="00DC3CD9">
      <w:pPr>
        <w:pStyle w:val="Prrafodelista"/>
        <w:numPr>
          <w:ilvl w:val="1"/>
          <w:numId w:val="23"/>
        </w:numPr>
        <w:tabs>
          <w:tab w:val="left" w:pos="709"/>
        </w:tabs>
        <w:spacing w:line="250" w:lineRule="auto"/>
        <w:ind w:right="0"/>
        <w:contextualSpacing w:val="0"/>
        <w:rPr>
          <w:color w:val="auto"/>
          <w:lang w:val="eu-ES"/>
        </w:rPr>
      </w:pPr>
      <w:r w:rsidRPr="00854372">
        <w:rPr>
          <w:color w:val="auto"/>
          <w:lang w:val="eu-ES"/>
        </w:rPr>
        <w:t>Horrelako laguntzak jaso nahi dituen toki erakunde bakoitzak laguntza eskaera bakarra egin ahal izango du deialdi bakoitzeko, 21/2013 Foru Arauaren 17. artikuluko ("Obren tipologia") 4. apartatuan jasotako salbuespenekin.</w:t>
      </w:r>
    </w:p>
    <w:p w14:paraId="2169FDCE"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Deialdi bakoitzean zehaztuko da eskaerak nola aurkeztu behar diren.</w:t>
      </w:r>
    </w:p>
    <w:p w14:paraId="7A3A8918"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Eskaera bakoitzarekin batera deialdian ezartzen den dokumentazioa aurkeztu beharko da. Nolanahi ere, eskaerekin batera 21/2013 Foru Arauaren 19. artikuluaren (“Deialdia eta eskariak”) 2. apartatuan zerrendatutako dokumentazioa aurkeztu beharko da.</w:t>
      </w:r>
    </w:p>
    <w:p w14:paraId="32AA65F1"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Nolanahi ere, Lurralde Orekaren eta Lurralde Antolamenduaren Sailak aurkeztutako eskaerak behar bezala ulertzeko eta ebaluatzeko behar dituen argibide osagarri guztiak eskatu ahal izango ditu.</w:t>
      </w:r>
    </w:p>
    <w:p w14:paraId="4E158AB8" w14:textId="77777777" w:rsidR="00DC3CD9" w:rsidRPr="00854372" w:rsidRDefault="007E5716" w:rsidP="00DC3CD9">
      <w:pPr>
        <w:pStyle w:val="Prrafodelista"/>
        <w:numPr>
          <w:ilvl w:val="1"/>
          <w:numId w:val="23"/>
        </w:numPr>
        <w:spacing w:line="250" w:lineRule="auto"/>
        <w:ind w:right="0"/>
        <w:contextualSpacing w:val="0"/>
        <w:rPr>
          <w:color w:val="auto"/>
          <w:lang w:val="eu-ES"/>
        </w:rPr>
      </w:pPr>
      <w:bookmarkStart w:id="4" w:name="_Hlk194490933"/>
      <w:r w:rsidRPr="00854372">
        <w:rPr>
          <w:color w:val="auto"/>
          <w:lang w:val="eu-ES"/>
        </w:rPr>
        <w:t>Aurkeztutako eskaeretan akatsak badaude edo eskaerak osorik ez badaude, Lurralde Orekaren eta Lurralde Antolamenduaren Sailak haiek zuzentzeko edo nahitaezko dokumentuak eransteko errekerimendua egingo die erakunde interesdunei. Horretarako, hamar egun balioduneko epea izango dute, eta epe hori igarotakoan akatsak zuzendu ez badira, eskaeran atzera egin dela ulertuko da, bat etorriz Administrazio Publikoen Administrazio Prozedura Erkidearen urriaren 1eko 39/2015 Legeak 68. artikuluan xedatutakoarekin.</w:t>
      </w:r>
      <w:bookmarkEnd w:id="4"/>
    </w:p>
    <w:p w14:paraId="2B778937"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lastRenderedPageBreak/>
        <w:t>Obra Txikiak Egiteko Programaren bidez eskatutako obrak ezingo dira eskatu Auzo Harremanak Sustatzeko Ekimenen Programan, ekitaldi bereko deialdian, ez eta Obra eta Zerbitzuen Foru Planaren Programan ere. Halakorik gertatuz gero, 21/2013 Foru Arauaren 17 bis artikuluko 2. eta 3. apartatuetan xedatutakoa beteko da.</w:t>
      </w:r>
    </w:p>
    <w:p w14:paraId="23D7CAB0"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Hautatzeko irizpideak.</w:t>
      </w:r>
    </w:p>
    <w:p w14:paraId="28879542"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Eskaeren artean hautatzeko irizpideak 21/2013 Foru Arauaren 20. artikuluan (“Emakida araubidea eta hautatzeko irizpideak”) biltzen dira.</w:t>
      </w:r>
    </w:p>
    <w:p w14:paraId="7475DE37"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Baztertzeko irizpideak.</w:t>
      </w:r>
    </w:p>
    <w:p w14:paraId="68DACAA1"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 xml:space="preserve">Honako eskaera hauek baztertuko dira: </w:t>
      </w:r>
    </w:p>
    <w:p w14:paraId="2C9C7CFF" w14:textId="77777777" w:rsidR="00DC3CD9" w:rsidRPr="00854372" w:rsidRDefault="007E5716" w:rsidP="00DC3CD9">
      <w:pPr>
        <w:pStyle w:val="Prrafodelista"/>
        <w:numPr>
          <w:ilvl w:val="2"/>
          <w:numId w:val="23"/>
        </w:numPr>
        <w:spacing w:line="250" w:lineRule="auto"/>
        <w:ind w:right="0"/>
        <w:contextualSpacing w:val="0"/>
        <w:rPr>
          <w:color w:val="auto"/>
          <w:lang w:val="eu-ES"/>
        </w:rPr>
      </w:pPr>
      <w:r w:rsidRPr="00854372">
        <w:rPr>
          <w:color w:val="auto"/>
          <w:lang w:val="eu-ES"/>
        </w:rPr>
        <w:t>21/2013 Foru Arauaren 17 bis artikuluan aipatzen diren baztertzeko kasuetako batean dauden eskaerak.</w:t>
      </w:r>
    </w:p>
    <w:p w14:paraId="0A741BCE" w14:textId="77777777" w:rsidR="00DC3CD9" w:rsidRPr="00854372" w:rsidRDefault="007E5716" w:rsidP="00DC3CD9">
      <w:pPr>
        <w:pStyle w:val="Prrafodelista"/>
        <w:numPr>
          <w:ilvl w:val="2"/>
          <w:numId w:val="23"/>
        </w:numPr>
        <w:spacing w:line="250" w:lineRule="auto"/>
        <w:ind w:right="0"/>
        <w:contextualSpacing w:val="0"/>
        <w:rPr>
          <w:color w:val="auto"/>
          <w:lang w:val="eu-ES"/>
        </w:rPr>
      </w:pPr>
      <w:r w:rsidRPr="00854372">
        <w:rPr>
          <w:color w:val="auto"/>
          <w:lang w:val="eu-ES"/>
        </w:rPr>
        <w:t>21/2013 Foru Arauan, oinarri arautzaile hauetan edo dagozkien deialdietan ezarritako baldintzak betetzen ez dituzten eskaerak.</w:t>
      </w:r>
    </w:p>
    <w:p w14:paraId="235B6728" w14:textId="77777777" w:rsidR="00DC3CD9" w:rsidRPr="00854372" w:rsidRDefault="007E5716" w:rsidP="00DC3CD9">
      <w:pPr>
        <w:pStyle w:val="Prrafodelista"/>
        <w:numPr>
          <w:ilvl w:val="2"/>
          <w:numId w:val="23"/>
        </w:numPr>
        <w:spacing w:line="250" w:lineRule="auto"/>
        <w:ind w:right="0"/>
        <w:contextualSpacing w:val="0"/>
        <w:rPr>
          <w:color w:val="auto"/>
          <w:lang w:val="eu-ES"/>
        </w:rPr>
      </w:pPr>
      <w:r w:rsidRPr="00854372">
        <w:rPr>
          <w:color w:val="auto"/>
          <w:lang w:val="eu-ES"/>
        </w:rPr>
        <w:t>Jarduketari legeria sektorial bat aplikatzen bazaio (errepideena, urena...) eta organo eskudunak ebazpen edo txosten negatiboa eman badu, egin behar ez litzatekeela adierazten duena edo egitea debekatzen duena.</w:t>
      </w:r>
    </w:p>
    <w:p w14:paraId="049141A7"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Deialdia ebaztea eta jakinaraztea.</w:t>
      </w:r>
    </w:p>
    <w:p w14:paraId="53904828"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Laguntzak emateko prozedura 21/2013 Foru Arauaren 21. artikuluan (“Prozedura, ebazpena eta jakinarazpena”) ezartzen da.</w:t>
      </w:r>
    </w:p>
    <w:p w14:paraId="612D11FA"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Ebazpenean, dirulaguntza jasoko duten erakunde eskatzaileen zerrenda jasotzeaz gain, gainerako eskaerak ezetsi direla ere adierazi beharko da berariaz.</w:t>
      </w:r>
    </w:p>
    <w:p w14:paraId="19178FCB"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Administrazio Publikoen Administrazio Prozedura Erkidearen urriaren 1eko 39/2015 Legeak 41. artikuluan eta hurrengoetan ezartzen duen bezala jakinarazi behar zaie dirulaguntza emateko edo ukatzeko ebazpena eskatzaileei.</w:t>
      </w:r>
    </w:p>
    <w:p w14:paraId="37F42EC5"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Ebazpenak amaiera emango dio administrazio bideari eta haren aurka administrazioarekiko auzi errekurtsoa aurkeztu ahal izango da Gasteizko administrazioarekiko auzien epaitegietan, bat etorriz Administrazioarekiko Auzien Jurisdikzioa arautzen duen uztailaren 13ko 29/1998 Legeak 8. artikuluan xedatutakoarekin, ebazpena jakinarazi eta bi hilabeteko epean; dena dela, aurrez 44. artikuluko aukerako errekerimendua aurkez daiteke..</w:t>
      </w:r>
    </w:p>
    <w:p w14:paraId="2DB3151B"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Organo eskudunak.</w:t>
      </w:r>
    </w:p>
    <w:p w14:paraId="4A3D88F8" w14:textId="77777777" w:rsidR="00DC3CD9" w:rsidRPr="00854372" w:rsidRDefault="007E5716" w:rsidP="00DC3CD9">
      <w:pPr>
        <w:pStyle w:val="Prrafodelista"/>
        <w:numPr>
          <w:ilvl w:val="1"/>
          <w:numId w:val="23"/>
        </w:numPr>
        <w:spacing w:after="120" w:line="250" w:lineRule="auto"/>
        <w:ind w:right="0"/>
        <w:contextualSpacing w:val="0"/>
        <w:rPr>
          <w:color w:val="auto"/>
          <w:lang w:val="eu-ES"/>
        </w:rPr>
      </w:pPr>
      <w:r w:rsidRPr="00854372">
        <w:rPr>
          <w:color w:val="auto"/>
          <w:lang w:val="eu-ES"/>
        </w:rPr>
        <w:t>21/2013 Foru Arauaren 21. artikuluan (“Prozedura, ebazpena eta jakinarazpena”) ezartzen den bezala, honako hauek dira laguntzen instrukzioa egiteko, proposamena egiteko eta ebazpena emateko eskumena duten organoak:</w:t>
      </w:r>
    </w:p>
    <w:p w14:paraId="35BC7BF8" w14:textId="77777777" w:rsidR="00DC3CD9" w:rsidRPr="00854372" w:rsidRDefault="007E5716" w:rsidP="00DC3CD9">
      <w:pPr>
        <w:pStyle w:val="Prrafodelista"/>
        <w:numPr>
          <w:ilvl w:val="2"/>
          <w:numId w:val="23"/>
        </w:numPr>
        <w:spacing w:after="120" w:line="250" w:lineRule="auto"/>
        <w:ind w:left="794" w:right="0"/>
        <w:contextualSpacing w:val="0"/>
        <w:rPr>
          <w:color w:val="auto"/>
          <w:lang w:val="eu-ES"/>
        </w:rPr>
      </w:pPr>
      <w:r w:rsidRPr="00854372">
        <w:rPr>
          <w:color w:val="auto"/>
          <w:lang w:val="eu-ES"/>
        </w:rPr>
        <w:t>Toki Azpiegitura eta Ekipamenduen Sustapenaren eta Finantzaketaren Zerbitzuak izango du laguntzak emateko prozedura izapidetzeko eskumena.</w:t>
      </w:r>
    </w:p>
    <w:p w14:paraId="1AECA5D3" w14:textId="77777777" w:rsidR="00DC3CD9" w:rsidRPr="00854372" w:rsidRDefault="007E5716" w:rsidP="00DC3CD9">
      <w:pPr>
        <w:pStyle w:val="Prrafodelista"/>
        <w:numPr>
          <w:ilvl w:val="2"/>
          <w:numId w:val="23"/>
        </w:numPr>
        <w:spacing w:after="120" w:line="250" w:lineRule="auto"/>
        <w:ind w:left="794" w:right="0"/>
        <w:contextualSpacing w:val="0"/>
        <w:rPr>
          <w:color w:val="auto"/>
          <w:lang w:val="eu-ES"/>
        </w:rPr>
      </w:pPr>
      <w:r w:rsidRPr="00854372">
        <w:rPr>
          <w:color w:val="auto"/>
          <w:lang w:val="eu-ES"/>
        </w:rPr>
        <w:t xml:space="preserve">Ebazpen proposamena egiteko organo eskuduna kide anitzeko organo bat izango da, eta Lurralde Orekaren eta Lurralde Antolamenduaren Saileko titularrak eta Lurralde Orekaren Zuzendaritzako titularrak osatuko dute. Kide anitzeko organo horren osaera kasuan kasuko </w:t>
      </w:r>
      <w:r w:rsidRPr="00854372">
        <w:rPr>
          <w:color w:val="auto"/>
          <w:lang w:val="eu-ES"/>
        </w:rPr>
        <w:lastRenderedPageBreak/>
        <w:t>deialdian berariaz xedatzen denaren arabera handitu edo aldatu ahal izango da. Kide anitzeko organoa osatzen duten pertsona kopurua handitzen bada, kontuan hartu beharko da nahitaez errespetatu behar dela emakumeen eta gizonen presentzia orekatua organo horretan, Emakumeen eta gizonen berdintasunerako eta emakumeen aurkako indarkeria matxistarik gabe bizitzeko Legearen testu bategina onartzen duen martxoaren 16ko 1/2023 Legegintzako Dekretuaren 3.10 artikuluan jasotako edukiaren arabera.</w:t>
      </w:r>
    </w:p>
    <w:p w14:paraId="03A24322" w14:textId="77777777" w:rsidR="00DC3CD9" w:rsidRPr="00854372" w:rsidRDefault="007E5716" w:rsidP="00DC3CD9">
      <w:pPr>
        <w:pStyle w:val="Prrafodelista"/>
        <w:numPr>
          <w:ilvl w:val="2"/>
          <w:numId w:val="23"/>
        </w:numPr>
        <w:spacing w:line="250" w:lineRule="auto"/>
        <w:ind w:left="794" w:right="0"/>
        <w:contextualSpacing w:val="0"/>
        <w:rPr>
          <w:color w:val="auto"/>
          <w:lang w:val="eu-ES"/>
        </w:rPr>
      </w:pPr>
      <w:r w:rsidRPr="00854372">
        <w:rPr>
          <w:color w:val="auto"/>
          <w:lang w:val="eu-ES"/>
        </w:rPr>
        <w:t>Deialdiak ebazteko eskumena Arabako Foru Aldundiko Foru Gobernu Kontseiluak edukiko du.</w:t>
      </w:r>
    </w:p>
    <w:p w14:paraId="02F61AAA"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Dirulaguntza jasotzen duten erakundeen betebeharrak.</w:t>
      </w:r>
    </w:p>
    <w:p w14:paraId="36699EC9"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Obra txikiak egiteko laguntzen programako laguntza jasotzen duten toki erakundeek 21/2013 Foru Arauaren 23. artikuluan (“Erakunde onuradunen betebeharrak eta erantzukizunak”) ezartzen diren betebeharrak edukiko dituzte.</w:t>
      </w:r>
    </w:p>
    <w:p w14:paraId="0CFD5340"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Era berean, honako betebehar hauek izango dituzte:</w:t>
      </w:r>
    </w:p>
    <w:p w14:paraId="6D6F7AA4" w14:textId="77777777" w:rsidR="00DC3CD9" w:rsidRPr="00854372" w:rsidRDefault="007E5716" w:rsidP="00DC3CD9">
      <w:pPr>
        <w:pStyle w:val="Prrafodelista"/>
        <w:numPr>
          <w:ilvl w:val="2"/>
          <w:numId w:val="23"/>
        </w:numPr>
        <w:spacing w:after="60" w:line="250" w:lineRule="auto"/>
        <w:ind w:right="0"/>
        <w:contextualSpacing w:val="0"/>
        <w:rPr>
          <w:color w:val="auto"/>
          <w:lang w:val="eu-ES"/>
        </w:rPr>
      </w:pPr>
      <w:r w:rsidRPr="00854372">
        <w:rPr>
          <w:color w:val="auto"/>
          <w:lang w:val="eu-ES"/>
        </w:rPr>
        <w:t>Dirulaguntza osoa erabili behar dute haren xede den jarduketa gauzatzeko.</w:t>
      </w:r>
    </w:p>
    <w:p w14:paraId="68C0CEDA" w14:textId="77777777" w:rsidR="00DC3CD9" w:rsidRPr="00854372" w:rsidRDefault="007E5716" w:rsidP="00DC3CD9">
      <w:pPr>
        <w:pStyle w:val="Prrafodelista"/>
        <w:numPr>
          <w:ilvl w:val="2"/>
          <w:numId w:val="23"/>
        </w:numPr>
        <w:spacing w:after="60" w:line="250" w:lineRule="auto"/>
        <w:ind w:right="0"/>
        <w:contextualSpacing w:val="0"/>
        <w:rPr>
          <w:color w:val="auto"/>
          <w:lang w:val="eu-ES"/>
        </w:rPr>
      </w:pPr>
      <w:r w:rsidRPr="00854372">
        <w:rPr>
          <w:color w:val="auto"/>
          <w:lang w:val="eu-ES"/>
        </w:rPr>
        <w:t>21/2013 Foru Arauan eta laguntza hauen oinarri arautzaileetan eta deialdian ezarritako betekizunak eta baldintzak bete beharko dituzte.</w:t>
      </w:r>
    </w:p>
    <w:p w14:paraId="47CC62FA" w14:textId="77777777" w:rsidR="00DC3CD9" w:rsidRPr="00854372" w:rsidRDefault="007E5716" w:rsidP="00DC3CD9">
      <w:pPr>
        <w:pStyle w:val="Prrafodelista"/>
        <w:numPr>
          <w:ilvl w:val="2"/>
          <w:numId w:val="23"/>
        </w:numPr>
        <w:spacing w:after="60" w:line="250" w:lineRule="auto"/>
        <w:ind w:right="0"/>
        <w:contextualSpacing w:val="0"/>
        <w:rPr>
          <w:color w:val="auto"/>
          <w:lang w:val="eu-ES"/>
        </w:rPr>
      </w:pPr>
      <w:r w:rsidRPr="00854372">
        <w:rPr>
          <w:color w:val="auto"/>
          <w:lang w:val="eu-ES"/>
        </w:rPr>
        <w:t>Kontratazio publikoaren arloko legerian eta, bereziki, Sektore Publikoko Kontratuen azaroaren 8ko 9/2017 Legean xedatutakoa bete behar dute.</w:t>
      </w:r>
    </w:p>
    <w:p w14:paraId="06FDEC3D" w14:textId="77777777" w:rsidR="00DC3CD9" w:rsidRPr="00854372" w:rsidRDefault="007E5716" w:rsidP="00DC3CD9">
      <w:pPr>
        <w:pStyle w:val="Prrafodelista"/>
        <w:numPr>
          <w:ilvl w:val="2"/>
          <w:numId w:val="23"/>
        </w:numPr>
        <w:spacing w:line="250" w:lineRule="auto"/>
        <w:ind w:left="794" w:right="0"/>
        <w:contextualSpacing w:val="0"/>
        <w:rPr>
          <w:color w:val="auto"/>
          <w:lang w:val="eu-ES"/>
        </w:rPr>
      </w:pPr>
      <w:r w:rsidRPr="00854372">
        <w:rPr>
          <w:color w:val="auto"/>
          <w:lang w:val="eu-ES"/>
        </w:rPr>
        <w:t>Arabako Lurralde Historikoko Dirulaguntzei buruzko urriaren 19ko 11/2016 Foru Arauan diruz lagundu daitekeen jarduerarako ezarritako betebeharrak bete beharko dituzte.</w:t>
      </w:r>
    </w:p>
    <w:p w14:paraId="565C8459"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Baldin eta dirulaguntza jasotzen duen jarduketa egiteko erakunde eskudun baten baimena edota aldeko txostena behar bada, jarduketari ekin baino lehen eduki beharko da.</w:t>
      </w:r>
    </w:p>
    <w:p w14:paraId="364E4045" w14:textId="77777777" w:rsidR="00DC3CD9" w:rsidRPr="00854372" w:rsidRDefault="007E5716" w:rsidP="00DC3CD9">
      <w:pPr>
        <w:pStyle w:val="Prrafodelista"/>
        <w:keepNext/>
        <w:numPr>
          <w:ilvl w:val="0"/>
          <w:numId w:val="23"/>
        </w:numPr>
        <w:tabs>
          <w:tab w:val="left" w:pos="426"/>
        </w:tabs>
        <w:spacing w:before="360" w:line="240" w:lineRule="auto"/>
        <w:ind w:right="0"/>
        <w:contextualSpacing w:val="0"/>
        <w:rPr>
          <w:b/>
          <w:bCs/>
          <w:color w:val="auto"/>
          <w:lang w:val="eu-ES"/>
        </w:rPr>
      </w:pPr>
      <w:r w:rsidRPr="00854372">
        <w:rPr>
          <w:b/>
          <w:bCs/>
          <w:color w:val="auto"/>
          <w:lang w:val="eu-ES"/>
        </w:rPr>
        <w:t>Gauzatzeko epealdia.</w:t>
      </w:r>
    </w:p>
    <w:p w14:paraId="73046D28"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Obra gauzatzeko epealdia kasuan kasuko deialdian ezarriko da.</w:t>
      </w:r>
    </w:p>
    <w:p w14:paraId="0BDC8C6C"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Obra gauzatzeko epealdia deialdiaren ekitaldiko abenduaren 31n amaituko da, gehienez ere.</w:t>
      </w:r>
    </w:p>
    <w:p w14:paraId="2703CC80"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Dirulaguntzak justifikatzea eta ordaintzea</w:t>
      </w:r>
    </w:p>
    <w:p w14:paraId="57C905FE"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Erakunde onuradun bakoitzari ordainketa izenduna egingo zaio.</w:t>
      </w:r>
    </w:p>
    <w:p w14:paraId="55F7C3A7"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 xml:space="preserve">Dirulaguntza ordaintzeko, erakunde onuradunak 21/2013 Foru Arauaren 22. artikuluaren (“Dirulaguntza finkatu, ordaindu”) 1. apartatuan aipatzen den dokumentazioa bidali beharko du, </w:t>
      </w:r>
      <w:bookmarkStart w:id="5" w:name="_Hlk193978330"/>
      <w:r w:rsidRPr="00854372">
        <w:rPr>
          <w:color w:val="auto"/>
          <w:lang w:val="eu-ES"/>
        </w:rPr>
        <w:t>bai eta kasuan kasuko deialdian eskatzen dena ere.</w:t>
      </w:r>
    </w:p>
    <w:p w14:paraId="1D19CA77"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Hala ere, aipatutako 22. artikuluaren 1 bis apartatuan ezartzen den bezala, emandako dirulaguntzaren zenbatekoaren ehuneko 30era arte aurreratu ahal izango da, hartarako eskaera egin ondoren.</w:t>
      </w:r>
    </w:p>
    <w:p w14:paraId="0179072F"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Erakunde onuradunek egindako ordainketen frogagiriak bidali beharko dituzte dirulaguntzaren xede den jarduketa amaitu ondoren, 21/2013 Foru Arauaren 22. artikuluaren (“Dirulaguntza finkatu, ordaindu”) 3. apartatuan ezartzen den bezala.</w:t>
      </w:r>
    </w:p>
    <w:bookmarkEnd w:id="5"/>
    <w:p w14:paraId="1B154249"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lastRenderedPageBreak/>
        <w:t>Unitateko prezioak eta moduluak eguneratzea.</w:t>
      </w:r>
    </w:p>
    <w:p w14:paraId="199CA471"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21/2013 Foru Arauaren 18. artikuluan ("Laguntzen zenbatekoa") jasotako moduluak, zeinak diruz lagundu daitekeen aurrekontua lortzeko aplikatu beharko baitira zolatze obrak edo argiteria publikorako luminariak instalatzeko obrak diren edo barnean hartzen dituzten jarduketetan, kasuan kasuko deialdietan eguneratu ahal izango dira.</w:t>
      </w:r>
    </w:p>
    <w:p w14:paraId="295D51B1"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Dirulaguntzak pilatzea eta haien arteko bateragarritasuna.</w:t>
      </w:r>
    </w:p>
    <w:p w14:paraId="7C13ABD5"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Emandako laguntzak bateragarriak dira helburu bererako beste edozein administrazio edo erakunde publiko nahiz pribatuk emandako dirulaguntza, diru sarrera edo baliabiderekin, 21/2013 Foru Arauaren 24. artikuluan (“Dirulaguntza bat baino gehiago aldi berean”) ezarritakoaren arabera.</w:t>
      </w:r>
    </w:p>
    <w:p w14:paraId="19B3F93D"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Oinarriak ez betetzea eta dirulaguntza itzultzea.</w:t>
      </w:r>
    </w:p>
    <w:p w14:paraId="286D55C7"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Honako hauetan ezarritako kasuetan, jasotako dirulaguntza itzuli beharko da: Arabako Lurralde Historikoko Dirulaguntzen urriaren 19ko 11/2016 Foru Araua, Dirulaguntzei buruzko azaroaren 17ko 38/2003 Lege Orokorra eta Dirulaguntzei buruzko azaroaren 17ko 38/2003 Lege Orokorraren Arautegia onesten duen uztailaren 21eko 887/2006 Errege Dekretua.</w:t>
      </w:r>
    </w:p>
    <w:p w14:paraId="05808B1D"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21/2013 Foru Arauan jasotzen diren kasuetan ere dirulaguntza itzuli beharko da.</w:t>
      </w:r>
    </w:p>
    <w:p w14:paraId="2F658684"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Onetsitako dirulaguntzaren gainean jasotako zenbatekoak itzultzea zuzenbide publikoko diru sarreratzat hartuko da, eta Aurrekontuei buruzko urtarrilaren 25eko 3/2023 Foru Arau Orokorrean xedatutakoaren arabera kobratuko da.</w:t>
      </w:r>
    </w:p>
    <w:p w14:paraId="64E64B85" w14:textId="77777777" w:rsidR="00DC3CD9" w:rsidRPr="00854372" w:rsidRDefault="007E5716" w:rsidP="00DC3CD9">
      <w:pPr>
        <w:pStyle w:val="Prrafodelista"/>
        <w:numPr>
          <w:ilvl w:val="1"/>
          <w:numId w:val="23"/>
        </w:numPr>
        <w:spacing w:line="250" w:lineRule="auto"/>
        <w:ind w:right="0"/>
        <w:contextualSpacing w:val="0"/>
        <w:rPr>
          <w:color w:val="auto"/>
          <w:lang w:val="eu-ES"/>
        </w:rPr>
      </w:pPr>
      <w:r w:rsidRPr="00854372">
        <w:rPr>
          <w:color w:val="auto"/>
          <w:lang w:val="eu-ES"/>
        </w:rPr>
        <w:t>Honako irizpide hauek ezartzen dira dirulaguntza ematean ezarritako baldintzak betetzen ez diren kasuak mailakatzeko:</w:t>
      </w:r>
    </w:p>
    <w:p w14:paraId="71EC17C9" w14:textId="77777777" w:rsidR="00DC3CD9" w:rsidRPr="00854372" w:rsidRDefault="007E5716" w:rsidP="00DC3CD9">
      <w:pPr>
        <w:pStyle w:val="Prrafodelista"/>
        <w:numPr>
          <w:ilvl w:val="2"/>
          <w:numId w:val="24"/>
        </w:numPr>
        <w:tabs>
          <w:tab w:val="left" w:pos="426"/>
        </w:tabs>
        <w:spacing w:before="360" w:line="250" w:lineRule="auto"/>
        <w:ind w:right="0"/>
        <w:contextualSpacing w:val="0"/>
        <w:rPr>
          <w:color w:val="auto"/>
          <w:lang w:val="eu-ES"/>
        </w:rPr>
      </w:pPr>
      <w:r w:rsidRPr="00854372">
        <w:rPr>
          <w:color w:val="auto"/>
          <w:lang w:val="eu-ES"/>
        </w:rPr>
        <w:t>Dirulaguntza jaso duen jarduketa ez bada gauzatzen deialdiaren ekitaldiko abenduaren 31rako, emandako dirulaguntza osoa galduko da.</w:t>
      </w:r>
    </w:p>
    <w:p w14:paraId="09597E7F" w14:textId="77777777" w:rsidR="00DC3CD9" w:rsidRPr="00854372" w:rsidRDefault="007E5716" w:rsidP="00DC3CD9">
      <w:pPr>
        <w:pStyle w:val="Prrafodelista"/>
        <w:numPr>
          <w:ilvl w:val="2"/>
          <w:numId w:val="24"/>
        </w:numPr>
        <w:tabs>
          <w:tab w:val="left" w:pos="426"/>
        </w:tabs>
        <w:spacing w:before="360" w:line="250" w:lineRule="auto"/>
        <w:ind w:right="0"/>
        <w:contextualSpacing w:val="0"/>
        <w:rPr>
          <w:color w:val="auto"/>
          <w:lang w:val="eu-ES"/>
        </w:rPr>
      </w:pPr>
      <w:r w:rsidRPr="00854372">
        <w:rPr>
          <w:color w:val="auto"/>
          <w:lang w:val="eu-ES"/>
        </w:rPr>
        <w:t>Dirulaguntza jaso duen jarduketaren zati bat gauzatzen bada deialdiaren ekitaldiaren barruan, gauzatu gabeko zatiari dagokion diru kopurua galduko da, baldin eta gauzatutako zatiarekin dirulaguntzaren xede den jarduketa egitea lortzen bada. Bestela, emandako dirulaguntza osoa galduko da.</w:t>
      </w:r>
    </w:p>
    <w:p w14:paraId="49568702" w14:textId="77777777" w:rsidR="00DC3CD9" w:rsidRPr="00854372" w:rsidRDefault="007E5716" w:rsidP="00DC3CD9">
      <w:pPr>
        <w:pStyle w:val="Prrafodelista"/>
        <w:numPr>
          <w:ilvl w:val="2"/>
          <w:numId w:val="24"/>
        </w:numPr>
        <w:tabs>
          <w:tab w:val="left" w:pos="426"/>
        </w:tabs>
        <w:spacing w:before="360" w:line="250" w:lineRule="auto"/>
        <w:ind w:right="0"/>
        <w:contextualSpacing w:val="0"/>
        <w:rPr>
          <w:color w:val="auto"/>
          <w:lang w:val="eu-ES"/>
        </w:rPr>
      </w:pPr>
      <w:r w:rsidRPr="00854372">
        <w:rPr>
          <w:color w:val="auto"/>
          <w:lang w:val="eu-ES"/>
        </w:rPr>
        <w:t>Gastuak ez badira frogatzen edo ez badira frogatzen oinarri arautzaile hauen 12.2 apartatuan ezartzen den bezala, emandako dirulaguntzatik frogatu ez den zatia galduko da.</w:t>
      </w:r>
    </w:p>
    <w:p w14:paraId="17862C66" w14:textId="77777777" w:rsidR="00DC3CD9" w:rsidRPr="00854372" w:rsidRDefault="007E5716" w:rsidP="00DC3CD9">
      <w:pPr>
        <w:pStyle w:val="Prrafodelista"/>
        <w:numPr>
          <w:ilvl w:val="2"/>
          <w:numId w:val="24"/>
        </w:numPr>
        <w:tabs>
          <w:tab w:val="left" w:pos="426"/>
        </w:tabs>
        <w:spacing w:before="360" w:line="250" w:lineRule="auto"/>
        <w:ind w:right="0"/>
        <w:contextualSpacing w:val="0"/>
        <w:rPr>
          <w:color w:val="auto"/>
          <w:lang w:val="eu-ES"/>
        </w:rPr>
      </w:pPr>
      <w:bookmarkStart w:id="6" w:name="_Hlk214441984"/>
      <w:r w:rsidRPr="00854372">
        <w:rPr>
          <w:color w:val="auto"/>
          <w:lang w:val="eu-ES"/>
        </w:rPr>
        <w:t xml:space="preserve">Aurreko a, b eta c apartatuetan ezartzen dena gorabehera, dirulaguntza jasotzen duen jarduketa </w:t>
      </w:r>
      <w:bookmarkStart w:id="7" w:name="_Hlk214441846"/>
      <w:r w:rsidRPr="00854372">
        <w:rPr>
          <w:color w:val="auto"/>
          <w:lang w:val="eu-ES"/>
        </w:rPr>
        <w:t>egiten ez bada</w:t>
      </w:r>
      <w:bookmarkEnd w:id="6"/>
      <w:r w:rsidRPr="00854372">
        <w:rPr>
          <w:color w:val="auto"/>
          <w:lang w:val="eu-ES"/>
        </w:rPr>
        <w:t xml:space="preserve"> edo gastuak ez badira frogatzen ezarritako epealdiaren barruan, dirulaguntzaren zenbatekoa txikitu ahal izango da</w:t>
      </w:r>
      <w:bookmarkEnd w:id="7"/>
      <w:r w:rsidRPr="00854372">
        <w:rPr>
          <w:color w:val="auto"/>
          <w:lang w:val="eu-ES"/>
        </w:rPr>
        <w:t>. Neurri hori aplikatzea aurreikusiz gero, haren zehaztapena eta irismena kasuan kasuko deialdietan ezarri beharko dira.</w:t>
      </w:r>
    </w:p>
    <w:p w14:paraId="11620246" w14:textId="77777777" w:rsidR="00DC3CD9" w:rsidRPr="00854372" w:rsidRDefault="007E5716" w:rsidP="00DC3CD9">
      <w:pPr>
        <w:pStyle w:val="Prrafodelista"/>
        <w:numPr>
          <w:ilvl w:val="2"/>
          <w:numId w:val="24"/>
        </w:numPr>
        <w:tabs>
          <w:tab w:val="left" w:pos="426"/>
        </w:tabs>
        <w:spacing w:before="360" w:line="250" w:lineRule="auto"/>
        <w:ind w:right="0"/>
        <w:contextualSpacing w:val="0"/>
        <w:rPr>
          <w:color w:val="auto"/>
          <w:lang w:val="eu-ES"/>
        </w:rPr>
      </w:pPr>
      <w:r w:rsidRPr="00854372">
        <w:rPr>
          <w:color w:val="auto"/>
          <w:lang w:val="eu-ES"/>
        </w:rPr>
        <w:t>Toki erakunde onuradunak ez badu egiten zaion errekerimenduren bat betetzen, dirulaguntzaren zenbatekoa txikitu ahal izango da. Neurri hori aplikatzea aurreikusiz gero, haren zehaztapena eta irismena kasuan kasuko deialdietan ezarri beharko dira.</w:t>
      </w:r>
    </w:p>
    <w:p w14:paraId="77FDFA43"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lastRenderedPageBreak/>
        <w:t>Interpretazioa.</w:t>
      </w:r>
    </w:p>
    <w:p w14:paraId="6576DD70" w14:textId="77777777" w:rsidR="00DC3CD9" w:rsidRPr="00854372" w:rsidRDefault="007E5716" w:rsidP="00DC3CD9">
      <w:pPr>
        <w:pStyle w:val="Prrafodelista"/>
        <w:spacing w:line="250" w:lineRule="auto"/>
        <w:ind w:left="0" w:right="0" w:firstLine="0"/>
        <w:contextualSpacing w:val="0"/>
        <w:rPr>
          <w:color w:val="auto"/>
          <w:lang w:val="eu-ES"/>
        </w:rPr>
      </w:pPr>
      <w:r w:rsidRPr="00854372">
        <w:rPr>
          <w:color w:val="auto"/>
          <w:lang w:val="eu-ES"/>
        </w:rPr>
        <w:t>Oinarri hauen interpretazioaren inguruan sor daitekeen edozein zalantza Aldundiko Lurralde Orekaren eta Lurralde Antolamenduaren Sailak ebatziko du.</w:t>
      </w:r>
    </w:p>
    <w:p w14:paraId="1C1A10B2" w14:textId="77777777" w:rsidR="00DC3CD9" w:rsidRPr="00854372" w:rsidRDefault="007E5716" w:rsidP="00DC3CD9">
      <w:pPr>
        <w:pStyle w:val="Prrafodelista"/>
        <w:keepNext/>
        <w:numPr>
          <w:ilvl w:val="0"/>
          <w:numId w:val="23"/>
        </w:numPr>
        <w:tabs>
          <w:tab w:val="left" w:pos="426"/>
        </w:tabs>
        <w:spacing w:before="360" w:line="250" w:lineRule="auto"/>
        <w:ind w:right="0"/>
        <w:contextualSpacing w:val="0"/>
        <w:rPr>
          <w:b/>
          <w:bCs/>
          <w:color w:val="auto"/>
          <w:lang w:val="eu-ES"/>
        </w:rPr>
      </w:pPr>
      <w:r w:rsidRPr="00854372">
        <w:rPr>
          <w:b/>
          <w:bCs/>
          <w:color w:val="auto"/>
          <w:lang w:val="eu-ES"/>
        </w:rPr>
        <w:t>Araudi aplikagarria.</w:t>
      </w:r>
    </w:p>
    <w:p w14:paraId="2EFF2B92" w14:textId="77777777" w:rsidR="00DC3CD9" w:rsidRPr="00854372" w:rsidRDefault="007E5716" w:rsidP="00DC3CD9">
      <w:pPr>
        <w:pStyle w:val="Prrafodelista"/>
        <w:spacing w:line="250" w:lineRule="auto"/>
        <w:ind w:left="0" w:right="0" w:firstLine="0"/>
        <w:rPr>
          <w:color w:val="auto"/>
          <w:lang w:val="eu-ES"/>
        </w:rPr>
      </w:pPr>
      <w:r w:rsidRPr="00854372">
        <w:rPr>
          <w:color w:val="auto"/>
          <w:lang w:val="eu-ES"/>
        </w:rPr>
        <w:t>Oinarri hauetan xedatu ez den guztiari dagokionez, honako arau hauek aplikatuko dira: Auzo harremanak sustatzeko ekimenetarako eta Arabako toki entitateetan obra txikiak egiteko laguntza programak arautzen dituen ekainaren 27ko 21/2013 Foru Araua; Arabako Lurralde Historikoko Dirulaguntzen urriaren 19ko 11/2016 Foru Araua; Dirulaguntzei buruzko azaroaren 17ko 38/2003 Lege Orokorra; Dirulaguntzei buruzko azaroaren 17ko 38/2003 Lege Orokorraren Arautegia onesten duen uztailaren 21eko 887/2006 Errege Dekretua; Aurrekontuei buruzko urtarrilaren 25eko 3/2023 Foru Arau Orokorra; unean-unean indarrean dagoen aurrekontu antolamenduko foru araua; Administrazio Publikoen Administrazio Prozedura Erkidearen urriaren 1eko 39/2015 Legea, eta aplikatzekoa den gainerako araudia.</w:t>
      </w:r>
    </w:p>
    <w:p w14:paraId="0E374EA4" w14:textId="77777777" w:rsidR="00DC3CD9" w:rsidRPr="00B32434" w:rsidRDefault="00DC3CD9">
      <w:pPr>
        <w:spacing w:after="1697"/>
        <w:ind w:left="-5" w:right="0"/>
        <w:rPr>
          <w:color w:val="auto"/>
          <w:lang w:val="eu-ES"/>
        </w:rPr>
      </w:pPr>
    </w:p>
    <w:sectPr w:rsidR="00DC3CD9" w:rsidRPr="00B32434" w:rsidSect="007A560A">
      <w:headerReference w:type="even" r:id="rId9"/>
      <w:headerReference w:type="default" r:id="rId10"/>
      <w:footerReference w:type="even" r:id="rId11"/>
      <w:footerReference w:type="default" r:id="rId12"/>
      <w:footerReference w:type="first" r:id="rId13"/>
      <w:pgSz w:w="11906" w:h="16838"/>
      <w:pgMar w:top="1701" w:right="1418" w:bottom="851" w:left="1701" w:header="720" w:footer="79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A9A4F" w14:textId="77777777" w:rsidR="0031518A" w:rsidRDefault="0031518A">
      <w:pPr>
        <w:spacing w:after="0" w:line="240" w:lineRule="auto"/>
      </w:pPr>
      <w:r>
        <w:separator/>
      </w:r>
    </w:p>
  </w:endnote>
  <w:endnote w:type="continuationSeparator" w:id="0">
    <w:p w14:paraId="27AFBE64" w14:textId="77777777" w:rsidR="0031518A" w:rsidRDefault="00315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01F0" w14:textId="77777777" w:rsidR="00B83E84" w:rsidRDefault="007E571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FCE44" w14:textId="77777777" w:rsidR="00B83E84" w:rsidRDefault="007E571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0311" w14:textId="77777777" w:rsidR="00B83E84" w:rsidRDefault="007E571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CE3FF" w14:textId="77777777" w:rsidR="0031518A" w:rsidRDefault="0031518A">
      <w:pPr>
        <w:spacing w:after="0" w:line="240" w:lineRule="auto"/>
      </w:pPr>
      <w:r>
        <w:separator/>
      </w:r>
    </w:p>
  </w:footnote>
  <w:footnote w:type="continuationSeparator" w:id="0">
    <w:p w14:paraId="2D355F0B" w14:textId="77777777" w:rsidR="0031518A" w:rsidRDefault="00315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1926" w14:textId="77777777" w:rsidR="00B83E84" w:rsidRDefault="007E5716">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3C2FBE09" wp14:editId="0E9A2F72">
              <wp:simplePos x="0" y="0"/>
              <wp:positionH relativeFrom="page">
                <wp:posOffset>1080135</wp:posOffset>
              </wp:positionH>
              <wp:positionV relativeFrom="page">
                <wp:posOffset>457200</wp:posOffset>
              </wp:positionV>
              <wp:extent cx="5761356" cy="428625"/>
              <wp:effectExtent l="0" t="0" r="0" b="0"/>
              <wp:wrapSquare wrapText="bothSides"/>
              <wp:docPr id="18912" name="Group 18912"/>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913" name="Picture 18913"/>
                        <pic:cNvPicPr/>
                      </pic:nvPicPr>
                      <pic:blipFill>
                        <a:blip r:embed="rId1"/>
                        <a:stretch>
                          <a:fillRect/>
                        </a:stretch>
                      </pic:blipFill>
                      <pic:spPr>
                        <a:xfrm>
                          <a:off x="2661603" y="0"/>
                          <a:ext cx="428625" cy="428625"/>
                        </a:xfrm>
                        <a:prstGeom prst="rect">
                          <a:avLst/>
                        </a:prstGeom>
                      </pic:spPr>
                    </pic:pic>
                    <wps:wsp>
                      <wps:cNvPr id="18914" name="Shape 18914"/>
                      <wps:cNvSpPr/>
                      <wps:spPr>
                        <a:xfrm>
                          <a:off x="0"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s:wsp>
                      <wps:cNvPr id="18915" name="Shape 18915"/>
                      <wps:cNvSpPr/>
                      <wps:spPr>
                        <a:xfrm>
                          <a:off x="3312796"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id="_x0000_s2049" style="width:453.65pt;height:33.75pt;margin-top:36pt;margin-left:85.05pt;mso-position-horizontal-relative:page;mso-position-vertical-relative:page;position:absolute;z-index:251658240" coordsize="57613,4286">
              <v:shape id="_x0000_s2050" style="width:4286;height:4286;left:26616;position:absolute" coordsize="21600,21600" o:spt="100" adj="-11796480,,5400" filled="f">
                <v:stroke joinstyle="miter"/>
                <v:imagedata r:id="rId2" o:title=""/>
              </v:shape>
              <v:shape id="_x0000_s2051" style="width:24485;height:0;position:absolute;top:2178" coordsize="2448560,0" path="m,l2448560,e" filled="f" fillcolor="black" stroked="t" strokecolor="black">
                <v:fill opacity="0"/>
                <v:stroke joinstyle="miter" endcap="flat"/>
              </v:shape>
              <v:shape id="_x0000_s2052" style="width:24485;height:0;left:33127;position:absolute;top:2178" coordsize="2448560,0" path="m,l2448560,e" filled="f" fillcolor="black" stroked="t" strokecolor="black">
                <v:fill opacity="0"/>
                <v:stroke joinstyle="miter" endcap="flat"/>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998EF" w14:textId="77777777" w:rsidR="00B83E84" w:rsidRDefault="007E5716">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4C1AE987" wp14:editId="3F7DB3F7">
              <wp:simplePos x="0" y="0"/>
              <wp:positionH relativeFrom="page">
                <wp:posOffset>1080135</wp:posOffset>
              </wp:positionH>
              <wp:positionV relativeFrom="page">
                <wp:posOffset>457200</wp:posOffset>
              </wp:positionV>
              <wp:extent cx="5761356" cy="428625"/>
              <wp:effectExtent l="0" t="0" r="0" b="0"/>
              <wp:wrapSquare wrapText="bothSides"/>
              <wp:docPr id="18898" name="Group 18898"/>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899" name="Picture 18899"/>
                        <pic:cNvPicPr/>
                      </pic:nvPicPr>
                      <pic:blipFill>
                        <a:blip r:embed="rId1"/>
                        <a:stretch>
                          <a:fillRect/>
                        </a:stretch>
                      </pic:blipFill>
                      <pic:spPr>
                        <a:xfrm>
                          <a:off x="2661603" y="0"/>
                          <a:ext cx="428625" cy="428625"/>
                        </a:xfrm>
                        <a:prstGeom prst="rect">
                          <a:avLst/>
                        </a:prstGeom>
                      </pic:spPr>
                    </pic:pic>
                    <wps:wsp>
                      <wps:cNvPr id="18900" name="Shape 18900"/>
                      <wps:cNvSpPr/>
                      <wps:spPr>
                        <a:xfrm>
                          <a:off x="0"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s:wsp>
                      <wps:cNvPr id="18901" name="Shape 18901"/>
                      <wps:cNvSpPr/>
                      <wps:spPr>
                        <a:xfrm>
                          <a:off x="3312796"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id="_x0000_s2053" style="width:453.65pt;height:33.75pt;margin-top:36pt;margin-left:85.05pt;mso-position-horizontal-relative:page;mso-position-vertical-relative:page;position:absolute;z-index:251660288" coordsize="57613,4286">
              <v:shape id="_x0000_s2054" style="width:4286;height:4286;left:26616;position:absolute" coordsize="21600,21600" o:spt="100" adj="-11796480,,5400" filled="f">
                <v:stroke joinstyle="miter"/>
                <v:imagedata r:id="rId2" o:title=""/>
              </v:shape>
              <v:shape id="_x0000_s2055" style="width:24485;height:0;position:absolute;top:2178" coordsize="2448560,0" path="m,l2448560,e" filled="f" fillcolor="black" stroked="t" strokecolor="black">
                <v:fill opacity="0"/>
                <v:stroke joinstyle="miter" endcap="flat"/>
              </v:shape>
              <v:shape id="_x0000_s2056" style="width:24485;height:0;left:33127;position:absolute;top:2178" coordsize="2448560,0" path="m,l2448560,e" filled="f" fillcolor="black" stroked="t" strokecolor="black">
                <v:fill opacity="0"/>
                <v:stroke joinstyle="miter" endcap="flat"/>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9A"/>
    <w:multiLevelType w:val="hybridMultilevel"/>
    <w:tmpl w:val="194499AC"/>
    <w:lvl w:ilvl="0" w:tplc="7C904128">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38E82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A803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F0C9E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ACB73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24100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6EB5B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E8E1C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6273A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7B6D19"/>
    <w:multiLevelType w:val="hybridMultilevel"/>
    <w:tmpl w:val="2DE89460"/>
    <w:lvl w:ilvl="0" w:tplc="C84CC90A">
      <w:start w:val="8"/>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B02064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D58B45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3E8F63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C20387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01AB32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A020D3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0640389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8DEF1E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BE67CC"/>
    <w:multiLevelType w:val="multilevel"/>
    <w:tmpl w:val="BA2232FE"/>
    <w:lvl w:ilvl="0">
      <w:start w:val="5"/>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7154B9"/>
    <w:multiLevelType w:val="multilevel"/>
    <w:tmpl w:val="0F74263C"/>
    <w:lvl w:ilvl="0">
      <w:start w:val="5"/>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7F71773"/>
    <w:multiLevelType w:val="hybridMultilevel"/>
    <w:tmpl w:val="7E32B074"/>
    <w:lvl w:ilvl="0" w:tplc="4BFA1B26">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C2830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F220A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FEF0B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3E43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A6D89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481B1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10133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8E0903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9C4FB0"/>
    <w:multiLevelType w:val="multilevel"/>
    <w:tmpl w:val="C5304522"/>
    <w:lvl w:ilvl="0">
      <w:start w:val="8"/>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6415F1"/>
    <w:multiLevelType w:val="hybridMultilevel"/>
    <w:tmpl w:val="DFAAF8F6"/>
    <w:lvl w:ilvl="0" w:tplc="96C46CF6">
      <w:start w:val="4"/>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7EF64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CCB51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C6C97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A6633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A2F83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662C6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5AE8B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9E8BF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AC631BD"/>
    <w:multiLevelType w:val="hybridMultilevel"/>
    <w:tmpl w:val="A566A992"/>
    <w:lvl w:ilvl="0" w:tplc="A68AA894">
      <w:start w:val="2"/>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182E2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09676D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ADEFDE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96D7F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2607E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C4534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84265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48648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BA358DF"/>
    <w:multiLevelType w:val="multilevel"/>
    <w:tmpl w:val="3956F094"/>
    <w:lvl w:ilvl="0">
      <w:start w:val="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732AD1"/>
    <w:multiLevelType w:val="multilevel"/>
    <w:tmpl w:val="8FD43B92"/>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5448E9"/>
    <w:multiLevelType w:val="multilevel"/>
    <w:tmpl w:val="C9E8637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lowerLetter"/>
      <w:suff w:val="space"/>
      <w:lvlText w:val="%3)"/>
      <w:lvlJc w:val="left"/>
      <w:pPr>
        <w:ind w:left="795" w:hanging="227"/>
      </w:pPr>
      <w:rPr>
        <w:rFonts w:hint="default"/>
      </w:rPr>
    </w:lvl>
    <w:lvl w:ilvl="3">
      <w:start w:val="1"/>
      <w:numFmt w:val="decimal"/>
      <w:lvlText w:val="%4."/>
      <w:lvlJc w:val="left"/>
      <w:pPr>
        <w:ind w:left="2505" w:hanging="360"/>
      </w:pPr>
      <w:rPr>
        <w:rFonts w:hint="default"/>
      </w:rPr>
    </w:lvl>
    <w:lvl w:ilvl="4">
      <w:start w:val="1"/>
      <w:numFmt w:val="lowerLetter"/>
      <w:lvlText w:val="%5."/>
      <w:lvlJc w:val="left"/>
      <w:pPr>
        <w:ind w:left="3225" w:hanging="360"/>
      </w:pPr>
      <w:rPr>
        <w:rFonts w:hint="default"/>
      </w:rPr>
    </w:lvl>
    <w:lvl w:ilvl="5">
      <w:start w:val="1"/>
      <w:numFmt w:val="lowerRoman"/>
      <w:lvlText w:val="%6."/>
      <w:lvlJc w:val="right"/>
      <w:pPr>
        <w:ind w:left="3945" w:hanging="180"/>
      </w:pPr>
      <w:rPr>
        <w:rFonts w:hint="default"/>
      </w:rPr>
    </w:lvl>
    <w:lvl w:ilvl="6">
      <w:start w:val="1"/>
      <w:numFmt w:val="decimal"/>
      <w:lvlText w:val="%7."/>
      <w:lvlJc w:val="left"/>
      <w:pPr>
        <w:ind w:left="4665" w:hanging="360"/>
      </w:pPr>
      <w:rPr>
        <w:rFonts w:hint="default"/>
      </w:rPr>
    </w:lvl>
    <w:lvl w:ilvl="7">
      <w:start w:val="1"/>
      <w:numFmt w:val="lowerLetter"/>
      <w:lvlText w:val="%8."/>
      <w:lvlJc w:val="left"/>
      <w:pPr>
        <w:ind w:left="5385" w:hanging="360"/>
      </w:pPr>
      <w:rPr>
        <w:rFonts w:hint="default"/>
      </w:rPr>
    </w:lvl>
    <w:lvl w:ilvl="8">
      <w:start w:val="1"/>
      <w:numFmt w:val="lowerRoman"/>
      <w:lvlText w:val="%9."/>
      <w:lvlJc w:val="right"/>
      <w:pPr>
        <w:ind w:left="6105" w:hanging="180"/>
      </w:pPr>
      <w:rPr>
        <w:rFonts w:hint="default"/>
      </w:rPr>
    </w:lvl>
  </w:abstractNum>
  <w:abstractNum w:abstractNumId="11" w15:restartNumberingAfterBreak="0">
    <w:nsid w:val="380F4A2D"/>
    <w:multiLevelType w:val="hybridMultilevel"/>
    <w:tmpl w:val="E5C441BA"/>
    <w:lvl w:ilvl="0" w:tplc="3D369074">
      <w:start w:val="4"/>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E249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18665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86092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FCF95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962F6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F20B17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A2679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9EEF4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2ED45F6"/>
    <w:multiLevelType w:val="hybridMultilevel"/>
    <w:tmpl w:val="4F525058"/>
    <w:lvl w:ilvl="0" w:tplc="76F29802">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C6751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8EC55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FEDAB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68DE1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194830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66087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681F7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E2D74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075336"/>
    <w:multiLevelType w:val="hybridMultilevel"/>
    <w:tmpl w:val="202827DC"/>
    <w:lvl w:ilvl="0" w:tplc="0030AD40">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168DE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4C6B5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34432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8FECF8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D6064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04F4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9A6ECA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AC163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6E00D91"/>
    <w:multiLevelType w:val="multilevel"/>
    <w:tmpl w:val="295AAE24"/>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7CD19DF"/>
    <w:multiLevelType w:val="hybridMultilevel"/>
    <w:tmpl w:val="8F32F324"/>
    <w:lvl w:ilvl="0" w:tplc="10CE2D70">
      <w:start w:val="2"/>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F70A5B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100037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512E56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43CB7D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860B49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206D1A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0C30D5D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06EC2B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8562715"/>
    <w:multiLevelType w:val="hybridMultilevel"/>
    <w:tmpl w:val="1FB259DC"/>
    <w:lvl w:ilvl="0" w:tplc="A442FA60">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62D5E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90185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E2BA5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9CFE4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AF07C1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1C6F5C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3A14C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3405F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9345622"/>
    <w:multiLevelType w:val="multilevel"/>
    <w:tmpl w:val="499AED7E"/>
    <w:lvl w:ilvl="0">
      <w:start w:val="6"/>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4B25738"/>
    <w:multiLevelType w:val="hybridMultilevel"/>
    <w:tmpl w:val="9A36826E"/>
    <w:lvl w:ilvl="0" w:tplc="9544C896">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5CA45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68F85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348684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F0A9F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74498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7E47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FF2712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20893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AF2025C"/>
    <w:multiLevelType w:val="multilevel"/>
    <w:tmpl w:val="870E8CF8"/>
    <w:lvl w:ilvl="0">
      <w:start w:val="11"/>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F7E7499"/>
    <w:multiLevelType w:val="hybridMultilevel"/>
    <w:tmpl w:val="E5E872AE"/>
    <w:lvl w:ilvl="0" w:tplc="E3609E96">
      <w:start w:val="2"/>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1AC0F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58E519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ACEE2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7641F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88E30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26FC9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2A608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31E4A4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28774FE"/>
    <w:multiLevelType w:val="hybridMultilevel"/>
    <w:tmpl w:val="011C0FA8"/>
    <w:lvl w:ilvl="0" w:tplc="B5109E6A">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19E1E6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86E4C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EE3B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06A72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D2E46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CCF3A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1E23F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C0C21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B652D57"/>
    <w:multiLevelType w:val="hybridMultilevel"/>
    <w:tmpl w:val="52528CBA"/>
    <w:lvl w:ilvl="0" w:tplc="05F62A04">
      <w:start w:val="13"/>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AADD3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C8BE2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A0FE8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54E91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36415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FF6A33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3F24D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EABD0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663511685">
    <w:abstractNumId w:val="16"/>
  </w:num>
  <w:num w:numId="2" w16cid:durableId="933589164">
    <w:abstractNumId w:val="13"/>
  </w:num>
  <w:num w:numId="3" w16cid:durableId="720789152">
    <w:abstractNumId w:val="11"/>
  </w:num>
  <w:num w:numId="4" w16cid:durableId="930623906">
    <w:abstractNumId w:val="0"/>
  </w:num>
  <w:num w:numId="5" w16cid:durableId="1976518686">
    <w:abstractNumId w:val="6"/>
  </w:num>
  <w:num w:numId="6" w16cid:durableId="260991610">
    <w:abstractNumId w:val="20"/>
  </w:num>
  <w:num w:numId="7" w16cid:durableId="1390613776">
    <w:abstractNumId w:val="9"/>
  </w:num>
  <w:num w:numId="8" w16cid:durableId="1988584505">
    <w:abstractNumId w:val="3"/>
  </w:num>
  <w:num w:numId="9" w16cid:durableId="560093268">
    <w:abstractNumId w:val="17"/>
  </w:num>
  <w:num w:numId="10" w16cid:durableId="112403344">
    <w:abstractNumId w:val="12"/>
  </w:num>
  <w:num w:numId="11" w16cid:durableId="2013336682">
    <w:abstractNumId w:val="8"/>
  </w:num>
  <w:num w:numId="12" w16cid:durableId="484205518">
    <w:abstractNumId w:val="5"/>
  </w:num>
  <w:num w:numId="13" w16cid:durableId="2115325027">
    <w:abstractNumId w:val="21"/>
  </w:num>
  <w:num w:numId="14" w16cid:durableId="554465883">
    <w:abstractNumId w:val="14"/>
  </w:num>
  <w:num w:numId="15" w16cid:durableId="457258419">
    <w:abstractNumId w:val="19"/>
  </w:num>
  <w:num w:numId="16" w16cid:durableId="1208834867">
    <w:abstractNumId w:val="22"/>
  </w:num>
  <w:num w:numId="17" w16cid:durableId="1785615113">
    <w:abstractNumId w:val="18"/>
  </w:num>
  <w:num w:numId="18" w16cid:durableId="371268165">
    <w:abstractNumId w:val="15"/>
  </w:num>
  <w:num w:numId="19" w16cid:durableId="894506143">
    <w:abstractNumId w:val="4"/>
  </w:num>
  <w:num w:numId="20" w16cid:durableId="1024594661">
    <w:abstractNumId w:val="2"/>
  </w:num>
  <w:num w:numId="21" w16cid:durableId="1283999020">
    <w:abstractNumId w:val="1"/>
  </w:num>
  <w:num w:numId="22" w16cid:durableId="872501057">
    <w:abstractNumId w:val="7"/>
  </w:num>
  <w:num w:numId="23" w16cid:durableId="24797494">
    <w:abstractNumId w:val="10"/>
  </w:num>
  <w:num w:numId="24" w16cid:durableId="649211565">
    <w:abstractNumId w:val="10"/>
    <w:lvlOverride w:ilvl="0">
      <w:lvl w:ilvl="0">
        <w:start w:val="1"/>
        <w:numFmt w:val="decimal"/>
        <w:lvlText w:val="%1."/>
        <w:lvlJc w:val="left"/>
        <w:pPr>
          <w:ind w:left="0" w:firstLine="0"/>
        </w:pPr>
        <w:rPr>
          <w:rFonts w:hint="default"/>
        </w:rPr>
      </w:lvl>
    </w:lvlOverride>
    <w:lvlOverride w:ilvl="1">
      <w:lvl w:ilvl="1">
        <w:start w:val="1"/>
        <w:numFmt w:val="decimal"/>
        <w:suff w:val="space"/>
        <w:lvlText w:val="%1.%2.-"/>
        <w:lvlJc w:val="left"/>
        <w:pPr>
          <w:ind w:left="0" w:firstLine="0"/>
        </w:pPr>
        <w:rPr>
          <w:rFonts w:hint="default"/>
        </w:rPr>
      </w:lvl>
    </w:lvlOverride>
    <w:lvlOverride w:ilvl="2">
      <w:lvl w:ilvl="2">
        <w:start w:val="1"/>
        <w:numFmt w:val="lowerLetter"/>
        <w:suff w:val="space"/>
        <w:lvlText w:val="%3)"/>
        <w:lvlJc w:val="left"/>
        <w:pPr>
          <w:ind w:left="794" w:hanging="227"/>
        </w:pPr>
        <w:rPr>
          <w:rFonts w:hint="default"/>
        </w:rPr>
      </w:lvl>
    </w:lvlOverride>
    <w:lvlOverride w:ilvl="3">
      <w:lvl w:ilvl="3">
        <w:start w:val="1"/>
        <w:numFmt w:val="decimal"/>
        <w:lvlText w:val="%4."/>
        <w:lvlJc w:val="left"/>
        <w:pPr>
          <w:ind w:left="2505" w:hanging="360"/>
        </w:pPr>
        <w:rPr>
          <w:rFonts w:hint="default"/>
        </w:rPr>
      </w:lvl>
    </w:lvlOverride>
    <w:lvlOverride w:ilvl="4">
      <w:lvl w:ilvl="4">
        <w:start w:val="1"/>
        <w:numFmt w:val="lowerLetter"/>
        <w:lvlText w:val="%5."/>
        <w:lvlJc w:val="left"/>
        <w:pPr>
          <w:ind w:left="3225" w:hanging="360"/>
        </w:pPr>
        <w:rPr>
          <w:rFonts w:hint="default"/>
        </w:rPr>
      </w:lvl>
    </w:lvlOverride>
    <w:lvlOverride w:ilvl="5">
      <w:lvl w:ilvl="5">
        <w:start w:val="1"/>
        <w:numFmt w:val="lowerRoman"/>
        <w:lvlText w:val="%6."/>
        <w:lvlJc w:val="right"/>
        <w:pPr>
          <w:ind w:left="3945" w:hanging="180"/>
        </w:pPr>
        <w:rPr>
          <w:rFonts w:hint="default"/>
        </w:rPr>
      </w:lvl>
    </w:lvlOverride>
    <w:lvlOverride w:ilvl="6">
      <w:lvl w:ilvl="6">
        <w:start w:val="1"/>
        <w:numFmt w:val="decimal"/>
        <w:lvlText w:val="%7."/>
        <w:lvlJc w:val="left"/>
        <w:pPr>
          <w:ind w:left="4665" w:hanging="360"/>
        </w:pPr>
        <w:rPr>
          <w:rFonts w:hint="default"/>
        </w:rPr>
      </w:lvl>
    </w:lvlOverride>
    <w:lvlOverride w:ilvl="7">
      <w:lvl w:ilvl="7">
        <w:start w:val="1"/>
        <w:numFmt w:val="lowerLetter"/>
        <w:lvlText w:val="%8."/>
        <w:lvlJc w:val="left"/>
        <w:pPr>
          <w:ind w:left="5385" w:hanging="360"/>
        </w:pPr>
        <w:rPr>
          <w:rFonts w:hint="default"/>
        </w:rPr>
      </w:lvl>
    </w:lvlOverride>
    <w:lvlOverride w:ilvl="8">
      <w:lvl w:ilvl="8">
        <w:start w:val="1"/>
        <w:numFmt w:val="lowerRoman"/>
        <w:lvlText w:val="%9."/>
        <w:lvlJc w:val="right"/>
        <w:pPr>
          <w:ind w:left="6105"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E84"/>
    <w:rsid w:val="00001B4D"/>
    <w:rsid w:val="00024500"/>
    <w:rsid w:val="0003108D"/>
    <w:rsid w:val="000619CB"/>
    <w:rsid w:val="00066EE5"/>
    <w:rsid w:val="000677C7"/>
    <w:rsid w:val="00070250"/>
    <w:rsid w:val="00075453"/>
    <w:rsid w:val="00077E6B"/>
    <w:rsid w:val="0009728D"/>
    <w:rsid w:val="000A1F02"/>
    <w:rsid w:val="000A5A07"/>
    <w:rsid w:val="000B283A"/>
    <w:rsid w:val="000F1B0D"/>
    <w:rsid w:val="000F3500"/>
    <w:rsid w:val="00102C53"/>
    <w:rsid w:val="0010657E"/>
    <w:rsid w:val="00120AFB"/>
    <w:rsid w:val="00130986"/>
    <w:rsid w:val="0014618A"/>
    <w:rsid w:val="00160834"/>
    <w:rsid w:val="0017094B"/>
    <w:rsid w:val="0019216C"/>
    <w:rsid w:val="0019445F"/>
    <w:rsid w:val="001A35C1"/>
    <w:rsid w:val="001B09D2"/>
    <w:rsid w:val="001B24D1"/>
    <w:rsid w:val="001B568A"/>
    <w:rsid w:val="001B7327"/>
    <w:rsid w:val="001E028C"/>
    <w:rsid w:val="001E7577"/>
    <w:rsid w:val="0020283D"/>
    <w:rsid w:val="00242218"/>
    <w:rsid w:val="00266B8E"/>
    <w:rsid w:val="00273F9A"/>
    <w:rsid w:val="00274031"/>
    <w:rsid w:val="0028012A"/>
    <w:rsid w:val="00297D6E"/>
    <w:rsid w:val="002B1991"/>
    <w:rsid w:val="002B3415"/>
    <w:rsid w:val="002D310A"/>
    <w:rsid w:val="002D793C"/>
    <w:rsid w:val="002E6282"/>
    <w:rsid w:val="002F403A"/>
    <w:rsid w:val="00310D62"/>
    <w:rsid w:val="00314E20"/>
    <w:rsid w:val="0031518A"/>
    <w:rsid w:val="00324828"/>
    <w:rsid w:val="00326DCF"/>
    <w:rsid w:val="00327164"/>
    <w:rsid w:val="003335E4"/>
    <w:rsid w:val="003666A8"/>
    <w:rsid w:val="00372F84"/>
    <w:rsid w:val="0037787B"/>
    <w:rsid w:val="003B2DE2"/>
    <w:rsid w:val="003B3701"/>
    <w:rsid w:val="003B53CF"/>
    <w:rsid w:val="003C30EE"/>
    <w:rsid w:val="003C759B"/>
    <w:rsid w:val="003D25E8"/>
    <w:rsid w:val="003F20C4"/>
    <w:rsid w:val="00405E3B"/>
    <w:rsid w:val="00410588"/>
    <w:rsid w:val="004132C2"/>
    <w:rsid w:val="00421480"/>
    <w:rsid w:val="00422E83"/>
    <w:rsid w:val="00426FF1"/>
    <w:rsid w:val="00436771"/>
    <w:rsid w:val="004467EF"/>
    <w:rsid w:val="004637FD"/>
    <w:rsid w:val="0049449E"/>
    <w:rsid w:val="004A10A0"/>
    <w:rsid w:val="004A2F42"/>
    <w:rsid w:val="004A615B"/>
    <w:rsid w:val="004B4C00"/>
    <w:rsid w:val="004D5BD8"/>
    <w:rsid w:val="004E04AD"/>
    <w:rsid w:val="005002FF"/>
    <w:rsid w:val="00504A59"/>
    <w:rsid w:val="0051021D"/>
    <w:rsid w:val="00523DF3"/>
    <w:rsid w:val="0053091A"/>
    <w:rsid w:val="00532C2B"/>
    <w:rsid w:val="0054253C"/>
    <w:rsid w:val="00544F58"/>
    <w:rsid w:val="00545A09"/>
    <w:rsid w:val="00546B1F"/>
    <w:rsid w:val="00552D3C"/>
    <w:rsid w:val="00555F79"/>
    <w:rsid w:val="00556FD5"/>
    <w:rsid w:val="0056246E"/>
    <w:rsid w:val="005649B9"/>
    <w:rsid w:val="00572F6C"/>
    <w:rsid w:val="005731DD"/>
    <w:rsid w:val="00576CF9"/>
    <w:rsid w:val="00580941"/>
    <w:rsid w:val="00582ECB"/>
    <w:rsid w:val="00585F44"/>
    <w:rsid w:val="005A0D81"/>
    <w:rsid w:val="005A4325"/>
    <w:rsid w:val="005A6951"/>
    <w:rsid w:val="005B44EF"/>
    <w:rsid w:val="005C2127"/>
    <w:rsid w:val="005D5441"/>
    <w:rsid w:val="005F21B4"/>
    <w:rsid w:val="005F7232"/>
    <w:rsid w:val="00621C95"/>
    <w:rsid w:val="00625FAD"/>
    <w:rsid w:val="006344BC"/>
    <w:rsid w:val="00642C95"/>
    <w:rsid w:val="006451A6"/>
    <w:rsid w:val="00661D64"/>
    <w:rsid w:val="00663C99"/>
    <w:rsid w:val="00673F60"/>
    <w:rsid w:val="00675E99"/>
    <w:rsid w:val="00680D7B"/>
    <w:rsid w:val="00682115"/>
    <w:rsid w:val="00682C6E"/>
    <w:rsid w:val="00685DF7"/>
    <w:rsid w:val="00686053"/>
    <w:rsid w:val="0068670B"/>
    <w:rsid w:val="006C4C3F"/>
    <w:rsid w:val="006C7B49"/>
    <w:rsid w:val="006D14CC"/>
    <w:rsid w:val="006D2299"/>
    <w:rsid w:val="006E00FC"/>
    <w:rsid w:val="006E76C9"/>
    <w:rsid w:val="006F4DA1"/>
    <w:rsid w:val="00713037"/>
    <w:rsid w:val="0072079B"/>
    <w:rsid w:val="007274C5"/>
    <w:rsid w:val="00730448"/>
    <w:rsid w:val="00736BF9"/>
    <w:rsid w:val="007602CC"/>
    <w:rsid w:val="00765999"/>
    <w:rsid w:val="007A00ED"/>
    <w:rsid w:val="007A458C"/>
    <w:rsid w:val="007A560A"/>
    <w:rsid w:val="007B7C1D"/>
    <w:rsid w:val="007C112D"/>
    <w:rsid w:val="007D5444"/>
    <w:rsid w:val="007D5B35"/>
    <w:rsid w:val="007E5716"/>
    <w:rsid w:val="007F050E"/>
    <w:rsid w:val="007F463B"/>
    <w:rsid w:val="007F4654"/>
    <w:rsid w:val="007F4743"/>
    <w:rsid w:val="008017A2"/>
    <w:rsid w:val="008062B5"/>
    <w:rsid w:val="008122E5"/>
    <w:rsid w:val="00826F49"/>
    <w:rsid w:val="0084562C"/>
    <w:rsid w:val="00853126"/>
    <w:rsid w:val="00854372"/>
    <w:rsid w:val="00855531"/>
    <w:rsid w:val="00863244"/>
    <w:rsid w:val="00883607"/>
    <w:rsid w:val="008932EB"/>
    <w:rsid w:val="008B10DF"/>
    <w:rsid w:val="008B738C"/>
    <w:rsid w:val="008C0323"/>
    <w:rsid w:val="008C16B6"/>
    <w:rsid w:val="008C24CF"/>
    <w:rsid w:val="008E3541"/>
    <w:rsid w:val="008E6BE3"/>
    <w:rsid w:val="008F1148"/>
    <w:rsid w:val="009145D9"/>
    <w:rsid w:val="00963E2F"/>
    <w:rsid w:val="00965F7B"/>
    <w:rsid w:val="00970229"/>
    <w:rsid w:val="0097029A"/>
    <w:rsid w:val="00974A79"/>
    <w:rsid w:val="00975655"/>
    <w:rsid w:val="009A2DD0"/>
    <w:rsid w:val="009A617E"/>
    <w:rsid w:val="009B523B"/>
    <w:rsid w:val="009D0005"/>
    <w:rsid w:val="009D57FB"/>
    <w:rsid w:val="00A015E4"/>
    <w:rsid w:val="00A071BF"/>
    <w:rsid w:val="00A10769"/>
    <w:rsid w:val="00A16EE2"/>
    <w:rsid w:val="00A24628"/>
    <w:rsid w:val="00A30CFB"/>
    <w:rsid w:val="00A5092B"/>
    <w:rsid w:val="00A75976"/>
    <w:rsid w:val="00A83614"/>
    <w:rsid w:val="00A83CA9"/>
    <w:rsid w:val="00A92903"/>
    <w:rsid w:val="00AA1243"/>
    <w:rsid w:val="00AD6AA5"/>
    <w:rsid w:val="00AE738A"/>
    <w:rsid w:val="00B22B65"/>
    <w:rsid w:val="00B2409D"/>
    <w:rsid w:val="00B25348"/>
    <w:rsid w:val="00B32434"/>
    <w:rsid w:val="00B42054"/>
    <w:rsid w:val="00B4741D"/>
    <w:rsid w:val="00B52CD9"/>
    <w:rsid w:val="00B56034"/>
    <w:rsid w:val="00B5669B"/>
    <w:rsid w:val="00B7783B"/>
    <w:rsid w:val="00B818EA"/>
    <w:rsid w:val="00B83E84"/>
    <w:rsid w:val="00B84BB6"/>
    <w:rsid w:val="00BE1544"/>
    <w:rsid w:val="00BE72E8"/>
    <w:rsid w:val="00C03772"/>
    <w:rsid w:val="00C05969"/>
    <w:rsid w:val="00C10044"/>
    <w:rsid w:val="00C16C5C"/>
    <w:rsid w:val="00C26833"/>
    <w:rsid w:val="00C32741"/>
    <w:rsid w:val="00C570BA"/>
    <w:rsid w:val="00C62F3C"/>
    <w:rsid w:val="00C6686C"/>
    <w:rsid w:val="00C6780F"/>
    <w:rsid w:val="00C849CC"/>
    <w:rsid w:val="00C96222"/>
    <w:rsid w:val="00CB6623"/>
    <w:rsid w:val="00CC32EB"/>
    <w:rsid w:val="00CC7E4E"/>
    <w:rsid w:val="00CE6FF7"/>
    <w:rsid w:val="00CE7739"/>
    <w:rsid w:val="00CF6B0E"/>
    <w:rsid w:val="00D04870"/>
    <w:rsid w:val="00D07014"/>
    <w:rsid w:val="00D10228"/>
    <w:rsid w:val="00D159C3"/>
    <w:rsid w:val="00D3498C"/>
    <w:rsid w:val="00D45301"/>
    <w:rsid w:val="00D46177"/>
    <w:rsid w:val="00D470C8"/>
    <w:rsid w:val="00D61697"/>
    <w:rsid w:val="00D7055C"/>
    <w:rsid w:val="00D75DE3"/>
    <w:rsid w:val="00D90460"/>
    <w:rsid w:val="00D90E27"/>
    <w:rsid w:val="00D943F5"/>
    <w:rsid w:val="00D94688"/>
    <w:rsid w:val="00DB1A5D"/>
    <w:rsid w:val="00DC3CD9"/>
    <w:rsid w:val="00DD0F61"/>
    <w:rsid w:val="00DD309C"/>
    <w:rsid w:val="00DE1A7B"/>
    <w:rsid w:val="00E032E3"/>
    <w:rsid w:val="00E04E7E"/>
    <w:rsid w:val="00E10C66"/>
    <w:rsid w:val="00E1234E"/>
    <w:rsid w:val="00E13574"/>
    <w:rsid w:val="00E42763"/>
    <w:rsid w:val="00E4324D"/>
    <w:rsid w:val="00E61CAE"/>
    <w:rsid w:val="00E716BD"/>
    <w:rsid w:val="00E721BB"/>
    <w:rsid w:val="00E76DD3"/>
    <w:rsid w:val="00E81D88"/>
    <w:rsid w:val="00E91751"/>
    <w:rsid w:val="00EB0299"/>
    <w:rsid w:val="00EB3F28"/>
    <w:rsid w:val="00EB735F"/>
    <w:rsid w:val="00EF1D6F"/>
    <w:rsid w:val="00F250D0"/>
    <w:rsid w:val="00F80A9A"/>
    <w:rsid w:val="00F81B7A"/>
    <w:rsid w:val="00F863E7"/>
    <w:rsid w:val="00F9455C"/>
    <w:rsid w:val="00FB1282"/>
    <w:rsid w:val="00FC39F4"/>
    <w:rsid w:val="00FC7D0D"/>
    <w:rsid w:val="00FF09B6"/>
    <w:rsid w:val="00FF2D05"/>
    <w:rsid w:val="00FF3B86"/>
    <w:rsid w:val="00FF4663"/>
    <w:rsid w:val="00FF71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ABF6"/>
  <w15:docId w15:val="{940034C2-09DC-46AD-B4BE-331810D4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pacing w:after="240" w:line="249" w:lineRule="auto"/>
      <w:ind w:left="10" w:right="2440" w:hanging="10"/>
      <w:jc w:val="both"/>
    </w:pPr>
    <w:rPr>
      <w:rFonts w:ascii="Times New Roman" w:eastAsia="Times New Roman" w:hAnsi="Times New Roman" w:cs="Times New Roman"/>
      <w:color w:val="000000"/>
      <w:sz w:val="22"/>
    </w:rPr>
  </w:style>
  <w:style w:type="paragraph" w:styleId="Ttulo1">
    <w:name w:val="heading 1"/>
    <w:next w:val="Normal"/>
    <w:link w:val="Ttulo1Car"/>
    <w:uiPriority w:val="9"/>
    <w:qFormat/>
    <w:pPr>
      <w:keepNext/>
      <w:keepLines/>
      <w:spacing w:after="212" w:line="265" w:lineRule="auto"/>
      <w:ind w:left="10" w:hanging="10"/>
      <w:jc w:val="center"/>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vnculo">
    <w:name w:val="Hyperlink"/>
    <w:basedOn w:val="Fuentedeprrafopredeter"/>
    <w:uiPriority w:val="99"/>
    <w:unhideWhenUsed/>
    <w:rsid w:val="0014618A"/>
    <w:rPr>
      <w:color w:val="467886" w:themeColor="hyperlink"/>
      <w:u w:val="single"/>
    </w:rPr>
  </w:style>
  <w:style w:type="character" w:customStyle="1" w:styleId="Ebatzigabekoaipamena1">
    <w:name w:val="Ebatzi gabeko aipamena1"/>
    <w:basedOn w:val="Fuentedeprrafopredeter"/>
    <w:uiPriority w:val="99"/>
    <w:semiHidden/>
    <w:unhideWhenUsed/>
    <w:rsid w:val="0014618A"/>
    <w:rPr>
      <w:color w:val="605E5C"/>
      <w:shd w:val="clear" w:color="auto" w:fill="E1DFDD"/>
    </w:rPr>
  </w:style>
  <w:style w:type="paragraph" w:styleId="Prrafodelista">
    <w:name w:val="List Paragraph"/>
    <w:basedOn w:val="Normal"/>
    <w:uiPriority w:val="34"/>
    <w:qFormat/>
    <w:rsid w:val="00DC3CD9"/>
    <w:pPr>
      <w:ind w:left="720"/>
      <w:contextualSpacing/>
    </w:pPr>
    <w:rPr>
      <w:kern w:val="0"/>
      <w:szCs w:val="22"/>
      <w14:ligatures w14:val="none"/>
    </w:rPr>
  </w:style>
  <w:style w:type="paragraph" w:styleId="Encabezado">
    <w:name w:val="header"/>
    <w:basedOn w:val="Normal"/>
    <w:link w:val="EncabezadoCar"/>
    <w:uiPriority w:val="99"/>
    <w:semiHidden/>
    <w:unhideWhenUsed/>
    <w:rsid w:val="00DC3CD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DC3CD9"/>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20F58-0246-47FA-A64B-5BE4A862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2956</Words>
  <Characters>16259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DECRETO FORAL</vt:lpstr>
    </vt:vector>
  </TitlesOfParts>
  <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FORAL</dc:title>
  <dc:creator>amgonzalez</dc:creator>
  <cp:lastModifiedBy>Martinez Alonso, Sheila</cp:lastModifiedBy>
  <cp:revision>5</cp:revision>
  <cp:lastPrinted>2025-01-29T09:07:00Z</cp:lastPrinted>
  <dcterms:created xsi:type="dcterms:W3CDTF">2026-09-08T08:38:00Z</dcterms:created>
  <dcterms:modified xsi:type="dcterms:W3CDTF">2026-09-18T10:51:00Z</dcterms:modified>
</cp:coreProperties>
</file>