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F5B54" w14:textId="77777777" w:rsidR="00B83E84" w:rsidRPr="006D14CC" w:rsidRDefault="008C16B6">
      <w:pPr>
        <w:spacing w:after="12" w:line="265" w:lineRule="auto"/>
        <w:ind w:left="-5804" w:right="804"/>
        <w:jc w:val="right"/>
        <w:rPr>
          <w:color w:val="auto"/>
        </w:rPr>
      </w:pPr>
      <w:r w:rsidRPr="006D14CC">
        <w:rPr>
          <w:noProof/>
          <w:color w:val="auto"/>
        </w:rPr>
        <w:drawing>
          <wp:anchor distT="0" distB="0" distL="114300" distR="114300" simplePos="0" relativeHeight="251658240" behindDoc="0" locked="0" layoutInCell="1" allowOverlap="0" wp14:anchorId="410590FF" wp14:editId="0D984C2C">
            <wp:simplePos x="0" y="0"/>
            <wp:positionH relativeFrom="column">
              <wp:posOffset>-628649</wp:posOffset>
            </wp:positionH>
            <wp:positionV relativeFrom="paragraph">
              <wp:posOffset>-191105</wp:posOffset>
            </wp:positionV>
            <wp:extent cx="2105025" cy="71437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tretch>
                      <a:fillRect/>
                    </a:stretch>
                  </pic:blipFill>
                  <pic:spPr>
                    <a:xfrm>
                      <a:off x="0" y="0"/>
                      <a:ext cx="2105025" cy="714375"/>
                    </a:xfrm>
                    <a:prstGeom prst="rect">
                      <a:avLst/>
                    </a:prstGeom>
                  </pic:spPr>
                </pic:pic>
              </a:graphicData>
            </a:graphic>
          </wp:anchor>
        </w:drawing>
      </w:r>
      <w:r w:rsidRPr="006D14CC">
        <w:rPr>
          <w:rFonts w:ascii="Arial" w:eastAsia="Arial" w:hAnsi="Arial" w:cs="Arial"/>
          <w:b/>
          <w:color w:val="auto"/>
          <w:sz w:val="18"/>
        </w:rPr>
        <w:t>Foru Gobernu Kontseilua</w:t>
      </w:r>
    </w:p>
    <w:p w14:paraId="475F4F8D" w14:textId="77777777" w:rsidR="00B83E84" w:rsidRPr="006D14CC" w:rsidRDefault="008C16B6">
      <w:pPr>
        <w:spacing w:after="1418" w:line="265" w:lineRule="auto"/>
        <w:ind w:left="-5804" w:right="648"/>
        <w:jc w:val="right"/>
        <w:rPr>
          <w:color w:val="auto"/>
        </w:rPr>
      </w:pPr>
      <w:r w:rsidRPr="006D14CC">
        <w:rPr>
          <w:rFonts w:ascii="Arial" w:eastAsia="Arial" w:hAnsi="Arial" w:cs="Arial"/>
          <w:b/>
          <w:color w:val="auto"/>
          <w:sz w:val="18"/>
        </w:rPr>
        <w:t>Consejo de Gobierno Foral</w:t>
      </w:r>
    </w:p>
    <w:p w14:paraId="382B037D" w14:textId="28FCFD30" w:rsidR="00675E99" w:rsidRPr="00DC3CD9" w:rsidRDefault="008C16B6" w:rsidP="00DC3CD9">
      <w:pPr>
        <w:spacing w:after="735" w:line="259" w:lineRule="auto"/>
        <w:ind w:left="-18" w:right="-1" w:firstLine="0"/>
        <w:jc w:val="left"/>
        <w:rPr>
          <w:color w:val="auto"/>
        </w:rPr>
      </w:pPr>
      <w:r w:rsidRPr="006D14CC">
        <w:rPr>
          <w:rFonts w:ascii="Calibri" w:eastAsia="Calibri" w:hAnsi="Calibri" w:cs="Calibri"/>
          <w:noProof/>
          <w:color w:val="auto"/>
        </w:rPr>
        <mc:AlternateContent>
          <mc:Choice Requires="wpg">
            <w:drawing>
              <wp:inline distT="0" distB="0" distL="0" distR="0" wp14:anchorId="26AEFD0B" wp14:editId="222E464C">
                <wp:extent cx="5591810" cy="6350"/>
                <wp:effectExtent l="0" t="0" r="0" b="0"/>
                <wp:docPr id="16114" name="Group 16114"/>
                <wp:cNvGraphicFramePr/>
                <a:graphic xmlns:a="http://schemas.openxmlformats.org/drawingml/2006/main">
                  <a:graphicData uri="http://schemas.microsoft.com/office/word/2010/wordprocessingGroup">
                    <wpg:wgp>
                      <wpg:cNvGrpSpPr/>
                      <wpg:grpSpPr>
                        <a:xfrm>
                          <a:off x="0" y="0"/>
                          <a:ext cx="5591810" cy="6350"/>
                          <a:chOff x="0" y="0"/>
                          <a:chExt cx="5591810" cy="6350"/>
                        </a:xfrm>
                      </wpg:grpSpPr>
                      <wps:wsp>
                        <wps:cNvPr id="10" name="Shape 10"/>
                        <wps:cNvSpPr/>
                        <wps:spPr>
                          <a:xfrm>
                            <a:off x="0" y="0"/>
                            <a:ext cx="5591810" cy="0"/>
                          </a:xfrm>
                          <a:custGeom>
                            <a:avLst/>
                            <a:gdLst/>
                            <a:ahLst/>
                            <a:cxnLst/>
                            <a:rect l="0" t="0" r="0" b="0"/>
                            <a:pathLst>
                              <a:path w="5591810">
                                <a:moveTo>
                                  <a:pt x="0" y="0"/>
                                </a:moveTo>
                                <a:lnTo>
                                  <a:pt x="559181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114" style="width:440.3pt;height:0.5pt;mso-position-horizontal-relative:char;mso-position-vertical-relative:line" coordsize="55918,63">
                <v:shape id="Shape 10" style="position:absolute;width:55918;height:0;left:0;top:0;" coordsize="5591810,0" path="m0,0l5591810,0">
                  <v:stroke weight="0.5pt" endcap="flat" joinstyle="miter" miterlimit="10" on="true" color="#000000"/>
                  <v:fill on="false" color="#000000" opacity="0"/>
                </v:shape>
              </v:group>
            </w:pict>
          </mc:Fallback>
        </mc:AlternateContent>
      </w:r>
    </w:p>
    <w:p w14:paraId="7328B31B" w14:textId="0CF1ED58" w:rsidR="00E76DD3" w:rsidRPr="006D14CC" w:rsidRDefault="00E76DD3" w:rsidP="00A015E4">
      <w:pPr>
        <w:ind w:left="-5" w:right="0"/>
        <w:rPr>
          <w:b/>
          <w:bCs/>
          <w:color w:val="auto"/>
        </w:rPr>
      </w:pPr>
      <w:r w:rsidRPr="006D14CC">
        <w:rPr>
          <w:b/>
          <w:bCs/>
          <w:color w:val="auto"/>
        </w:rPr>
        <w:t>DECRETO FORAL</w:t>
      </w:r>
    </w:p>
    <w:p w14:paraId="7B6C1661" w14:textId="77777777" w:rsidR="00E76DD3" w:rsidRPr="006D14CC" w:rsidRDefault="00E76DD3" w:rsidP="00E76DD3">
      <w:pPr>
        <w:spacing w:after="0"/>
        <w:ind w:left="-5" w:right="0"/>
        <w:rPr>
          <w:color w:val="auto"/>
        </w:rPr>
      </w:pPr>
      <w:r w:rsidRPr="006D14CC">
        <w:rPr>
          <w:color w:val="auto"/>
        </w:rPr>
        <w:t>Departamento de Equilibrio Territorial y Ordenación del Territorio</w:t>
      </w:r>
    </w:p>
    <w:p w14:paraId="45FADDE6" w14:textId="441F8F87" w:rsidR="00675E99" w:rsidRPr="006D14CC" w:rsidRDefault="00E76DD3" w:rsidP="00675E99">
      <w:pPr>
        <w:spacing w:after="347"/>
        <w:ind w:left="-5" w:right="0"/>
        <w:rPr>
          <w:color w:val="auto"/>
        </w:rPr>
      </w:pPr>
      <w:r w:rsidRPr="006D14CC">
        <w:rPr>
          <w:color w:val="auto"/>
        </w:rPr>
        <w:t>Nº Expte.:</w:t>
      </w:r>
    </w:p>
    <w:p w14:paraId="41A130D8" w14:textId="3FB4D785" w:rsidR="00863244" w:rsidRPr="006D14CC" w:rsidRDefault="00863244" w:rsidP="00863244">
      <w:pPr>
        <w:spacing w:after="347"/>
        <w:ind w:left="-5" w:right="0"/>
        <w:rPr>
          <w:b/>
          <w:color w:val="auto"/>
        </w:rPr>
      </w:pPr>
      <w:r w:rsidRPr="006D14CC">
        <w:rPr>
          <w:b/>
          <w:color w:val="auto"/>
        </w:rPr>
        <w:t xml:space="preserve">Aprobar </w:t>
      </w:r>
      <w:r w:rsidR="00965F7B" w:rsidRPr="006D14CC">
        <w:rPr>
          <w:b/>
          <w:color w:val="auto"/>
        </w:rPr>
        <w:t xml:space="preserve">la modificación de </w:t>
      </w:r>
      <w:r w:rsidRPr="006D14CC">
        <w:rPr>
          <w:b/>
          <w:color w:val="auto"/>
        </w:rPr>
        <w:t xml:space="preserve">las bases </w:t>
      </w:r>
      <w:r w:rsidR="001B568A" w:rsidRPr="006D14CC">
        <w:rPr>
          <w:b/>
          <w:color w:val="auto"/>
        </w:rPr>
        <w:t>reguladoras generales para la concesión de las ayudas, en régimen de concurrencia competitiva, a las entidades locales del Territorio Histórico de Álava con cargo al programa de Ejecución de Obras Menores</w:t>
      </w:r>
      <w:r w:rsidRPr="006D14CC">
        <w:rPr>
          <w:b/>
          <w:color w:val="auto"/>
        </w:rPr>
        <w:t>.</w:t>
      </w:r>
    </w:p>
    <w:p w14:paraId="04D6FA1B" w14:textId="3B982844" w:rsidR="008122E5" w:rsidRPr="006D14CC" w:rsidRDefault="008122E5" w:rsidP="008122E5">
      <w:pPr>
        <w:ind w:left="-5" w:right="0"/>
        <w:rPr>
          <w:color w:val="auto"/>
        </w:rPr>
      </w:pPr>
      <w:r w:rsidRPr="006D14CC">
        <w:rPr>
          <w:color w:val="auto"/>
        </w:rPr>
        <w:t>La Norma Foral 21/2013, de 27 de junio de 2013, reguladora de los programas de ayudas a las Iniciativas para el Fomento de las Relaciones Vecinales y a la Ejecución de Obras Menores en las Entidades Locales de Álava (en adelante Norma Foral 21/2013), regula los programas de ayudas a las Iniciativas para el Fomento de las Relaciones Vecinales y a la Ejecución de Obras Menores de las entidades locales de Álava.</w:t>
      </w:r>
    </w:p>
    <w:p w14:paraId="12689506" w14:textId="77777777" w:rsidR="00BE72E8" w:rsidRPr="006D14CC" w:rsidRDefault="008122E5" w:rsidP="008122E5">
      <w:pPr>
        <w:ind w:left="-5" w:right="0"/>
        <w:rPr>
          <w:color w:val="auto"/>
        </w:rPr>
      </w:pPr>
      <w:r w:rsidRPr="006D14CC">
        <w:rPr>
          <w:color w:val="auto"/>
        </w:rPr>
        <w:t>En el Título III de la citada Norma se articulan las disposiciones relativas al programa de Ejecución de Obras Menores, así como las normas y criterios que han de regir la concesión de este tipo de ayudas.</w:t>
      </w:r>
      <w:r w:rsidR="00066EE5" w:rsidRPr="006D14CC">
        <w:rPr>
          <w:color w:val="auto"/>
        </w:rPr>
        <w:t xml:space="preserve"> </w:t>
      </w:r>
    </w:p>
    <w:p w14:paraId="756300F8" w14:textId="79A94DAC" w:rsidR="00066EE5" w:rsidRPr="006D14CC" w:rsidRDefault="00066EE5" w:rsidP="008122E5">
      <w:pPr>
        <w:ind w:left="-5" w:right="0"/>
        <w:rPr>
          <w:color w:val="auto"/>
        </w:rPr>
      </w:pPr>
      <w:r w:rsidRPr="006D14CC">
        <w:rPr>
          <w:color w:val="auto"/>
        </w:rPr>
        <w:t xml:space="preserve">Este programa es un instrumento extraordinario de cooperación financiera de la Diputación Foral de Álava con las entidades locales del Territorio Histórico de Álava destinado a la concesión de ayudas para financiación de inversiones a realizar en las mismas, con coste que no supere los </w:t>
      </w:r>
      <w:r w:rsidR="00E04E7E" w:rsidRPr="006D14CC">
        <w:rPr>
          <w:color w:val="auto"/>
        </w:rPr>
        <w:t>40</w:t>
      </w:r>
      <w:r w:rsidRPr="006D14CC">
        <w:rPr>
          <w:color w:val="auto"/>
        </w:rPr>
        <w:t>.000,00 euros (IVA incluido).</w:t>
      </w:r>
    </w:p>
    <w:p w14:paraId="2C9AC45F" w14:textId="6AC8D151" w:rsidR="008122E5" w:rsidRPr="006D14CC" w:rsidRDefault="00BE72E8" w:rsidP="008122E5">
      <w:pPr>
        <w:ind w:left="-5" w:right="0"/>
        <w:rPr>
          <w:color w:val="auto"/>
        </w:rPr>
      </w:pPr>
      <w:r w:rsidRPr="006D14CC">
        <w:rPr>
          <w:color w:val="auto"/>
        </w:rPr>
        <w:t xml:space="preserve">En </w:t>
      </w:r>
      <w:r w:rsidR="008122E5" w:rsidRPr="006D14CC">
        <w:rPr>
          <w:color w:val="auto"/>
        </w:rPr>
        <w:t>la Disposición Final Primera</w:t>
      </w:r>
      <w:r w:rsidRPr="006D14CC">
        <w:rPr>
          <w:color w:val="auto"/>
        </w:rPr>
        <w:t xml:space="preserve"> de la Norma Foral 21/2013</w:t>
      </w:r>
      <w:r w:rsidR="008122E5" w:rsidRPr="006D14CC">
        <w:rPr>
          <w:color w:val="auto"/>
        </w:rPr>
        <w:t xml:space="preserve"> se faculta a la Diputación Foral de Álava para dictar cuantas disposiciones complementarias estimase precisas para el desarrollo y ejecución de dicha Norma Foral.</w:t>
      </w:r>
    </w:p>
    <w:p w14:paraId="5FD426CD" w14:textId="07BF39BF" w:rsidR="008122E5" w:rsidRPr="006D14CC" w:rsidRDefault="008122E5" w:rsidP="008122E5">
      <w:pPr>
        <w:ind w:left="-5" w:right="0"/>
        <w:rPr>
          <w:color w:val="auto"/>
        </w:rPr>
      </w:pPr>
      <w:r w:rsidRPr="006D14CC">
        <w:rPr>
          <w:color w:val="auto"/>
        </w:rPr>
        <w:t>A este respecto, la Norma Foral 11/2016, de 19 de octubre, de Subvenciones del Territorio Histórico de Álava</w:t>
      </w:r>
      <w:r w:rsidR="00BE72E8" w:rsidRPr="006D14CC">
        <w:rPr>
          <w:color w:val="auto"/>
        </w:rPr>
        <w:t xml:space="preserve"> (en adelante N</w:t>
      </w:r>
      <w:r w:rsidR="005A4325" w:rsidRPr="006D14CC">
        <w:rPr>
          <w:color w:val="auto"/>
        </w:rPr>
        <w:t xml:space="preserve">orma </w:t>
      </w:r>
      <w:r w:rsidR="00BE72E8" w:rsidRPr="006D14CC">
        <w:rPr>
          <w:color w:val="auto"/>
        </w:rPr>
        <w:t>F</w:t>
      </w:r>
      <w:r w:rsidR="005A4325" w:rsidRPr="006D14CC">
        <w:rPr>
          <w:color w:val="auto"/>
        </w:rPr>
        <w:t>oral</w:t>
      </w:r>
      <w:r w:rsidR="00BE72E8" w:rsidRPr="006D14CC">
        <w:rPr>
          <w:color w:val="auto"/>
        </w:rPr>
        <w:t xml:space="preserve"> 11/2016)</w:t>
      </w:r>
      <w:r w:rsidRPr="006D14CC">
        <w:rPr>
          <w:color w:val="auto"/>
        </w:rPr>
        <w:t>, en su artículo 8 contempla que deberán aprobarse las bases reguladoras de concesión con carácter previo al otorgamiento de las subvenciones y, en su artículo 16 atribuye al Consejo de Gobierno la competencia para la aprobación de éstas en el ámbito de la Diputación Foral de Álava, organismos autónomos forales y consorcios forales.</w:t>
      </w:r>
    </w:p>
    <w:p w14:paraId="0A1ADC6D" w14:textId="77777777" w:rsidR="00D07014" w:rsidRPr="006D14CC" w:rsidRDefault="00D07014" w:rsidP="00D07014">
      <w:pPr>
        <w:ind w:left="-5" w:right="0"/>
        <w:rPr>
          <w:color w:val="auto"/>
        </w:rPr>
      </w:pPr>
      <w:r w:rsidRPr="006D14CC">
        <w:rPr>
          <w:color w:val="auto"/>
        </w:rPr>
        <w:t>En consecuencia, en aplicación de lo dispuesto tanto en la Norma Foral 21/2013 como en la Norma Foral 11/2016, por Decreto Foral 9/2026, de 24 de marzo, del Consejo de Gobierno Foral se aprueban las bases reguladoras generales para la concesión de las ayudas a las entidades locales del Territorio Histórico de Álava con cargo al programa de ejecución de obras menores.</w:t>
      </w:r>
    </w:p>
    <w:p w14:paraId="4386E557" w14:textId="77777777" w:rsidR="00D07014" w:rsidRPr="006D14CC" w:rsidRDefault="00D07014" w:rsidP="00D07014">
      <w:pPr>
        <w:ind w:left="-5" w:right="0"/>
        <w:rPr>
          <w:color w:val="auto"/>
        </w:rPr>
      </w:pPr>
      <w:r w:rsidRPr="006D14CC">
        <w:rPr>
          <w:color w:val="auto"/>
        </w:rPr>
        <w:lastRenderedPageBreak/>
        <w:t>Considerando el tiempo transcurrido desde la aprobación de la Norma Foral 21/2013 y teniendo en cuenta la experiencia acumulada en la gestión de los programas de ayuda regulados por dicha disposición, las Juntas Generales de Álava han considerado conveniente proceder a la modificación del marco regulatorio establecido en esta disposición, con el fin de actualizar su contenido y mejorar su operatividad, preservando, no obstante, la configuración y características esenciales de cada uno de ellos.</w:t>
      </w:r>
    </w:p>
    <w:p w14:paraId="291906BC" w14:textId="77777777" w:rsidR="00D07014" w:rsidRPr="006D14CC" w:rsidRDefault="00D07014" w:rsidP="00D07014">
      <w:pPr>
        <w:suppressAutoHyphens/>
        <w:spacing w:line="240" w:lineRule="auto"/>
        <w:ind w:left="0" w:right="0" w:firstLine="0"/>
        <w:rPr>
          <w:color w:val="auto"/>
          <w:kern w:val="0"/>
          <w:szCs w:val="22"/>
          <w:lang w:eastAsia="ar-SA"/>
          <w14:ligatures w14:val="none"/>
        </w:rPr>
      </w:pPr>
      <w:r w:rsidRPr="006D14CC">
        <w:rPr>
          <w:color w:val="auto"/>
          <w:kern w:val="0"/>
          <w:szCs w:val="22"/>
          <w:lang w:eastAsia="ar-SA"/>
          <w14:ligatures w14:val="none"/>
        </w:rPr>
        <w:t xml:space="preserve">Con este propósito, las Juntas Generales de Álava aprobaron, en sesión plenaria celebrada el 31 de mayo de 2026, la Norma Foral </w:t>
      </w:r>
      <w:bookmarkStart w:id="0" w:name="_Hlk234842788"/>
      <w:r w:rsidRPr="006D14CC">
        <w:rPr>
          <w:color w:val="auto"/>
          <w:kern w:val="0"/>
          <w:szCs w:val="22"/>
          <w:lang w:eastAsia="ar-SA"/>
          <w14:ligatures w14:val="none"/>
        </w:rPr>
        <w:t xml:space="preserve">11/2026 </w:t>
      </w:r>
      <w:bookmarkEnd w:id="0"/>
      <w:r w:rsidRPr="006D14CC">
        <w:rPr>
          <w:color w:val="auto"/>
          <w:kern w:val="0"/>
          <w:szCs w:val="22"/>
          <w:lang w:eastAsia="ar-SA"/>
          <w14:ligatures w14:val="none"/>
        </w:rPr>
        <w:t>de modificación de la Norma Foral 21/2013, de 27 de junio, reguladora de los programas de ayudas a las Iniciativas para el Fomento de las Relaciones Vecinales y a la Ejecución de Obras Menores en las entidades locales de Álava.</w:t>
      </w:r>
    </w:p>
    <w:p w14:paraId="402422C1" w14:textId="77777777" w:rsidR="00D07014" w:rsidRPr="006D14CC" w:rsidRDefault="00D07014" w:rsidP="00D07014">
      <w:pPr>
        <w:suppressAutoHyphens/>
        <w:spacing w:line="240" w:lineRule="auto"/>
        <w:ind w:left="0" w:right="0" w:firstLine="0"/>
        <w:rPr>
          <w:color w:val="auto"/>
          <w:kern w:val="0"/>
          <w:szCs w:val="22"/>
          <w:lang w:eastAsia="ar-SA"/>
          <w14:ligatures w14:val="none"/>
        </w:rPr>
      </w:pPr>
      <w:r w:rsidRPr="006D14CC">
        <w:rPr>
          <w:color w:val="auto"/>
          <w:kern w:val="0"/>
          <w:szCs w:val="22"/>
          <w:lang w:eastAsia="ar-SA"/>
          <w14:ligatures w14:val="none"/>
        </w:rPr>
        <w:t>La aprobación de esta nueva disposición obliga a realizar modificaciones puntuales en la redacción de las bases aprobadas mediante el Decreto Foral 9/2026 con el objeto de adaptarlas a las diversas modificaciones aprobadas en la misma.</w:t>
      </w:r>
    </w:p>
    <w:p w14:paraId="3C015AD8" w14:textId="42EB98FD" w:rsidR="007A458C" w:rsidRPr="006D14CC" w:rsidRDefault="007A458C" w:rsidP="00070250">
      <w:pPr>
        <w:ind w:left="-5" w:right="0"/>
        <w:rPr>
          <w:color w:val="auto"/>
        </w:rPr>
      </w:pPr>
      <w:r w:rsidRPr="006D14CC">
        <w:rPr>
          <w:color w:val="auto"/>
        </w:rPr>
        <w:t>En su virtud, vistos los informes preceptivos, a propuesta de la Diputada Foral de Equilibrio Territorial y Ordenación del Territorio, y previa deliberación del Consejo de Gobierno Foral, en sesión celebrada en el día de la fecha,</w:t>
      </w:r>
    </w:p>
    <w:p w14:paraId="3CDDCE1B" w14:textId="77777777" w:rsidR="00675E99" w:rsidRPr="006D14CC" w:rsidRDefault="00675E99" w:rsidP="00070250">
      <w:pPr>
        <w:ind w:left="-5" w:right="0"/>
        <w:rPr>
          <w:color w:val="auto"/>
        </w:rPr>
      </w:pPr>
    </w:p>
    <w:p w14:paraId="2D4D5A75" w14:textId="77777777" w:rsidR="00675E99" w:rsidRPr="006D14CC" w:rsidRDefault="00675E99" w:rsidP="00070250">
      <w:pPr>
        <w:ind w:left="-5" w:right="0"/>
        <w:rPr>
          <w:color w:val="auto"/>
        </w:rPr>
      </w:pPr>
    </w:p>
    <w:p w14:paraId="50D4C414" w14:textId="77777777" w:rsidR="00B83E84" w:rsidRPr="006D14CC" w:rsidRDefault="008C16B6">
      <w:pPr>
        <w:pStyle w:val="Ttulo1"/>
        <w:spacing w:after="332"/>
        <w:ind w:right="1"/>
        <w:rPr>
          <w:color w:val="auto"/>
        </w:rPr>
      </w:pPr>
      <w:r w:rsidRPr="006D14CC">
        <w:rPr>
          <w:color w:val="auto"/>
        </w:rPr>
        <w:t>DISPONGO</w:t>
      </w:r>
    </w:p>
    <w:p w14:paraId="7A6FBA2B" w14:textId="77777777" w:rsidR="00675E99" w:rsidRPr="006D14CC" w:rsidRDefault="00675E99" w:rsidP="00675E99">
      <w:pPr>
        <w:rPr>
          <w:color w:val="auto"/>
        </w:rPr>
      </w:pPr>
    </w:p>
    <w:p w14:paraId="669C737B" w14:textId="47114D98" w:rsidR="007A458C" w:rsidRPr="006D14CC" w:rsidRDefault="008C16B6" w:rsidP="0019216C">
      <w:pPr>
        <w:ind w:left="-5" w:right="0"/>
        <w:rPr>
          <w:color w:val="auto"/>
        </w:rPr>
      </w:pPr>
      <w:r w:rsidRPr="006D14CC">
        <w:rPr>
          <w:color w:val="auto"/>
        </w:rPr>
        <w:t xml:space="preserve">Primero. </w:t>
      </w:r>
      <w:bookmarkStart w:id="1" w:name="_Hlk193975941"/>
      <w:r w:rsidR="007A458C" w:rsidRPr="006D14CC">
        <w:rPr>
          <w:color w:val="auto"/>
        </w:rPr>
        <w:t xml:space="preserve">Aprobar </w:t>
      </w:r>
      <w:r w:rsidR="00965F7B" w:rsidRPr="006D14CC">
        <w:rPr>
          <w:color w:val="auto"/>
        </w:rPr>
        <w:t xml:space="preserve">la modificación de </w:t>
      </w:r>
      <w:r w:rsidR="007A458C" w:rsidRPr="006D14CC">
        <w:rPr>
          <w:color w:val="auto"/>
        </w:rPr>
        <w:t xml:space="preserve">las </w:t>
      </w:r>
      <w:r w:rsidR="0019216C" w:rsidRPr="006D14CC">
        <w:rPr>
          <w:color w:val="auto"/>
        </w:rPr>
        <w:t xml:space="preserve">bases reguladoras generales para la concesión de las ayudas, en régimen de concurrencia competitiva, a las entidades locales del Territorio Histórico de Álava con cargo al programa de Ejecución de Obras Menores. </w:t>
      </w:r>
      <w:r w:rsidR="00883607" w:rsidRPr="006D14CC">
        <w:rPr>
          <w:color w:val="auto"/>
        </w:rPr>
        <w:t>Las citadas bases figuran como anexo I a este decreto</w:t>
      </w:r>
      <w:bookmarkEnd w:id="1"/>
      <w:r w:rsidR="00883607" w:rsidRPr="006D14CC">
        <w:rPr>
          <w:color w:val="auto"/>
        </w:rPr>
        <w:t>.</w:t>
      </w:r>
    </w:p>
    <w:p w14:paraId="18F4422F" w14:textId="349B941B" w:rsidR="003335E4" w:rsidRPr="006D14CC" w:rsidRDefault="0019216C" w:rsidP="00070250">
      <w:pPr>
        <w:ind w:left="-5" w:right="0"/>
        <w:rPr>
          <w:color w:val="auto"/>
        </w:rPr>
      </w:pPr>
      <w:r w:rsidRPr="006D14CC">
        <w:rPr>
          <w:color w:val="auto"/>
        </w:rPr>
        <w:t>Segundo</w:t>
      </w:r>
      <w:r w:rsidR="003335E4" w:rsidRPr="006D14CC">
        <w:rPr>
          <w:color w:val="auto"/>
        </w:rPr>
        <w:t xml:space="preserve">. Facultar a la Diputada </w:t>
      </w:r>
      <w:r w:rsidR="008C24CF" w:rsidRPr="006D14CC">
        <w:rPr>
          <w:color w:val="auto"/>
        </w:rPr>
        <w:t xml:space="preserve">Foral </w:t>
      </w:r>
      <w:r w:rsidR="003335E4" w:rsidRPr="006D14CC">
        <w:rPr>
          <w:color w:val="auto"/>
        </w:rPr>
        <w:t xml:space="preserve">de Equilibrio Territorial y Ordenación del Territorio para dictar cuantos actos y disposiciones fueren necesarios en el ámbito de la tramitación y ejecución de las </w:t>
      </w:r>
      <w:r w:rsidR="0020283D" w:rsidRPr="006D14CC">
        <w:rPr>
          <w:color w:val="auto"/>
        </w:rPr>
        <w:t>actuaciones subvencionadas</w:t>
      </w:r>
      <w:r w:rsidR="003335E4" w:rsidRPr="006D14CC">
        <w:rPr>
          <w:color w:val="auto"/>
        </w:rPr>
        <w:t>.</w:t>
      </w:r>
      <w:r w:rsidR="00FC39F4" w:rsidRPr="006D14CC">
        <w:rPr>
          <w:color w:val="auto"/>
        </w:rPr>
        <w:t xml:space="preserve"> </w:t>
      </w:r>
    </w:p>
    <w:p w14:paraId="5547C385" w14:textId="0429F695" w:rsidR="00324828" w:rsidRPr="006D14CC" w:rsidRDefault="00FC39F4" w:rsidP="00070250">
      <w:pPr>
        <w:ind w:left="-5" w:right="0"/>
        <w:rPr>
          <w:color w:val="auto"/>
        </w:rPr>
      </w:pPr>
      <w:r w:rsidRPr="006D14CC">
        <w:rPr>
          <w:color w:val="auto"/>
        </w:rPr>
        <w:t>Tercero</w:t>
      </w:r>
      <w:r w:rsidR="001B7327" w:rsidRPr="006D14CC">
        <w:rPr>
          <w:color w:val="auto"/>
        </w:rPr>
        <w:t>.</w:t>
      </w:r>
      <w:r w:rsidR="00324828" w:rsidRPr="006D14CC">
        <w:rPr>
          <w:color w:val="auto"/>
        </w:rPr>
        <w:t xml:space="preserve"> Ordenar su publicación en el Boletín Oficial del Territorio Histórico de Álava (BOTHA).</w:t>
      </w:r>
    </w:p>
    <w:p w14:paraId="089D4ABB" w14:textId="0848EB13" w:rsidR="00324828" w:rsidRPr="006D14CC" w:rsidRDefault="00FC39F4" w:rsidP="00070250">
      <w:pPr>
        <w:ind w:left="-5" w:right="0"/>
        <w:rPr>
          <w:color w:val="auto"/>
        </w:rPr>
      </w:pPr>
      <w:r w:rsidRPr="006D14CC">
        <w:rPr>
          <w:color w:val="auto"/>
        </w:rPr>
        <w:t xml:space="preserve">Disposición final. </w:t>
      </w:r>
      <w:r w:rsidR="00324828" w:rsidRPr="006D14CC">
        <w:rPr>
          <w:color w:val="auto"/>
        </w:rPr>
        <w:t>El presente decreto foral entrará en vigor el día siguiente al de su publicación en el BOTHA.</w:t>
      </w:r>
    </w:p>
    <w:p w14:paraId="46DBE7A3" w14:textId="42F621FE" w:rsidR="00544F58" w:rsidRPr="006D14CC" w:rsidRDefault="008C16B6" w:rsidP="00070250">
      <w:pPr>
        <w:spacing w:after="0" w:line="250" w:lineRule="auto"/>
        <w:ind w:left="-6" w:right="0" w:hanging="11"/>
        <w:rPr>
          <w:color w:val="auto"/>
        </w:rPr>
      </w:pPr>
      <w:r w:rsidRPr="006D14CC">
        <w:rPr>
          <w:color w:val="auto"/>
        </w:rPr>
        <w:t>Vitoria-Gasteiz,</w:t>
      </w:r>
    </w:p>
    <w:tbl>
      <w:tblPr>
        <w:tblpPr w:leftFromText="141" w:rightFromText="141" w:vertAnchor="text" w:horzAnchor="margin" w:tblpY="293"/>
        <w:tblW w:w="9212" w:type="dxa"/>
        <w:tblLayout w:type="fixed"/>
        <w:tblCellMar>
          <w:left w:w="70" w:type="dxa"/>
          <w:right w:w="70" w:type="dxa"/>
        </w:tblCellMar>
        <w:tblLook w:val="0000" w:firstRow="0" w:lastRow="0" w:firstColumn="0" w:lastColumn="0" w:noHBand="0" w:noVBand="0"/>
      </w:tblPr>
      <w:tblGrid>
        <w:gridCol w:w="4606"/>
        <w:gridCol w:w="4606"/>
      </w:tblGrid>
      <w:tr w:rsidR="00266B8E" w:rsidRPr="006D14CC" w14:paraId="4D88C507" w14:textId="77777777" w:rsidTr="00A416C6">
        <w:trPr>
          <w:trHeight w:val="2125"/>
        </w:trPr>
        <w:tc>
          <w:tcPr>
            <w:tcW w:w="4606" w:type="dxa"/>
          </w:tcPr>
          <w:p w14:paraId="6DF20693" w14:textId="77777777" w:rsidR="00266B8E" w:rsidRPr="006D14CC" w:rsidRDefault="00266B8E" w:rsidP="00070250">
            <w:pPr>
              <w:keepNext/>
              <w:spacing w:before="1560" w:after="60" w:line="240" w:lineRule="exact"/>
              <w:ind w:left="0" w:right="0" w:firstLine="0"/>
              <w:jc w:val="left"/>
              <w:outlineLvl w:val="0"/>
              <w:rPr>
                <w:rFonts w:cs="Arial"/>
                <w:b/>
                <w:bCs/>
                <w:color w:val="auto"/>
                <w:kern w:val="0"/>
                <w:szCs w:val="22"/>
                <w:lang w:val="es-ES_tradnl" w:bidi="or-IN"/>
                <w14:ligatures w14:val="none"/>
              </w:rPr>
            </w:pPr>
            <w:r w:rsidRPr="006D14CC">
              <w:rPr>
                <w:rFonts w:cs="Arial"/>
                <w:b/>
                <w:bCs/>
                <w:color w:val="auto"/>
                <w:kern w:val="0"/>
                <w:szCs w:val="22"/>
                <w:lang w:val="es-ES_tradnl" w:bidi="or-IN"/>
                <w14:ligatures w14:val="none"/>
              </w:rPr>
              <w:lastRenderedPageBreak/>
              <w:t>Ramiro González Vicente</w:t>
            </w:r>
          </w:p>
          <w:p w14:paraId="78F335C0" w14:textId="77777777" w:rsidR="00266B8E" w:rsidRPr="006D14CC" w:rsidRDefault="00266B8E" w:rsidP="00266B8E">
            <w:pPr>
              <w:spacing w:after="20" w:line="240" w:lineRule="exact"/>
              <w:ind w:left="0" w:right="0" w:firstLine="0"/>
              <w:jc w:val="left"/>
              <w:rPr>
                <w:rFonts w:cs="Arial"/>
                <w:color w:val="auto"/>
                <w:kern w:val="0"/>
                <w:szCs w:val="20"/>
                <w:lang w:val="es-ES_tradnl" w:bidi="or-IN"/>
                <w14:ligatures w14:val="none"/>
              </w:rPr>
            </w:pPr>
            <w:r w:rsidRPr="006D14CC">
              <w:rPr>
                <w:rFonts w:cs="Arial"/>
                <w:color w:val="auto"/>
                <w:kern w:val="0"/>
                <w:szCs w:val="20"/>
                <w:lang w:val="es-ES_tradnl" w:bidi="or-IN"/>
                <w14:ligatures w14:val="none"/>
              </w:rPr>
              <w:t>Diputatu nagusia</w:t>
            </w:r>
          </w:p>
          <w:p w14:paraId="25620CCC" w14:textId="77777777" w:rsidR="00266B8E" w:rsidRPr="006D14CC" w:rsidRDefault="00266B8E" w:rsidP="00266B8E">
            <w:pPr>
              <w:spacing w:after="0" w:line="240" w:lineRule="auto"/>
              <w:ind w:left="0" w:right="0" w:firstLine="0"/>
              <w:jc w:val="left"/>
              <w:rPr>
                <w:rFonts w:cs="Arial"/>
                <w:color w:val="auto"/>
                <w:kern w:val="0"/>
                <w:szCs w:val="20"/>
                <w:lang w:val="es-ES_tradnl" w:bidi="or-IN"/>
                <w14:ligatures w14:val="none"/>
              </w:rPr>
            </w:pPr>
            <w:r w:rsidRPr="006D14CC">
              <w:rPr>
                <w:rFonts w:cs="Arial"/>
                <w:color w:val="auto"/>
                <w:kern w:val="0"/>
                <w:szCs w:val="20"/>
                <w:lang w:val="es-ES_tradnl" w:bidi="or-IN"/>
                <w14:ligatures w14:val="none"/>
              </w:rPr>
              <w:t>Diputado general</w:t>
            </w:r>
          </w:p>
        </w:tc>
        <w:tc>
          <w:tcPr>
            <w:tcW w:w="4606" w:type="dxa"/>
          </w:tcPr>
          <w:p w14:paraId="3D91C64D" w14:textId="77777777" w:rsidR="00266B8E" w:rsidRPr="006D14CC" w:rsidRDefault="00266B8E" w:rsidP="00070250">
            <w:pPr>
              <w:spacing w:before="1560" w:after="60" w:line="240" w:lineRule="atLeast"/>
              <w:ind w:left="0" w:right="0" w:firstLine="0"/>
              <w:jc w:val="left"/>
              <w:rPr>
                <w:rFonts w:cs="Arial"/>
                <w:b/>
                <w:bCs/>
                <w:color w:val="auto"/>
                <w:kern w:val="0"/>
                <w:szCs w:val="22"/>
                <w:lang w:val="es-ES_tradnl" w:bidi="or-IN"/>
                <w14:ligatures w14:val="none"/>
              </w:rPr>
            </w:pPr>
            <w:r w:rsidRPr="006D14CC">
              <w:rPr>
                <w:rFonts w:cs="Arial"/>
                <w:b/>
                <w:bCs/>
                <w:color w:val="auto"/>
                <w:kern w:val="0"/>
                <w:szCs w:val="22"/>
                <w:lang w:val="es-ES_tradnl" w:bidi="or-IN"/>
                <w14:ligatures w14:val="none"/>
              </w:rPr>
              <w:t>Laura Pérez Borinaga</w:t>
            </w:r>
          </w:p>
          <w:p w14:paraId="1C7149CC" w14:textId="77777777" w:rsidR="00266B8E" w:rsidRPr="006D14CC" w:rsidRDefault="00266B8E" w:rsidP="00266B8E">
            <w:pPr>
              <w:spacing w:after="0" w:line="240" w:lineRule="auto"/>
              <w:ind w:left="0" w:right="0" w:firstLine="0"/>
              <w:jc w:val="left"/>
              <w:rPr>
                <w:rFonts w:cs="Arial"/>
                <w:bCs/>
                <w:color w:val="auto"/>
                <w:kern w:val="0"/>
                <w:szCs w:val="22"/>
                <w:lang w:val="es-ES_tradnl" w:bidi="or-IN"/>
                <w14:ligatures w14:val="none"/>
              </w:rPr>
            </w:pPr>
            <w:r w:rsidRPr="006D14CC">
              <w:rPr>
                <w:rFonts w:cs="Arial"/>
                <w:bCs/>
                <w:color w:val="auto"/>
                <w:kern w:val="0"/>
                <w:szCs w:val="22"/>
                <w:lang w:val="es-ES_tradnl" w:bidi="or-IN"/>
                <w14:ligatures w14:val="none"/>
              </w:rPr>
              <w:t xml:space="preserve">Lurralde Orekaren </w:t>
            </w:r>
            <w:r w:rsidRPr="006D14CC">
              <w:rPr>
                <w:rFonts w:ascii="Tms Rmn" w:hAnsi="Tms Rmn"/>
                <w:color w:val="auto"/>
                <w:kern w:val="0"/>
                <w:sz w:val="24"/>
                <w:szCs w:val="20"/>
                <w:lang w:val="es-ES_tradnl"/>
                <w14:ligatures w14:val="none"/>
              </w:rPr>
              <w:t>eta Lu</w:t>
            </w:r>
            <w:r w:rsidRPr="006D14CC">
              <w:rPr>
                <w:rFonts w:cs="Arial"/>
                <w:bCs/>
                <w:color w:val="auto"/>
                <w:kern w:val="0"/>
                <w:szCs w:val="22"/>
                <w:lang w:val="es-ES_tradnl" w:bidi="or-IN"/>
                <w14:ligatures w14:val="none"/>
              </w:rPr>
              <w:t xml:space="preserve">rralde </w:t>
            </w:r>
          </w:p>
          <w:p w14:paraId="4128D813" w14:textId="77777777" w:rsidR="00266B8E" w:rsidRPr="006D14CC" w:rsidRDefault="00266B8E" w:rsidP="00266B8E">
            <w:pPr>
              <w:spacing w:after="20" w:line="240" w:lineRule="auto"/>
              <w:ind w:left="0" w:right="0" w:firstLine="0"/>
              <w:jc w:val="left"/>
              <w:rPr>
                <w:rFonts w:cs="Arial"/>
                <w:bCs/>
                <w:color w:val="auto"/>
                <w:kern w:val="0"/>
                <w:szCs w:val="22"/>
                <w:lang w:val="es-ES_tradnl" w:bidi="or-IN"/>
                <w14:ligatures w14:val="none"/>
              </w:rPr>
            </w:pPr>
            <w:r w:rsidRPr="006D14CC">
              <w:rPr>
                <w:rFonts w:cs="Arial"/>
                <w:bCs/>
                <w:color w:val="auto"/>
                <w:kern w:val="0"/>
                <w:szCs w:val="22"/>
                <w:lang w:val="es-ES_tradnl" w:bidi="or-IN"/>
                <w14:ligatures w14:val="none"/>
              </w:rPr>
              <w:t>Antolamenduaren Foru diputatua</w:t>
            </w:r>
          </w:p>
          <w:p w14:paraId="56F616E2" w14:textId="77777777" w:rsidR="00266B8E" w:rsidRPr="006D14CC" w:rsidRDefault="00266B8E" w:rsidP="00266B8E">
            <w:pPr>
              <w:spacing w:after="0" w:line="240" w:lineRule="auto"/>
              <w:ind w:left="0" w:right="0" w:firstLine="0"/>
              <w:jc w:val="left"/>
              <w:rPr>
                <w:rFonts w:cs="Arial"/>
                <w:bCs/>
                <w:color w:val="auto"/>
                <w:kern w:val="0"/>
                <w:szCs w:val="22"/>
                <w:lang w:val="es-ES_tradnl" w:bidi="or-IN"/>
                <w14:ligatures w14:val="none"/>
              </w:rPr>
            </w:pPr>
            <w:r w:rsidRPr="006D14CC">
              <w:rPr>
                <w:rFonts w:cs="Arial"/>
                <w:bCs/>
                <w:color w:val="auto"/>
                <w:kern w:val="0"/>
                <w:szCs w:val="22"/>
                <w:lang w:val="es-ES_tradnl" w:bidi="or-IN"/>
                <w14:ligatures w14:val="none"/>
              </w:rPr>
              <w:t>Diputada foral de Equilibrio Territorial</w:t>
            </w:r>
          </w:p>
          <w:p w14:paraId="39D8CEF8" w14:textId="77777777" w:rsidR="00266B8E" w:rsidRPr="006D14CC" w:rsidRDefault="00266B8E" w:rsidP="00266B8E">
            <w:pPr>
              <w:spacing w:after="0" w:line="240" w:lineRule="auto"/>
              <w:ind w:left="0" w:right="0" w:firstLine="0"/>
              <w:jc w:val="left"/>
              <w:rPr>
                <w:rFonts w:cs="Arial"/>
                <w:color w:val="auto"/>
                <w:kern w:val="0"/>
                <w:szCs w:val="20"/>
                <w:lang w:val="es-ES_tradnl" w:bidi="or-IN"/>
                <w14:ligatures w14:val="none"/>
              </w:rPr>
            </w:pPr>
            <w:r w:rsidRPr="006D14CC">
              <w:rPr>
                <w:rFonts w:cs="Arial"/>
                <w:bCs/>
                <w:color w:val="auto"/>
                <w:kern w:val="0"/>
                <w:szCs w:val="22"/>
                <w:lang w:val="es-ES_tradnl" w:bidi="or-IN"/>
                <w14:ligatures w14:val="none"/>
              </w:rPr>
              <w:t>y Ordenación del Territorio</w:t>
            </w:r>
            <w:r w:rsidRPr="006D14CC">
              <w:rPr>
                <w:rFonts w:cs="Arial"/>
                <w:color w:val="auto"/>
                <w:kern w:val="0"/>
                <w:szCs w:val="20"/>
                <w:lang w:val="es-ES_tradnl" w:bidi="or-IN"/>
                <w14:ligatures w14:val="none"/>
              </w:rPr>
              <w:t xml:space="preserve"> </w:t>
            </w:r>
          </w:p>
        </w:tc>
      </w:tr>
      <w:tr w:rsidR="00266B8E" w:rsidRPr="006D14CC" w14:paraId="0D18505F" w14:textId="77777777" w:rsidTr="00A416C6">
        <w:trPr>
          <w:trHeight w:val="2239"/>
        </w:trPr>
        <w:tc>
          <w:tcPr>
            <w:tcW w:w="4606" w:type="dxa"/>
          </w:tcPr>
          <w:p w14:paraId="12FB7B95" w14:textId="77777777" w:rsidR="00266B8E" w:rsidRPr="006D14CC" w:rsidRDefault="00266B8E" w:rsidP="00070250">
            <w:pPr>
              <w:spacing w:before="1560" w:after="60" w:line="240" w:lineRule="atLeast"/>
              <w:ind w:left="0" w:right="0" w:firstLine="0"/>
              <w:jc w:val="left"/>
              <w:rPr>
                <w:rFonts w:cs="Arial"/>
                <w:color w:val="auto"/>
                <w:kern w:val="0"/>
                <w:szCs w:val="20"/>
                <w:lang w:val="es-ES_tradnl" w:bidi="or-IN"/>
                <w14:ligatures w14:val="none"/>
              </w:rPr>
            </w:pPr>
            <w:r w:rsidRPr="006D14CC">
              <w:rPr>
                <w:rFonts w:cs="Arial"/>
                <w:b/>
                <w:color w:val="auto"/>
                <w:kern w:val="0"/>
                <w:szCs w:val="20"/>
                <w:lang w:val="es-ES_tradnl" w:bidi="or-IN"/>
                <w14:ligatures w14:val="none"/>
              </w:rPr>
              <w:t>Javier Gorbeña García</w:t>
            </w:r>
          </w:p>
          <w:p w14:paraId="54C0B508" w14:textId="77777777" w:rsidR="00266B8E" w:rsidRPr="006D14CC" w:rsidRDefault="00266B8E" w:rsidP="00266B8E">
            <w:pPr>
              <w:spacing w:after="20" w:line="240" w:lineRule="auto"/>
              <w:ind w:left="0" w:right="0" w:firstLine="0"/>
              <w:jc w:val="left"/>
              <w:rPr>
                <w:rFonts w:cs="Arial"/>
                <w:color w:val="auto"/>
                <w:kern w:val="0"/>
                <w:szCs w:val="20"/>
                <w:lang w:val="es-ES_tradnl" w:bidi="or-IN"/>
                <w14:ligatures w14:val="none"/>
              </w:rPr>
            </w:pPr>
            <w:r w:rsidRPr="006D14CC">
              <w:rPr>
                <w:rFonts w:cs="Arial"/>
                <w:color w:val="auto"/>
                <w:kern w:val="0"/>
                <w:szCs w:val="20"/>
                <w:lang w:val="es-ES_tradnl" w:bidi="or-IN"/>
                <w14:ligatures w14:val="none"/>
              </w:rPr>
              <w:t>Lurralde Orekaren zuzendaria</w:t>
            </w:r>
          </w:p>
          <w:p w14:paraId="7FEDCCB1" w14:textId="77777777" w:rsidR="00266B8E" w:rsidRPr="006D14CC" w:rsidRDefault="00266B8E" w:rsidP="00266B8E">
            <w:pPr>
              <w:spacing w:after="0" w:line="240" w:lineRule="auto"/>
              <w:ind w:left="0" w:right="0" w:firstLine="0"/>
              <w:jc w:val="left"/>
              <w:rPr>
                <w:rFonts w:cs="Arial"/>
                <w:color w:val="auto"/>
                <w:kern w:val="0"/>
                <w:szCs w:val="20"/>
                <w:lang w:val="es-ES_tradnl" w:bidi="or-IN"/>
                <w14:ligatures w14:val="none"/>
              </w:rPr>
            </w:pPr>
            <w:r w:rsidRPr="006D14CC">
              <w:rPr>
                <w:rFonts w:cs="Arial"/>
                <w:color w:val="auto"/>
                <w:kern w:val="0"/>
                <w:szCs w:val="20"/>
                <w:lang w:val="es-ES_tradnl" w:bidi="or-IN"/>
                <w14:ligatures w14:val="none"/>
              </w:rPr>
              <w:t>Director de Equilibrio Territorial</w:t>
            </w:r>
          </w:p>
        </w:tc>
        <w:tc>
          <w:tcPr>
            <w:tcW w:w="4606" w:type="dxa"/>
          </w:tcPr>
          <w:p w14:paraId="60D2ABDE" w14:textId="77777777" w:rsidR="00266B8E" w:rsidRPr="006D14CC" w:rsidRDefault="00266B8E" w:rsidP="00266B8E">
            <w:pPr>
              <w:spacing w:before="120" w:after="120" w:line="240" w:lineRule="auto"/>
              <w:ind w:left="0" w:right="0" w:firstLine="0"/>
              <w:jc w:val="left"/>
              <w:rPr>
                <w:rFonts w:cs="Arial"/>
                <w:color w:val="auto"/>
                <w:kern w:val="0"/>
                <w:szCs w:val="20"/>
                <w:lang w:val="es-ES_tradnl" w:bidi="or-IN"/>
                <w14:ligatures w14:val="none"/>
              </w:rPr>
            </w:pPr>
          </w:p>
        </w:tc>
      </w:tr>
    </w:tbl>
    <w:p w14:paraId="19B5849A" w14:textId="77777777" w:rsidR="00266B8E" w:rsidRDefault="00266B8E">
      <w:pPr>
        <w:spacing w:after="1697"/>
        <w:ind w:left="-5" w:right="0"/>
        <w:rPr>
          <w:color w:val="auto"/>
        </w:rPr>
      </w:pPr>
    </w:p>
    <w:p w14:paraId="4073D50C" w14:textId="77777777" w:rsidR="00DC3CD9" w:rsidRDefault="00DC3CD9">
      <w:pPr>
        <w:spacing w:after="1697"/>
        <w:ind w:left="-5" w:right="0"/>
        <w:rPr>
          <w:color w:val="auto"/>
        </w:rPr>
      </w:pPr>
    </w:p>
    <w:p w14:paraId="23F95B53" w14:textId="77777777" w:rsidR="00DC3CD9" w:rsidRDefault="00DC3CD9">
      <w:pPr>
        <w:spacing w:after="1697"/>
        <w:ind w:left="-5" w:right="0"/>
        <w:rPr>
          <w:color w:val="auto"/>
        </w:rPr>
      </w:pPr>
    </w:p>
    <w:p w14:paraId="6E63EEA3" w14:textId="77777777" w:rsidR="00DC3CD9" w:rsidRDefault="00DC3CD9">
      <w:pPr>
        <w:spacing w:after="1697"/>
        <w:ind w:left="-5" w:right="0"/>
        <w:rPr>
          <w:color w:val="auto"/>
        </w:rPr>
      </w:pPr>
    </w:p>
    <w:p w14:paraId="06524832" w14:textId="77777777" w:rsidR="00DC3CD9" w:rsidRDefault="00DC3CD9">
      <w:pPr>
        <w:spacing w:after="1697"/>
        <w:ind w:left="-5" w:right="0"/>
        <w:rPr>
          <w:color w:val="auto"/>
        </w:rPr>
      </w:pPr>
    </w:p>
    <w:p w14:paraId="789467D2" w14:textId="77777777" w:rsidR="00DC3CD9" w:rsidRPr="0017094B" w:rsidRDefault="00DC3CD9" w:rsidP="00DC3CD9">
      <w:pPr>
        <w:pStyle w:val="Ttulo1"/>
        <w:ind w:right="1"/>
        <w:rPr>
          <w:color w:val="auto"/>
        </w:rPr>
      </w:pPr>
      <w:r w:rsidRPr="0017094B">
        <w:rPr>
          <w:color w:val="auto"/>
        </w:rPr>
        <w:lastRenderedPageBreak/>
        <w:t>ANEXO I</w:t>
      </w:r>
    </w:p>
    <w:p w14:paraId="705FE570" w14:textId="77777777" w:rsidR="00DC3CD9" w:rsidRPr="0017094B" w:rsidRDefault="00DC3CD9" w:rsidP="00DC3CD9">
      <w:pPr>
        <w:spacing w:line="250" w:lineRule="auto"/>
        <w:ind w:left="11" w:right="0" w:hanging="11"/>
        <w:rPr>
          <w:b/>
          <w:color w:val="auto"/>
        </w:rPr>
      </w:pPr>
      <w:r w:rsidRPr="0017094B">
        <w:rPr>
          <w:b/>
          <w:color w:val="auto"/>
        </w:rPr>
        <w:t xml:space="preserve">Bases reguladoras generales para la concesión de las ayudas, en régimen de concurrencia competitiva, </w:t>
      </w:r>
      <w:bookmarkStart w:id="2" w:name="_Hlk193964664"/>
      <w:r w:rsidRPr="0017094B">
        <w:rPr>
          <w:b/>
          <w:color w:val="auto"/>
        </w:rPr>
        <w:t xml:space="preserve">a las entidades locales del Territorio Histórico de </w:t>
      </w:r>
      <w:bookmarkStart w:id="3" w:name="_Hlk200358989"/>
      <w:r w:rsidRPr="0017094B">
        <w:rPr>
          <w:b/>
          <w:color w:val="auto"/>
        </w:rPr>
        <w:t xml:space="preserve">Álava </w:t>
      </w:r>
      <w:bookmarkEnd w:id="2"/>
      <w:r w:rsidRPr="0017094B">
        <w:rPr>
          <w:b/>
          <w:color w:val="auto"/>
        </w:rPr>
        <w:t>con cargo al programa de Ejecución de Obras Menores</w:t>
      </w:r>
      <w:bookmarkEnd w:id="3"/>
      <w:r w:rsidRPr="0017094B">
        <w:rPr>
          <w:b/>
          <w:color w:val="auto"/>
        </w:rPr>
        <w:t>.</w:t>
      </w:r>
    </w:p>
    <w:p w14:paraId="29F1E729"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r w:rsidRPr="0017094B">
        <w:rPr>
          <w:b/>
          <w:bCs/>
          <w:color w:val="auto"/>
        </w:rPr>
        <w:t>Objeto y ámbito de aplicación.</w:t>
      </w:r>
    </w:p>
    <w:p w14:paraId="403DD1E8" w14:textId="77777777" w:rsidR="00DC3CD9" w:rsidRPr="0017094B" w:rsidRDefault="00DC3CD9" w:rsidP="00DC3CD9">
      <w:pPr>
        <w:pStyle w:val="Prrafodelista"/>
        <w:numPr>
          <w:ilvl w:val="1"/>
          <w:numId w:val="23"/>
        </w:numPr>
        <w:spacing w:before="120" w:line="250" w:lineRule="auto"/>
        <w:ind w:right="0"/>
        <w:contextualSpacing w:val="0"/>
        <w:rPr>
          <w:color w:val="auto"/>
        </w:rPr>
      </w:pPr>
      <w:r w:rsidRPr="0017094B">
        <w:rPr>
          <w:color w:val="auto"/>
        </w:rPr>
        <w:t>El presente decreto establece las bases generales reguladoras de la concesión de subvenciones, por el procedimiento de concurrencia competitiva, a las entidades locales del Territorio Histórico de Álava, con cargo al programa de Ejecución de Obras Menores.</w:t>
      </w:r>
    </w:p>
    <w:p w14:paraId="1EAA8C19" w14:textId="77777777" w:rsidR="00DC3CD9" w:rsidRPr="0017094B" w:rsidRDefault="00DC3CD9" w:rsidP="00DC3CD9">
      <w:pPr>
        <w:pStyle w:val="Prrafodelista"/>
        <w:numPr>
          <w:ilvl w:val="1"/>
          <w:numId w:val="23"/>
        </w:numPr>
        <w:spacing w:before="120" w:line="250" w:lineRule="auto"/>
        <w:ind w:right="0"/>
        <w:contextualSpacing w:val="0"/>
        <w:rPr>
          <w:color w:val="auto"/>
        </w:rPr>
      </w:pPr>
      <w:r w:rsidRPr="0017094B">
        <w:rPr>
          <w:color w:val="auto"/>
        </w:rPr>
        <w:t>Podrán ser objeto de ayudas con cargo a este programa la ejecución de obras o servicios de la tipología expresada en el apartado 1 del artículo 17 “Tipología de las obras” de la Norma Foral 21/2013, de 27 de junio de 2013, reguladora de los programas de ayudas a las Iniciativas para el Fomento de las Relaciones Vecinales y a la Ejecución de Obras Menores en las Entidades Locales de Álava (en adelante, Norma Foral 21/2013) que cumplan los requisitos establecidos en la Norma Foral 21/2013, en las presentes bases reguladoras, y en las correspondientes convocatorias.</w:t>
      </w:r>
    </w:p>
    <w:p w14:paraId="0FCD5441" w14:textId="77777777" w:rsidR="00DC3CD9" w:rsidRPr="0017094B" w:rsidRDefault="00DC3CD9" w:rsidP="00DC3CD9">
      <w:pPr>
        <w:pStyle w:val="Prrafodelista"/>
        <w:spacing w:before="120" w:line="250" w:lineRule="auto"/>
        <w:ind w:left="0" w:right="0" w:firstLine="0"/>
        <w:contextualSpacing w:val="0"/>
        <w:rPr>
          <w:color w:val="auto"/>
        </w:rPr>
      </w:pPr>
      <w:r w:rsidRPr="0017094B">
        <w:rPr>
          <w:color w:val="auto"/>
        </w:rPr>
        <w:t>Cuando la actuación solicitada lo sea para actuaciones sobre caminos, serán atendibles actuaciones de mantenimiento o limpieza, pudiendo atenderse excepcionalmente la ejecución de pavimentaciones (en hormigón o acabados asfálticos) cuando las circunstancias físicas (por ejemplo, ejecución en pendientes pronunciadas) lo aconsejen, vengan así definidas en la documentación técnica presentada y, en caso de tratarse de caminos incluidos en el Registro de Caminos o en el Inventario de pistas forestales de la Diputación Foral de Álava, sean explícitamente aconsejadas por el Servicio de Desarrollo Agrario o por el Servicio de Montes respectivamente.</w:t>
      </w:r>
    </w:p>
    <w:p w14:paraId="53260BCB" w14:textId="77777777" w:rsidR="00DC3CD9" w:rsidRPr="0017094B" w:rsidRDefault="00DC3CD9" w:rsidP="00DC3CD9">
      <w:pPr>
        <w:pStyle w:val="Prrafodelista"/>
        <w:numPr>
          <w:ilvl w:val="1"/>
          <w:numId w:val="23"/>
        </w:numPr>
        <w:spacing w:before="120" w:line="250" w:lineRule="auto"/>
        <w:ind w:right="0"/>
        <w:contextualSpacing w:val="0"/>
        <w:rPr>
          <w:color w:val="auto"/>
        </w:rPr>
      </w:pPr>
      <w:r w:rsidRPr="0017094B">
        <w:rPr>
          <w:color w:val="auto"/>
        </w:rPr>
        <w:t>Tal y como se establece en el apartado 3 del artículo 15 “Naturaleza” de la Norma Foral 21/2013, el coste total de la actuación no podrá superar los 40.000,00 euros (IVA incluido).</w:t>
      </w:r>
    </w:p>
    <w:p w14:paraId="759F3DD7"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bookmarkStart w:id="4" w:name="_Hlk189227143"/>
      <w:r w:rsidRPr="0017094B">
        <w:rPr>
          <w:b/>
          <w:bCs/>
          <w:color w:val="auto"/>
        </w:rPr>
        <w:t>Principios generales.</w:t>
      </w:r>
    </w:p>
    <w:bookmarkEnd w:id="4"/>
    <w:p w14:paraId="79144BCD" w14:textId="77777777" w:rsidR="00DC3CD9" w:rsidRPr="0017094B" w:rsidRDefault="00DC3CD9" w:rsidP="00DC3CD9">
      <w:pPr>
        <w:pStyle w:val="Prrafodelista"/>
        <w:numPr>
          <w:ilvl w:val="1"/>
          <w:numId w:val="23"/>
        </w:numPr>
        <w:spacing w:line="250" w:lineRule="auto"/>
        <w:ind w:right="0"/>
        <w:rPr>
          <w:color w:val="auto"/>
        </w:rPr>
      </w:pPr>
      <w:r w:rsidRPr="0017094B">
        <w:rPr>
          <w:color w:val="auto"/>
        </w:rPr>
        <w:t xml:space="preserve">Las subvenciones que se concedan se gestionarán de acuerdo con los principios inspiradores recogidos en el artículo 2 “Principios inspiradores” de la </w:t>
      </w:r>
      <w:bookmarkStart w:id="5" w:name="_Hlk151457489"/>
      <w:r w:rsidRPr="0017094B">
        <w:rPr>
          <w:color w:val="auto"/>
        </w:rPr>
        <w:t xml:space="preserve">Norma Foral </w:t>
      </w:r>
      <w:bookmarkEnd w:id="5"/>
      <w:r w:rsidRPr="0017094B">
        <w:rPr>
          <w:color w:val="auto"/>
        </w:rPr>
        <w:t>21/2013.</w:t>
      </w:r>
    </w:p>
    <w:p w14:paraId="1AACEA7D" w14:textId="77777777" w:rsidR="00DC3CD9" w:rsidRPr="0017094B" w:rsidRDefault="00DC3CD9" w:rsidP="00DC3CD9">
      <w:pPr>
        <w:spacing w:line="250" w:lineRule="auto"/>
        <w:ind w:left="-6" w:right="0" w:hanging="11"/>
        <w:rPr>
          <w:color w:val="auto"/>
        </w:rPr>
      </w:pPr>
      <w:r w:rsidRPr="0017094B">
        <w:rPr>
          <w:color w:val="auto"/>
        </w:rPr>
        <w:t>Así mismo, serán de aplicación los principios generales recogidos en el artículo 7 de la Norma Foral 11/2016, de 19 de octubre, de Subvenciones del Territorio Histórico de Álava.</w:t>
      </w:r>
    </w:p>
    <w:p w14:paraId="76AC905A"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 xml:space="preserve">Las entidades locales beneficiarias de estas subvenciones han de orientar sus actuaciones y regirse por los principios generales contemplados en el artículo 3 del Decreto Legislativo 1/2023, de 16 de marzo, que aprueba el texto refundido de la Ley para la Igualdad de Mujeres y Hombres y Vidas Libres de Violencia Machista contra las Mujeres, y cumplir aquellas obligaciones que les correspondieran de acuerdo con las competencias y funciones atribuidas en la misma.  Concretamente, cuando se celebren contratos administrativos para la ejecución de la actividad subvencionada, será de aplicación lo previsto en el artículo 22 del referido decreto legislativo. En consecuencia, se contemplará como condición de ejecución del contrato la obligación de la entidad adjudicataria de aplicar, al realizar la prestación, medidas tendentes a promover la igualdad de hombres y mujeres; todo ello con sujeción a la legislación de contratos y siempre que el órgano </w:t>
      </w:r>
      <w:r w:rsidRPr="0017094B">
        <w:rPr>
          <w:color w:val="auto"/>
        </w:rPr>
        <w:lastRenderedPageBreak/>
        <w:t>competente haya establecido que se trata de un tipo o característica de contratación a la que le corresponde aplicar tal medida.</w:t>
      </w:r>
    </w:p>
    <w:p w14:paraId="552ACFD2"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r w:rsidRPr="0017094B">
        <w:rPr>
          <w:b/>
          <w:bCs/>
          <w:color w:val="auto"/>
        </w:rPr>
        <w:t xml:space="preserve">Entidades beneficiarias. </w:t>
      </w:r>
    </w:p>
    <w:p w14:paraId="66738055"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Tendrán la consideración de entidades beneficiarias las indicadas en el artículo 16 “Entidades beneficiarias” de la Norma Foral 21/2013 que cumplan con los requisitos establecidos en estas bases reguladoras y en la convocatoria, así como en la Norma Foral 11/2016, de 19 de octubre, de Subvenciones del Territorio Histórico de Álava.</w:t>
      </w:r>
    </w:p>
    <w:p w14:paraId="780F1CEF"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No podrán tener la condición de entidades beneficiarias aquellas que hayan sido sancionadas por las infracciones a que se refiere el Título IV de la Ley 38/2003, de 17 de noviembre, General de Subvenciones, al igual que las que incurran en los supuestos contemplados en el Decreto Legislativo 1/2023, de 16 de marzo, que aprueba el texto refundido de la Ley para la Igualdad de Mujeres y Hombres y Vidas Libres de Violencia Machista contra las Mujeres y en la Ley Orgánica 3/2007, de 22 de marzo, para la igualdad efectiva de mujeres y hombres.</w:t>
      </w:r>
    </w:p>
    <w:p w14:paraId="76D5F7C7"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r w:rsidRPr="0017094B">
        <w:rPr>
          <w:b/>
          <w:bCs/>
          <w:color w:val="auto"/>
        </w:rPr>
        <w:t>Dotación presupuestaria y cuantía de la subvención.</w:t>
      </w:r>
    </w:p>
    <w:p w14:paraId="098F9059"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Para la determinación de la financiación de esta línea de ayudas se estará a lo previsto en el artículo 3 “Dotación financiera” de la Norma Foral 21/2013.</w:t>
      </w:r>
    </w:p>
    <w:p w14:paraId="63A14DF8"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Las subvenciones se imputarán a las partidas presupuestarias que figuren en el Presupuesto de la Diputación Foral de Álava para cada convocatoria, destinadas específica o complementariamente a la financiación de la Ejecución de Obras Menores.</w:t>
      </w:r>
    </w:p>
    <w:p w14:paraId="3E39004E"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Las ayudas a conceder se determinarán de acuerdo con lo establecido en el artículo 18 “Cuantificación de las ayudas” de la Norma Foral 21/2013.</w:t>
      </w:r>
    </w:p>
    <w:p w14:paraId="2BCD88AE" w14:textId="77777777" w:rsidR="00DC3CD9" w:rsidRPr="0017094B" w:rsidRDefault="00DC3CD9" w:rsidP="00DC3CD9">
      <w:pPr>
        <w:pStyle w:val="Prrafodelista"/>
        <w:spacing w:line="250" w:lineRule="auto"/>
        <w:ind w:left="0" w:right="0" w:firstLine="0"/>
        <w:contextualSpacing w:val="0"/>
        <w:rPr>
          <w:color w:val="auto"/>
        </w:rPr>
      </w:pPr>
      <w:r w:rsidRPr="0017094B">
        <w:rPr>
          <w:color w:val="auto"/>
        </w:rPr>
        <w:t>Para la resolución de las correspondientes convocatorias, el cálculo inicial de la subvención se llevará a cabo sobre el presupuesto económico presentado junto con la solicitud, corregido si en él se hubieren apreciado diferencias o errores. Una vez efectuada la corrección, su resultado será aplicable a todos los efectos.</w:t>
      </w:r>
    </w:p>
    <w:p w14:paraId="0701349C"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En ningún caso se consideran gastos subvencionables los impuestos indirectos cuando sean susceptibles de recuperación o compensación.</w:t>
      </w:r>
    </w:p>
    <w:p w14:paraId="544BFD64"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Los conceptos de gastos generales y beneficio industrial aplicados no podrán superar, en suma, el 19 por ciento.</w:t>
      </w:r>
    </w:p>
    <w:p w14:paraId="0244D26E"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r w:rsidRPr="0017094B">
        <w:rPr>
          <w:b/>
          <w:bCs/>
          <w:color w:val="auto"/>
        </w:rPr>
        <w:t>Presentación y plazo de las solicitudes.</w:t>
      </w:r>
    </w:p>
    <w:p w14:paraId="2549650F" w14:textId="77777777" w:rsidR="00DC3CD9" w:rsidRPr="0017094B" w:rsidRDefault="00DC3CD9" w:rsidP="00DC3CD9">
      <w:pPr>
        <w:pStyle w:val="Prrafodelista"/>
        <w:numPr>
          <w:ilvl w:val="1"/>
          <w:numId w:val="23"/>
        </w:numPr>
        <w:tabs>
          <w:tab w:val="left" w:pos="709"/>
        </w:tabs>
        <w:spacing w:line="250" w:lineRule="auto"/>
        <w:ind w:right="0"/>
        <w:contextualSpacing w:val="0"/>
        <w:rPr>
          <w:color w:val="auto"/>
        </w:rPr>
      </w:pPr>
      <w:r w:rsidRPr="0017094B">
        <w:rPr>
          <w:color w:val="auto"/>
        </w:rPr>
        <w:t>El plazo para la presentación de solicitudes será el que se establezca en las respectivas convocatorias, y se computará desde el día siguiente a la publicación de las mismas en el BOTHA.</w:t>
      </w:r>
    </w:p>
    <w:p w14:paraId="0BB6B28B" w14:textId="77777777" w:rsidR="00DC3CD9" w:rsidRPr="0017094B" w:rsidRDefault="00DC3CD9" w:rsidP="00DC3CD9">
      <w:pPr>
        <w:pStyle w:val="Prrafodelista"/>
        <w:numPr>
          <w:ilvl w:val="1"/>
          <w:numId w:val="23"/>
        </w:numPr>
        <w:tabs>
          <w:tab w:val="left" w:pos="709"/>
        </w:tabs>
        <w:spacing w:line="250" w:lineRule="auto"/>
        <w:ind w:right="0"/>
        <w:contextualSpacing w:val="0"/>
        <w:rPr>
          <w:color w:val="auto"/>
        </w:rPr>
      </w:pPr>
      <w:r w:rsidRPr="0017094B">
        <w:rPr>
          <w:color w:val="auto"/>
        </w:rPr>
        <w:t>Cada entidad local que desee acogerse a este tipo de ayudas solamente podrá formular una solicitud de ayuda por convocatoria, con las salvedades recogidas en el apartado 4 del artículo 17 “Tipología de las obras” de la Norma Foral 21/2013.</w:t>
      </w:r>
    </w:p>
    <w:p w14:paraId="7AEC2A8D"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lastRenderedPageBreak/>
        <w:t xml:space="preserve">La forma en la que las solicitudes deberán ser formuladas será la que se determine en las </w:t>
      </w:r>
      <w:bookmarkStart w:id="6" w:name="_Hlk194395615"/>
      <w:r w:rsidRPr="0017094B">
        <w:rPr>
          <w:color w:val="auto"/>
        </w:rPr>
        <w:t xml:space="preserve">correspondientes convocatorias. </w:t>
      </w:r>
      <w:bookmarkEnd w:id="6"/>
    </w:p>
    <w:p w14:paraId="51295BEE"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Cada solicitud de ayuda deberá presentarse acompañada de la documentación que se determine en las correspondientes convocatorias. En todo caso, las solicitudes deberán presentarse acompañadas de la documentación relacionada en el apartado 2 del artículo 19 “Convocatoria y solicitudes” de la Norma Foral 21/2013.</w:t>
      </w:r>
    </w:p>
    <w:p w14:paraId="3AB8AB47"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En todo caso, el Departamento de Equilibrio Territorial y Ordenación del Territorio podrá solicitar cuanta información complementaria considere necesaria para la adecuada comprensión y evaluación de las solicitudes presentadas.</w:t>
      </w:r>
    </w:p>
    <w:p w14:paraId="598F9942" w14:textId="77777777" w:rsidR="00DC3CD9" w:rsidRPr="0017094B" w:rsidRDefault="00DC3CD9" w:rsidP="00DC3CD9">
      <w:pPr>
        <w:pStyle w:val="Prrafodelista"/>
        <w:numPr>
          <w:ilvl w:val="1"/>
          <w:numId w:val="23"/>
        </w:numPr>
        <w:spacing w:line="250" w:lineRule="auto"/>
        <w:ind w:right="0"/>
        <w:contextualSpacing w:val="0"/>
        <w:rPr>
          <w:color w:val="auto"/>
        </w:rPr>
      </w:pPr>
      <w:bookmarkStart w:id="7" w:name="_Hlk194490933"/>
      <w:r w:rsidRPr="0017094B">
        <w:rPr>
          <w:color w:val="auto"/>
        </w:rPr>
        <w:t>Si las solicitudes formuladas presentadas se encontraran incompletas o fueran defectuosas, el Departamento de Equilibrio Territorial y Ordenación del Territorio requerirá a las entidades interesadas para que en un plazo de diez días subsanen la falta o acompañen los documentos preceptivos, transcurrido el cual sin que lo hiciera se le tendrá por desistida de su petición de acuerdo a lo dispuesto en el artículo 68 de la Ley 39/2015, de 1 de octubre, de Procedimiento Administrativo Común de las Administraciones Públicas.</w:t>
      </w:r>
      <w:bookmarkEnd w:id="7"/>
    </w:p>
    <w:p w14:paraId="74F76A57"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Las obras solicitadas para su atención por el programa de ejecución de obras menores no podrán ser solicitadas en el programa de iniciativas para el fomento de las relaciones vecinales, en la convocatoria correspondiente al mismo ejercicio, ni en el programa de Plan Foral de Obras y Servicios. En caso de producirse esta circunstancia se estará a lo dispuesto en los apartados 2 y 3 del artículo 17 bis de la Norma Foral 21/2013.</w:t>
      </w:r>
    </w:p>
    <w:p w14:paraId="52B784FD"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r w:rsidRPr="0017094B">
        <w:rPr>
          <w:b/>
          <w:bCs/>
          <w:color w:val="auto"/>
        </w:rPr>
        <w:t>Criterios de selección.</w:t>
      </w:r>
    </w:p>
    <w:p w14:paraId="6575C1A3" w14:textId="77777777" w:rsidR="00DC3CD9" w:rsidRPr="0017094B" w:rsidRDefault="00DC3CD9" w:rsidP="00DC3CD9">
      <w:pPr>
        <w:pStyle w:val="Prrafodelista"/>
        <w:spacing w:line="250" w:lineRule="auto"/>
        <w:ind w:left="0" w:right="0" w:firstLine="0"/>
        <w:contextualSpacing w:val="0"/>
        <w:rPr>
          <w:color w:val="auto"/>
        </w:rPr>
      </w:pPr>
      <w:r w:rsidRPr="0017094B">
        <w:rPr>
          <w:color w:val="auto"/>
        </w:rPr>
        <w:t>Los criterios de selección aplicables serán los recogidos en el artículo 20 “Régimen de concesión y criterios de selección” de la Norma Foral 21/2013.</w:t>
      </w:r>
    </w:p>
    <w:p w14:paraId="71928159"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r w:rsidRPr="0017094B">
        <w:rPr>
          <w:b/>
          <w:bCs/>
          <w:color w:val="auto"/>
        </w:rPr>
        <w:t>Criterios de rechazo.</w:t>
      </w:r>
    </w:p>
    <w:p w14:paraId="1C792C32" w14:textId="77777777" w:rsidR="00DC3CD9" w:rsidRPr="0017094B" w:rsidRDefault="00DC3CD9" w:rsidP="00DC3CD9">
      <w:pPr>
        <w:pStyle w:val="Prrafodelista"/>
        <w:spacing w:line="250" w:lineRule="auto"/>
        <w:ind w:left="0" w:right="0" w:firstLine="0"/>
        <w:contextualSpacing w:val="0"/>
        <w:rPr>
          <w:color w:val="auto"/>
        </w:rPr>
      </w:pPr>
      <w:r w:rsidRPr="0017094B">
        <w:rPr>
          <w:color w:val="auto"/>
        </w:rPr>
        <w:t xml:space="preserve">Se considerarán rechazables aquellas solicitudes que: </w:t>
      </w:r>
    </w:p>
    <w:p w14:paraId="6FA12D30" w14:textId="77777777" w:rsidR="00DC3CD9" w:rsidRPr="0017094B" w:rsidRDefault="00DC3CD9" w:rsidP="00DC3CD9">
      <w:pPr>
        <w:pStyle w:val="Prrafodelista"/>
        <w:numPr>
          <w:ilvl w:val="2"/>
          <w:numId w:val="23"/>
        </w:numPr>
        <w:spacing w:line="250" w:lineRule="auto"/>
        <w:ind w:right="0"/>
        <w:contextualSpacing w:val="0"/>
        <w:rPr>
          <w:color w:val="auto"/>
        </w:rPr>
      </w:pPr>
      <w:r w:rsidRPr="0017094B">
        <w:rPr>
          <w:color w:val="auto"/>
        </w:rPr>
        <w:t>Incurran en alguno de los motivos de exclusión recogidos en el artículo 17 bis de la Norma Foral 21/2013.</w:t>
      </w:r>
    </w:p>
    <w:p w14:paraId="154F7F07" w14:textId="77777777" w:rsidR="00DC3CD9" w:rsidRPr="0017094B" w:rsidRDefault="00DC3CD9" w:rsidP="00DC3CD9">
      <w:pPr>
        <w:pStyle w:val="Prrafodelista"/>
        <w:numPr>
          <w:ilvl w:val="2"/>
          <w:numId w:val="23"/>
        </w:numPr>
        <w:spacing w:line="250" w:lineRule="auto"/>
        <w:ind w:right="0"/>
        <w:contextualSpacing w:val="0"/>
        <w:rPr>
          <w:color w:val="auto"/>
        </w:rPr>
      </w:pPr>
      <w:r w:rsidRPr="0017094B">
        <w:rPr>
          <w:color w:val="auto"/>
        </w:rPr>
        <w:t>Incumplan las condiciones fijadas en la Norma Foral 21/2013, en las presentes bases reguladoras, o en las convocatorias correspondientes.</w:t>
      </w:r>
    </w:p>
    <w:p w14:paraId="25C8FB4C" w14:textId="77777777" w:rsidR="00DC3CD9" w:rsidRPr="0017094B" w:rsidRDefault="00DC3CD9" w:rsidP="00DC3CD9">
      <w:pPr>
        <w:pStyle w:val="Prrafodelista"/>
        <w:numPr>
          <w:ilvl w:val="2"/>
          <w:numId w:val="23"/>
        </w:numPr>
        <w:spacing w:line="250" w:lineRule="auto"/>
        <w:ind w:right="0"/>
        <w:contextualSpacing w:val="0"/>
        <w:rPr>
          <w:color w:val="auto"/>
        </w:rPr>
      </w:pPr>
      <w:r w:rsidRPr="0017094B">
        <w:rPr>
          <w:color w:val="auto"/>
        </w:rPr>
        <w:t>Se correspondan con actuaciones que resulten afectadas por alguna legislación sectorial (carreteras, aguas, etc.) para las cuales el órgano competente haya emitido resolución o informe negativo que desaconseje o prohíba su ejecución.</w:t>
      </w:r>
    </w:p>
    <w:p w14:paraId="2A5D5E97"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r w:rsidRPr="0017094B">
        <w:rPr>
          <w:b/>
          <w:bCs/>
          <w:color w:val="auto"/>
        </w:rPr>
        <w:t>Resolución y notificación de la convocatoria.</w:t>
      </w:r>
    </w:p>
    <w:p w14:paraId="5B028160"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El procedimiento para la concesión de las ayudas será el establecido en el artículo 21 “Procedimiento, resolución y notificación” de la Norma Foral 21/2013.</w:t>
      </w:r>
    </w:p>
    <w:p w14:paraId="0A2A1466"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lastRenderedPageBreak/>
        <w:t>La resolución, además de contener la relación de entidades solicitantes a las que se concede la subvención, hará constar, en su caso, de manera expresa, la desestimación del resto de las solicitudes.</w:t>
      </w:r>
    </w:p>
    <w:p w14:paraId="0B5D3C57"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La resolución de concesión o denegación de la subvención será notificada a las entidades solicitantes según las formas previstas en el artículo 41 y siguientes de la Ley 39/2015, de 1 de octubre, del Procedimiento Administrativo Común de las Administraciones Públicas.</w:t>
      </w:r>
    </w:p>
    <w:p w14:paraId="12E07A53"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La resolución pondrá fin a la vía administrativa y contra la misma podrá interponerse recurso contencioso administrativo ante los Juzgados de lo Contencioso-Administrativo de Vitoria-Gasteiz, conforme a lo previsto en el artículo 8 de la Ley 29/1998, de 13 de julio, reguladora de la Jurisdicción Contencioso-Administrativo en el plazo de dos meses desde su notificación; todo ello sin perjuicio del requerimiento previo potestativo del artículo 44.</w:t>
      </w:r>
    </w:p>
    <w:p w14:paraId="48C175C7"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r w:rsidRPr="0017094B">
        <w:rPr>
          <w:b/>
          <w:bCs/>
          <w:color w:val="auto"/>
        </w:rPr>
        <w:t>Órganos competentes.</w:t>
      </w:r>
    </w:p>
    <w:p w14:paraId="40D032E7" w14:textId="77777777" w:rsidR="00DC3CD9" w:rsidRPr="0017094B" w:rsidRDefault="00DC3CD9" w:rsidP="00DC3CD9">
      <w:pPr>
        <w:pStyle w:val="Prrafodelista"/>
        <w:numPr>
          <w:ilvl w:val="1"/>
          <w:numId w:val="23"/>
        </w:numPr>
        <w:spacing w:after="120" w:line="250" w:lineRule="auto"/>
        <w:ind w:right="0"/>
        <w:contextualSpacing w:val="0"/>
        <w:rPr>
          <w:color w:val="auto"/>
        </w:rPr>
      </w:pPr>
      <w:r w:rsidRPr="0017094B">
        <w:rPr>
          <w:color w:val="auto"/>
        </w:rPr>
        <w:t>Tal y como se establece en el artículo 21 “Procedimiento, resolución y notificación” de la Norma Foral 21/2013, los órganos competentes para la instrucción, elaboración de la propuesta y resolución de las ayudas serán los siguientes:</w:t>
      </w:r>
    </w:p>
    <w:p w14:paraId="0E3D9912" w14:textId="77777777" w:rsidR="00DC3CD9" w:rsidRPr="0017094B" w:rsidRDefault="00DC3CD9" w:rsidP="00DC3CD9">
      <w:pPr>
        <w:pStyle w:val="Prrafodelista"/>
        <w:numPr>
          <w:ilvl w:val="2"/>
          <w:numId w:val="23"/>
        </w:numPr>
        <w:spacing w:after="120" w:line="250" w:lineRule="auto"/>
        <w:ind w:left="794" w:right="0"/>
        <w:contextualSpacing w:val="0"/>
        <w:rPr>
          <w:color w:val="auto"/>
        </w:rPr>
      </w:pPr>
      <w:r w:rsidRPr="0017094B">
        <w:rPr>
          <w:color w:val="auto"/>
        </w:rPr>
        <w:t>El órgano competente para la instrucción del procedimiento de concesión de las ayudas será el Servicio de Promoción y Financiación de Infraestructuras y Equipamientos Locales.</w:t>
      </w:r>
    </w:p>
    <w:p w14:paraId="6C25F026" w14:textId="77777777" w:rsidR="00DC3CD9" w:rsidRPr="0017094B" w:rsidRDefault="00DC3CD9" w:rsidP="00DC3CD9">
      <w:pPr>
        <w:pStyle w:val="Prrafodelista"/>
        <w:numPr>
          <w:ilvl w:val="2"/>
          <w:numId w:val="23"/>
        </w:numPr>
        <w:spacing w:after="120" w:line="250" w:lineRule="auto"/>
        <w:ind w:left="794" w:right="0"/>
        <w:contextualSpacing w:val="0"/>
        <w:rPr>
          <w:color w:val="auto"/>
        </w:rPr>
      </w:pPr>
      <w:r w:rsidRPr="0017094B">
        <w:rPr>
          <w:color w:val="auto"/>
        </w:rPr>
        <w:t>El órgano competente para la elaboración de la propuesta de resolución será un órgano colegiado formado por la persona titular del Departamento de Equilibrio Territorial y Ordenación del Territorio y la persona titular de la Dirección de Equilibrio Territorial. La composición de este órgano colegiado podrá verse incrementada o modificada por lo dispuesto al efecto en las correspondientes convocatorias. En el caso de que el número de personas integrantes del órgano colegiado se vea incrementado, habrá de tenerse en cuenta la obligatoriedad de respetar la presencia equilibrada de mujeres y hombres en el mismo, de acuerdo con el contenido recogido en el artículo 3.10. del Decreto Legislativo 1/2023, de 16 de marzo, por el que se aprueba el texto refundido de la Ley para la Igualdad de Mujeres y Hombres y Vidas Libres de Violencia Machista contra las Mujeres.</w:t>
      </w:r>
    </w:p>
    <w:p w14:paraId="067ACCE2" w14:textId="77777777" w:rsidR="00DC3CD9" w:rsidRPr="0017094B" w:rsidRDefault="00DC3CD9" w:rsidP="00DC3CD9">
      <w:pPr>
        <w:pStyle w:val="Prrafodelista"/>
        <w:numPr>
          <w:ilvl w:val="2"/>
          <w:numId w:val="23"/>
        </w:numPr>
        <w:spacing w:line="250" w:lineRule="auto"/>
        <w:ind w:left="794" w:right="0"/>
        <w:contextualSpacing w:val="0"/>
        <w:rPr>
          <w:color w:val="auto"/>
        </w:rPr>
      </w:pPr>
      <w:r w:rsidRPr="0017094B">
        <w:rPr>
          <w:color w:val="auto"/>
        </w:rPr>
        <w:t>El órgano competente para la resolución de las correspondientes convocatorias será el Consejo de Gobierno Foral de la Diputación Foral de Álava.</w:t>
      </w:r>
    </w:p>
    <w:p w14:paraId="30129CF2"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r w:rsidRPr="0017094B">
        <w:rPr>
          <w:b/>
          <w:bCs/>
          <w:color w:val="auto"/>
        </w:rPr>
        <w:t>Obligaciones de las entidades destinatarias de las subvenciones.</w:t>
      </w:r>
    </w:p>
    <w:p w14:paraId="551BB526"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Las entidades locales beneficiarias de las ayudas que se concedan con cargo al programa de Ejecución de Obras Menores estarán obligadas a cumplir las obligaciones establecidas en el artículo 23 “Obligaciones y responsabilidad de las entidades beneficiarias” de la Norma Foral 21/2013.</w:t>
      </w:r>
    </w:p>
    <w:p w14:paraId="2301465A"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Asimismo, estarán obligadas a:</w:t>
      </w:r>
    </w:p>
    <w:p w14:paraId="02F4B27B" w14:textId="77777777" w:rsidR="00DC3CD9" w:rsidRPr="0017094B" w:rsidRDefault="00DC3CD9" w:rsidP="00DC3CD9">
      <w:pPr>
        <w:pStyle w:val="Prrafodelista"/>
        <w:numPr>
          <w:ilvl w:val="2"/>
          <w:numId w:val="23"/>
        </w:numPr>
        <w:spacing w:after="60" w:line="250" w:lineRule="auto"/>
        <w:ind w:right="0"/>
        <w:contextualSpacing w:val="0"/>
        <w:rPr>
          <w:color w:val="auto"/>
        </w:rPr>
      </w:pPr>
      <w:r w:rsidRPr="0017094B">
        <w:rPr>
          <w:color w:val="auto"/>
        </w:rPr>
        <w:t>Aplicar íntegramente la subvención concedida a la actuación que motivó su concesión.</w:t>
      </w:r>
    </w:p>
    <w:p w14:paraId="006FCC9D" w14:textId="77777777" w:rsidR="00DC3CD9" w:rsidRPr="0017094B" w:rsidRDefault="00DC3CD9" w:rsidP="00DC3CD9">
      <w:pPr>
        <w:pStyle w:val="Prrafodelista"/>
        <w:numPr>
          <w:ilvl w:val="2"/>
          <w:numId w:val="23"/>
        </w:numPr>
        <w:spacing w:after="60" w:line="250" w:lineRule="auto"/>
        <w:ind w:right="0"/>
        <w:contextualSpacing w:val="0"/>
        <w:rPr>
          <w:color w:val="auto"/>
        </w:rPr>
      </w:pPr>
      <w:r w:rsidRPr="0017094B">
        <w:rPr>
          <w:color w:val="auto"/>
        </w:rPr>
        <w:t>Cumplir con los requisitos y las condiciones establecidas tanto en la Norma Foral 21/2013 como en las bases reguladoras y la convocatoria de estas ayudas.</w:t>
      </w:r>
    </w:p>
    <w:p w14:paraId="5C0951CB" w14:textId="77777777" w:rsidR="00DC3CD9" w:rsidRPr="0017094B" w:rsidRDefault="00DC3CD9" w:rsidP="00DC3CD9">
      <w:pPr>
        <w:pStyle w:val="Prrafodelista"/>
        <w:numPr>
          <w:ilvl w:val="2"/>
          <w:numId w:val="23"/>
        </w:numPr>
        <w:spacing w:after="60" w:line="250" w:lineRule="auto"/>
        <w:ind w:right="0"/>
        <w:contextualSpacing w:val="0"/>
        <w:rPr>
          <w:color w:val="auto"/>
        </w:rPr>
      </w:pPr>
      <w:r w:rsidRPr="0017094B">
        <w:rPr>
          <w:color w:val="auto"/>
        </w:rPr>
        <w:t>Cumplir con lo dispuesto en la legislación en materia de contratación pública y, en especial, con la Ley 9/2017, de 8 de noviembre, de Contratos del Sector Público.</w:t>
      </w:r>
    </w:p>
    <w:p w14:paraId="6C93B067" w14:textId="77777777" w:rsidR="00DC3CD9" w:rsidRPr="0017094B" w:rsidRDefault="00DC3CD9" w:rsidP="00DC3CD9">
      <w:pPr>
        <w:pStyle w:val="Prrafodelista"/>
        <w:numPr>
          <w:ilvl w:val="2"/>
          <w:numId w:val="23"/>
        </w:numPr>
        <w:spacing w:line="250" w:lineRule="auto"/>
        <w:ind w:left="794" w:right="0"/>
        <w:contextualSpacing w:val="0"/>
        <w:rPr>
          <w:color w:val="auto"/>
        </w:rPr>
      </w:pPr>
      <w:r w:rsidRPr="0017094B">
        <w:rPr>
          <w:color w:val="auto"/>
        </w:rPr>
        <w:lastRenderedPageBreak/>
        <w:t>Cumplir con las obligaciones establecidas para la actividad subvencional en la Norma Foral 11/2016, de 19 de octubre, de Subvenciones del Territorio Histórico de Álava.</w:t>
      </w:r>
    </w:p>
    <w:p w14:paraId="78E36071"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Cuando para la ejecución de las actuaciones subvencionadas se requiriese autorización y/o informe favorable de organismos competentes, se deberá disponer de ellos con carácter previo al inicio de la actuación.</w:t>
      </w:r>
    </w:p>
    <w:p w14:paraId="45F7C729" w14:textId="77777777" w:rsidR="00DC3CD9" w:rsidRPr="0017094B" w:rsidRDefault="00DC3CD9" w:rsidP="00DC3CD9">
      <w:pPr>
        <w:pStyle w:val="Prrafodelista"/>
        <w:keepNext/>
        <w:numPr>
          <w:ilvl w:val="0"/>
          <w:numId w:val="23"/>
        </w:numPr>
        <w:tabs>
          <w:tab w:val="left" w:pos="426"/>
        </w:tabs>
        <w:spacing w:before="360" w:line="240" w:lineRule="auto"/>
        <w:ind w:right="0"/>
        <w:contextualSpacing w:val="0"/>
        <w:rPr>
          <w:b/>
          <w:bCs/>
          <w:color w:val="auto"/>
        </w:rPr>
      </w:pPr>
      <w:r w:rsidRPr="0017094B">
        <w:rPr>
          <w:b/>
          <w:bCs/>
          <w:color w:val="auto"/>
        </w:rPr>
        <w:t>Plazo de ejecución.</w:t>
      </w:r>
    </w:p>
    <w:p w14:paraId="4DA05054"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El plazo de ejecución se establecerá en las correspondientes convocatorias.</w:t>
      </w:r>
    </w:p>
    <w:p w14:paraId="1A367797"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En ningún caso, el plazo de ejecución podrá ser posterior al 31 de diciembre del ejercicio al que corresponda la convocatoria.</w:t>
      </w:r>
    </w:p>
    <w:p w14:paraId="3696A3DD"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r w:rsidRPr="0017094B">
        <w:rPr>
          <w:b/>
          <w:bCs/>
          <w:color w:val="auto"/>
        </w:rPr>
        <w:t>Justificación y pago de subvenciones.</w:t>
      </w:r>
    </w:p>
    <w:p w14:paraId="4C191E1D"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Los pagos serán nominativos a favor de cada entidad beneficiaria.</w:t>
      </w:r>
    </w:p>
    <w:p w14:paraId="7AA52DA7"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 xml:space="preserve">Para el abono de la subvención, la entidad deberá remitir la documentación relacionada en el apartado 1 del artículo 22 “Fijación, abono de la subvención” de la Norma Foral 21/2013, </w:t>
      </w:r>
      <w:bookmarkStart w:id="8" w:name="_Hlk193978330"/>
      <w:r w:rsidRPr="0017094B">
        <w:rPr>
          <w:color w:val="auto"/>
        </w:rPr>
        <w:t>así como aquella otra que se requiera en las convocatorias correspondientes.</w:t>
      </w:r>
    </w:p>
    <w:p w14:paraId="2DD547D2" w14:textId="77777777" w:rsidR="00DC3CD9" w:rsidRPr="0017094B" w:rsidRDefault="00DC3CD9" w:rsidP="00DC3CD9">
      <w:pPr>
        <w:pStyle w:val="Prrafodelista"/>
        <w:spacing w:line="250" w:lineRule="auto"/>
        <w:ind w:left="0" w:right="0" w:firstLine="0"/>
        <w:contextualSpacing w:val="0"/>
        <w:rPr>
          <w:color w:val="auto"/>
        </w:rPr>
      </w:pPr>
      <w:r w:rsidRPr="0017094B">
        <w:rPr>
          <w:color w:val="auto"/>
        </w:rPr>
        <w:t>No obstante, tal y como se establece en el apartado 1 bis del citado artículo 22, previa solicitud al efecto se podrá anticipar hasta un 30 por ciento del importe de la subvención concedida.</w:t>
      </w:r>
    </w:p>
    <w:p w14:paraId="6A310958"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Las entidades beneficiarias de la ayuda deberán remitir justificación de los pagos realizados una vez finalizada la actuación objeto de subvención, en los términos establecidos en el apartado 3 del artículo 22 “Fijación, abono de la subvención” de la Norma Foral 21/2013.</w:t>
      </w:r>
    </w:p>
    <w:bookmarkEnd w:id="8"/>
    <w:p w14:paraId="76406ECD"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r w:rsidRPr="0017094B">
        <w:rPr>
          <w:b/>
          <w:bCs/>
          <w:color w:val="auto"/>
        </w:rPr>
        <w:t>Actualización de precios unitarios y módulos.</w:t>
      </w:r>
    </w:p>
    <w:p w14:paraId="20E795A7" w14:textId="77777777" w:rsidR="00DC3CD9" w:rsidRPr="0017094B" w:rsidRDefault="00DC3CD9" w:rsidP="00DC3CD9">
      <w:pPr>
        <w:pStyle w:val="Prrafodelista"/>
        <w:spacing w:line="250" w:lineRule="auto"/>
        <w:ind w:left="0" w:right="0" w:firstLine="0"/>
        <w:contextualSpacing w:val="0"/>
        <w:rPr>
          <w:color w:val="auto"/>
        </w:rPr>
      </w:pPr>
      <w:r w:rsidRPr="0017094B">
        <w:rPr>
          <w:color w:val="auto"/>
        </w:rPr>
        <w:t xml:space="preserve">Los módulos recogidos en el artículo 18 “Cuantificación de las ayudas” de la Norma Foral 21/2013, que habrán de ser aplicados para la obtención del presupuesto subvencionable en actuaciones que consistan o incorporen obras de pavimentación </w:t>
      </w:r>
      <w:bookmarkStart w:id="9" w:name="_Hlk235167122"/>
      <w:r w:rsidRPr="0017094B">
        <w:rPr>
          <w:color w:val="auto"/>
        </w:rPr>
        <w:t>o de instalación de luminarias para el alumbrado público</w:t>
      </w:r>
      <w:bookmarkEnd w:id="9"/>
      <w:r w:rsidRPr="0017094B">
        <w:rPr>
          <w:color w:val="auto"/>
        </w:rPr>
        <w:t>, podrán ser actualizados en las correspondientes convocatorias.</w:t>
      </w:r>
    </w:p>
    <w:p w14:paraId="6F64DFC9"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r w:rsidRPr="0017094B">
        <w:rPr>
          <w:b/>
          <w:bCs/>
          <w:color w:val="auto"/>
        </w:rPr>
        <w:t>Concurrencia y compatibilidad de las subvenciones.</w:t>
      </w:r>
    </w:p>
    <w:p w14:paraId="0BEA2419" w14:textId="77777777" w:rsidR="00DC3CD9" w:rsidRPr="0017094B" w:rsidRDefault="00DC3CD9" w:rsidP="00DC3CD9">
      <w:pPr>
        <w:pStyle w:val="Prrafodelista"/>
        <w:spacing w:line="250" w:lineRule="auto"/>
        <w:ind w:left="0" w:right="0" w:firstLine="0"/>
        <w:contextualSpacing w:val="0"/>
        <w:rPr>
          <w:color w:val="auto"/>
        </w:rPr>
      </w:pPr>
      <w:r w:rsidRPr="0017094B">
        <w:rPr>
          <w:color w:val="auto"/>
        </w:rPr>
        <w:t>Las ayudas concedidas son compatibles con otras subvenciones, ingresos o recursos obtenidos para la misma finalidad, procedentes de cualquier administración, ente público o privado, en los términos establecidos en el artículo 24 “Concurrencia de subvenciones” de la Norma Foral 21/2013.</w:t>
      </w:r>
    </w:p>
    <w:p w14:paraId="30779326"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r w:rsidRPr="0017094B">
        <w:rPr>
          <w:b/>
          <w:bCs/>
          <w:color w:val="auto"/>
        </w:rPr>
        <w:t>Incumplimiento y reintegro.</w:t>
      </w:r>
    </w:p>
    <w:p w14:paraId="7654D7E4"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Procederá el reintegro de las cantidades percibidas en los casos establecidos en la Norma Foral 11/2016, de 19 de octubre, de Subvenciones del Territorio Histórico de Álava, en la Ley 38/2003, de 17 de noviembre, General de Subvenciones, y en el Real Decreto 887/2006, de 21 de julio, por el que se aprueba el Reglamento de la Ley 38/2003, de 17 de noviembre, General de Subvenciones.</w:t>
      </w:r>
    </w:p>
    <w:p w14:paraId="2FEB43C9" w14:textId="77777777" w:rsidR="00DC3CD9" w:rsidRPr="0017094B" w:rsidRDefault="00DC3CD9" w:rsidP="00DC3CD9">
      <w:pPr>
        <w:pStyle w:val="Prrafodelista"/>
        <w:numPr>
          <w:ilvl w:val="1"/>
          <w:numId w:val="23"/>
        </w:numPr>
        <w:spacing w:line="250" w:lineRule="auto"/>
        <w:ind w:right="0"/>
        <w:contextualSpacing w:val="0"/>
        <w:rPr>
          <w:color w:val="auto"/>
        </w:rPr>
      </w:pPr>
      <w:bookmarkStart w:id="10" w:name="_Hlk201566203"/>
      <w:r w:rsidRPr="0017094B">
        <w:rPr>
          <w:color w:val="auto"/>
        </w:rPr>
        <w:lastRenderedPageBreak/>
        <w:t>Asimismo, procederá el reintegro de las cantidades percibidas en los casos previstos en la Norma Foral 21/2013.</w:t>
      </w:r>
    </w:p>
    <w:bookmarkEnd w:id="10"/>
    <w:p w14:paraId="6F943688"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El reintegro de las cantidades percibidas sobre la subvención aprobada tendrá la consideración de ingresos de derecho público y su cobro se realizará conforme a lo previsto en la Norma Foral 3/2023, de 25 de enero, General Presupuestaria.</w:t>
      </w:r>
    </w:p>
    <w:p w14:paraId="23FCE84F" w14:textId="77777777" w:rsidR="00DC3CD9" w:rsidRPr="0017094B" w:rsidRDefault="00DC3CD9" w:rsidP="00DC3CD9">
      <w:pPr>
        <w:pStyle w:val="Prrafodelista"/>
        <w:numPr>
          <w:ilvl w:val="1"/>
          <w:numId w:val="23"/>
        </w:numPr>
        <w:spacing w:line="250" w:lineRule="auto"/>
        <w:ind w:right="0"/>
        <w:contextualSpacing w:val="0"/>
        <w:rPr>
          <w:color w:val="auto"/>
        </w:rPr>
      </w:pPr>
      <w:r w:rsidRPr="0017094B">
        <w:rPr>
          <w:color w:val="auto"/>
        </w:rPr>
        <w:t>Se establecen los siguientes criterios para la graduación de los incumplimientos de las condiciones impuestas con motivo del otorgamiento de la subvención:</w:t>
      </w:r>
    </w:p>
    <w:p w14:paraId="3868DD91" w14:textId="77777777" w:rsidR="00DC3CD9" w:rsidRPr="0017094B" w:rsidRDefault="00DC3CD9" w:rsidP="00DC3CD9">
      <w:pPr>
        <w:pStyle w:val="Prrafodelista"/>
        <w:numPr>
          <w:ilvl w:val="2"/>
          <w:numId w:val="24"/>
        </w:numPr>
        <w:tabs>
          <w:tab w:val="left" w:pos="426"/>
        </w:tabs>
        <w:spacing w:before="360" w:line="250" w:lineRule="auto"/>
        <w:ind w:right="0"/>
        <w:contextualSpacing w:val="0"/>
        <w:rPr>
          <w:color w:val="auto"/>
        </w:rPr>
      </w:pPr>
      <w:r w:rsidRPr="0017094B">
        <w:rPr>
          <w:color w:val="auto"/>
        </w:rPr>
        <w:t>La no ejecución de la actuación para la que se otorgó la subvención con anterioridad al 31 de diciembre del ejercicio al que corresponda la convocatoria conllevará la pérdida total de la subvención concedida.</w:t>
      </w:r>
    </w:p>
    <w:p w14:paraId="2A08C65D" w14:textId="77777777" w:rsidR="00DC3CD9" w:rsidRPr="0017094B" w:rsidRDefault="00DC3CD9" w:rsidP="00DC3CD9">
      <w:pPr>
        <w:pStyle w:val="Prrafodelista"/>
        <w:numPr>
          <w:ilvl w:val="2"/>
          <w:numId w:val="24"/>
        </w:numPr>
        <w:tabs>
          <w:tab w:val="left" w:pos="426"/>
        </w:tabs>
        <w:spacing w:before="360" w:line="250" w:lineRule="auto"/>
        <w:ind w:right="0"/>
        <w:contextualSpacing w:val="0"/>
        <w:rPr>
          <w:color w:val="auto"/>
        </w:rPr>
      </w:pPr>
      <w:r w:rsidRPr="0017094B">
        <w:rPr>
          <w:color w:val="auto"/>
        </w:rPr>
        <w:t>La ejecución parcial de la actuación para la que se otorgó la subvención, dentro del ejercicio al que corresponda la convocatoria, dará lugar a la pérdida de la misma en la parte correspondiente a lo no ejecutado, siempre que la parte ejecutada suponga la consecución del objeto de la actuación subvencionada. En caso contrario, procederá la pérdida total de la subvención otorgada.</w:t>
      </w:r>
    </w:p>
    <w:p w14:paraId="2DAEAA97" w14:textId="77777777" w:rsidR="00DC3CD9" w:rsidRPr="0017094B" w:rsidRDefault="00DC3CD9" w:rsidP="00DC3CD9">
      <w:pPr>
        <w:pStyle w:val="Prrafodelista"/>
        <w:numPr>
          <w:ilvl w:val="2"/>
          <w:numId w:val="24"/>
        </w:numPr>
        <w:tabs>
          <w:tab w:val="left" w:pos="426"/>
        </w:tabs>
        <w:spacing w:before="360" w:line="250" w:lineRule="auto"/>
        <w:ind w:right="0"/>
        <w:contextualSpacing w:val="0"/>
        <w:rPr>
          <w:color w:val="auto"/>
        </w:rPr>
      </w:pPr>
      <w:r w:rsidRPr="0017094B">
        <w:rPr>
          <w:color w:val="auto"/>
        </w:rPr>
        <w:t>La no justificación, o la justificación insuficiente o deficiente en los términos establecido en el apartado 12.2 de las presentes bases reguladoras dará lugar a la pérdida de la parte de la subvención concedida y no justificada.</w:t>
      </w:r>
    </w:p>
    <w:p w14:paraId="20D31D4D" w14:textId="77777777" w:rsidR="00DC3CD9" w:rsidRPr="0017094B" w:rsidRDefault="00DC3CD9" w:rsidP="00DC3CD9">
      <w:pPr>
        <w:pStyle w:val="Prrafodelista"/>
        <w:numPr>
          <w:ilvl w:val="2"/>
          <w:numId w:val="24"/>
        </w:numPr>
        <w:tabs>
          <w:tab w:val="left" w:pos="426"/>
        </w:tabs>
        <w:spacing w:before="360" w:line="250" w:lineRule="auto"/>
        <w:ind w:right="0"/>
        <w:contextualSpacing w:val="0"/>
        <w:rPr>
          <w:color w:val="auto"/>
        </w:rPr>
      </w:pPr>
      <w:bookmarkStart w:id="11" w:name="_Hlk214441984"/>
      <w:bookmarkStart w:id="12" w:name="_Hlk214440665"/>
      <w:r w:rsidRPr="0017094B">
        <w:rPr>
          <w:color w:val="auto"/>
        </w:rPr>
        <w:t xml:space="preserve">Sin perjuicio de lo establecido en los apartados a, b y c anteriores, </w:t>
      </w:r>
      <w:bookmarkStart w:id="13" w:name="_Hlk214441846"/>
      <w:r w:rsidRPr="0017094B">
        <w:rPr>
          <w:color w:val="auto"/>
        </w:rPr>
        <w:t xml:space="preserve">la </w:t>
      </w:r>
      <w:bookmarkEnd w:id="11"/>
      <w:r w:rsidRPr="0017094B">
        <w:rPr>
          <w:color w:val="auto"/>
        </w:rPr>
        <w:t>no ejecución y/o no justificación de la actuación para la que se otorgó la subvención en el plazo concedido podrá dar lugar a una minoración sobre la subvención a percibir</w:t>
      </w:r>
      <w:bookmarkEnd w:id="13"/>
      <w:r w:rsidRPr="0017094B">
        <w:rPr>
          <w:color w:val="auto"/>
        </w:rPr>
        <w:t xml:space="preserve">. </w:t>
      </w:r>
      <w:bookmarkEnd w:id="12"/>
      <w:r w:rsidRPr="0017094B">
        <w:rPr>
          <w:color w:val="auto"/>
        </w:rPr>
        <w:t>En caso de preverse la aplicación de esta medida, la definición y su alcance deberán establecerse en las correspondientes convocatorias.</w:t>
      </w:r>
    </w:p>
    <w:p w14:paraId="5E17E086" w14:textId="77777777" w:rsidR="00DC3CD9" w:rsidRPr="0017094B" w:rsidRDefault="00DC3CD9" w:rsidP="00DC3CD9">
      <w:pPr>
        <w:pStyle w:val="Prrafodelista"/>
        <w:numPr>
          <w:ilvl w:val="2"/>
          <w:numId w:val="24"/>
        </w:numPr>
        <w:tabs>
          <w:tab w:val="left" w:pos="426"/>
        </w:tabs>
        <w:spacing w:before="360" w:line="250" w:lineRule="auto"/>
        <w:ind w:right="0"/>
        <w:contextualSpacing w:val="0"/>
        <w:rPr>
          <w:color w:val="auto"/>
        </w:rPr>
      </w:pPr>
      <w:r w:rsidRPr="0017094B">
        <w:rPr>
          <w:color w:val="auto"/>
        </w:rPr>
        <w:t>El incumplimiento de aquellos requerimientos que pudieran hacerse a las entidades locales beneficiarias de las ayudas podrá dar lugar a una minoración sobre la subvención a percibir. En caso de preverse la aplicación de esta medida, la definición y su alcance deberán establecerse en las correspondientes convocatorias.</w:t>
      </w:r>
    </w:p>
    <w:p w14:paraId="550D4E71"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r w:rsidRPr="0017094B">
        <w:rPr>
          <w:b/>
          <w:bCs/>
          <w:color w:val="auto"/>
        </w:rPr>
        <w:t>Interpretación.</w:t>
      </w:r>
    </w:p>
    <w:p w14:paraId="7A87361D" w14:textId="77777777" w:rsidR="00DC3CD9" w:rsidRPr="0017094B" w:rsidRDefault="00DC3CD9" w:rsidP="00DC3CD9">
      <w:pPr>
        <w:pStyle w:val="Prrafodelista"/>
        <w:spacing w:line="250" w:lineRule="auto"/>
        <w:ind w:left="0" w:right="0" w:firstLine="0"/>
        <w:contextualSpacing w:val="0"/>
        <w:rPr>
          <w:color w:val="auto"/>
        </w:rPr>
      </w:pPr>
      <w:r w:rsidRPr="0017094B">
        <w:rPr>
          <w:color w:val="auto"/>
        </w:rPr>
        <w:t>Cualquier duda que pudiera surgir en torno a la interpretación de estas bases será resuelta por el Departamento de Equilibrio Territorial y Ordenación del Territorio de esta Diputación.</w:t>
      </w:r>
    </w:p>
    <w:p w14:paraId="3033FA69" w14:textId="77777777" w:rsidR="00DC3CD9" w:rsidRPr="0017094B" w:rsidRDefault="00DC3CD9" w:rsidP="00DC3CD9">
      <w:pPr>
        <w:pStyle w:val="Prrafodelista"/>
        <w:keepNext/>
        <w:numPr>
          <w:ilvl w:val="0"/>
          <w:numId w:val="23"/>
        </w:numPr>
        <w:tabs>
          <w:tab w:val="left" w:pos="426"/>
        </w:tabs>
        <w:spacing w:before="360" w:line="250" w:lineRule="auto"/>
        <w:ind w:right="0"/>
        <w:contextualSpacing w:val="0"/>
        <w:rPr>
          <w:b/>
          <w:bCs/>
          <w:color w:val="auto"/>
        </w:rPr>
      </w:pPr>
      <w:r w:rsidRPr="0017094B">
        <w:rPr>
          <w:b/>
          <w:bCs/>
          <w:color w:val="auto"/>
        </w:rPr>
        <w:t>Normativa aplicable.</w:t>
      </w:r>
    </w:p>
    <w:p w14:paraId="551A5BFE" w14:textId="77777777" w:rsidR="00DC3CD9" w:rsidRPr="0017094B" w:rsidRDefault="00DC3CD9" w:rsidP="00DC3CD9">
      <w:pPr>
        <w:pStyle w:val="Prrafodelista"/>
        <w:spacing w:line="250" w:lineRule="auto"/>
        <w:ind w:left="0" w:right="0" w:firstLine="0"/>
        <w:rPr>
          <w:color w:val="auto"/>
        </w:rPr>
      </w:pPr>
      <w:r w:rsidRPr="0017094B">
        <w:rPr>
          <w:color w:val="auto"/>
        </w:rPr>
        <w:t xml:space="preserve">En lo no dispuesto en las presentes bases se regulará por la Norma Foral 21/2013, de 27 de junio de 2013, reguladora de los programas de ayudas a las Iniciativas para el Fomento de las Relaciones Vecinales y a la Ejecución de Obras Menores en las Entidades Locales de Álava, la Norma Foral 11/2016, de 19 de octubre, de Subvenciones del Territorio Histórico de Álava, la Ley 38/2003, de 17 de noviembre, General de Subvenciones, el Real Decreto 887/2006, de 21 de julio, por el que se </w:t>
      </w:r>
      <w:r w:rsidRPr="0017094B">
        <w:rPr>
          <w:color w:val="auto"/>
        </w:rPr>
        <w:lastRenderedPageBreak/>
        <w:t>aprueba el Reglamento de la Ley 38/2003, de 17 de noviembre, General de Subvenciones, la Norma Foral 3/2023, de 25 de enero, General Presupuestaria, la Norma Foral de ordenación presupuestaria que se encuentre vigente, la Ley 39/2015, de 1 de octubre, del Procedimiento Administrativo Común de las Administraciones Públicas y demás normativa que le sea de aplicación.</w:t>
      </w:r>
    </w:p>
    <w:p w14:paraId="61667903" w14:textId="77777777" w:rsidR="00DC3CD9" w:rsidRPr="006D14CC" w:rsidRDefault="00DC3CD9">
      <w:pPr>
        <w:spacing w:after="1697"/>
        <w:ind w:left="-5" w:right="0"/>
        <w:rPr>
          <w:color w:val="auto"/>
        </w:rPr>
      </w:pPr>
    </w:p>
    <w:sectPr w:rsidR="00DC3CD9" w:rsidRPr="006D14CC" w:rsidSect="00675E99">
      <w:headerReference w:type="even" r:id="rId9"/>
      <w:headerReference w:type="default" r:id="rId10"/>
      <w:footerReference w:type="even" r:id="rId11"/>
      <w:footerReference w:type="default" r:id="rId12"/>
      <w:footerReference w:type="first" r:id="rId13"/>
      <w:pgSz w:w="11906" w:h="16838"/>
      <w:pgMar w:top="1985" w:right="1418" w:bottom="1701" w:left="1701" w:header="720" w:footer="79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BC27D" w14:textId="77777777" w:rsidR="007274C5" w:rsidRDefault="007274C5">
      <w:pPr>
        <w:spacing w:after="0" w:line="240" w:lineRule="auto"/>
      </w:pPr>
      <w:r>
        <w:separator/>
      </w:r>
    </w:p>
  </w:endnote>
  <w:endnote w:type="continuationSeparator" w:id="0">
    <w:p w14:paraId="29DB81B0" w14:textId="77777777" w:rsidR="007274C5" w:rsidRDefault="00727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1A3D" w14:textId="77777777" w:rsidR="00B83E84" w:rsidRDefault="008C16B6">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D35EB" w14:textId="77777777" w:rsidR="00B83E84" w:rsidRDefault="008C16B6">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0ECD" w14:textId="77777777" w:rsidR="00B83E84" w:rsidRDefault="008C16B6">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7E233" w14:textId="77777777" w:rsidR="007274C5" w:rsidRDefault="007274C5">
      <w:pPr>
        <w:spacing w:after="0" w:line="240" w:lineRule="auto"/>
      </w:pPr>
      <w:r>
        <w:separator/>
      </w:r>
    </w:p>
  </w:footnote>
  <w:footnote w:type="continuationSeparator" w:id="0">
    <w:p w14:paraId="3B305EEF" w14:textId="77777777" w:rsidR="007274C5" w:rsidRDefault="00727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9B430" w14:textId="77777777" w:rsidR="00B83E84" w:rsidRDefault="008C16B6">
    <w:pPr>
      <w:spacing w:after="0" w:line="259" w:lineRule="auto"/>
      <w:ind w:left="-1701" w:right="10488"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3E0B8E1A" wp14:editId="5C57549C">
              <wp:simplePos x="0" y="0"/>
              <wp:positionH relativeFrom="page">
                <wp:posOffset>1080135</wp:posOffset>
              </wp:positionH>
              <wp:positionV relativeFrom="page">
                <wp:posOffset>457200</wp:posOffset>
              </wp:positionV>
              <wp:extent cx="5761356" cy="428625"/>
              <wp:effectExtent l="0" t="0" r="0" b="0"/>
              <wp:wrapSquare wrapText="bothSides"/>
              <wp:docPr id="18912" name="Group 18912"/>
              <wp:cNvGraphicFramePr/>
              <a:graphic xmlns:a="http://schemas.openxmlformats.org/drawingml/2006/main">
                <a:graphicData uri="http://schemas.microsoft.com/office/word/2010/wordprocessingGroup">
                  <wpg:wgp>
                    <wpg:cNvGrpSpPr/>
                    <wpg:grpSpPr>
                      <a:xfrm>
                        <a:off x="0" y="0"/>
                        <a:ext cx="5761356" cy="428625"/>
                        <a:chOff x="0" y="0"/>
                        <a:chExt cx="5761356" cy="428625"/>
                      </a:xfrm>
                    </wpg:grpSpPr>
                    <pic:pic xmlns:pic="http://schemas.openxmlformats.org/drawingml/2006/picture">
                      <pic:nvPicPr>
                        <pic:cNvPr id="18913" name="Picture 18913"/>
                        <pic:cNvPicPr/>
                      </pic:nvPicPr>
                      <pic:blipFill>
                        <a:blip r:embed="rId1"/>
                        <a:stretch>
                          <a:fillRect/>
                        </a:stretch>
                      </pic:blipFill>
                      <pic:spPr>
                        <a:xfrm>
                          <a:off x="2661603" y="0"/>
                          <a:ext cx="428625" cy="428625"/>
                        </a:xfrm>
                        <a:prstGeom prst="rect">
                          <a:avLst/>
                        </a:prstGeom>
                      </pic:spPr>
                    </pic:pic>
                    <wps:wsp>
                      <wps:cNvPr id="18914" name="Shape 18914"/>
                      <wps:cNvSpPr/>
                      <wps:spPr>
                        <a:xfrm>
                          <a:off x="0"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915" name="Shape 18915"/>
                      <wps:cNvSpPr/>
                      <wps:spPr>
                        <a:xfrm>
                          <a:off x="3312796"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912" style="width:453.65pt;height:33.75pt;position:absolute;mso-position-horizontal-relative:page;mso-position-horizontal:absolute;margin-left:85.05pt;mso-position-vertical-relative:page;margin-top:36pt;" coordsize="57613,4286">
              <v:shape id="Picture 18913" style="position:absolute;width:4286;height:4286;left:26616;top:0;" filled="f">
                <v:imagedata r:id="rId9"/>
              </v:shape>
              <v:shape id="Shape 18914" style="position:absolute;width:24485;height:0;left:0;top:2178;" coordsize="2448560,0" path="m0,0l2448560,0">
                <v:stroke weight="0.5pt" endcap="flat" joinstyle="miter" miterlimit="10" on="true" color="#000000"/>
                <v:fill on="false" color="#000000" opacity="0"/>
              </v:shape>
              <v:shape id="Shape 18915" style="position:absolute;width:24485;height:0;left:33127;top:2178;" coordsize="2448560,0" path="m0,0l2448560,0">
                <v:stroke weight="0.5pt" endcap="flat" joinstyle="miter" miterlimit="10" on="true" color="#000000"/>
                <v:fill on="false" color="#000000" opacity="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6F4F4" w14:textId="77777777" w:rsidR="00B83E84" w:rsidRDefault="008C16B6">
    <w:pPr>
      <w:spacing w:after="0" w:line="259" w:lineRule="auto"/>
      <w:ind w:left="-1701" w:right="10488"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1D55C45C" wp14:editId="7E5AAF2C">
              <wp:simplePos x="0" y="0"/>
              <wp:positionH relativeFrom="page">
                <wp:posOffset>1080135</wp:posOffset>
              </wp:positionH>
              <wp:positionV relativeFrom="page">
                <wp:posOffset>457200</wp:posOffset>
              </wp:positionV>
              <wp:extent cx="5761356" cy="428625"/>
              <wp:effectExtent l="0" t="0" r="0" b="0"/>
              <wp:wrapSquare wrapText="bothSides"/>
              <wp:docPr id="18898" name="Group 18898"/>
              <wp:cNvGraphicFramePr/>
              <a:graphic xmlns:a="http://schemas.openxmlformats.org/drawingml/2006/main">
                <a:graphicData uri="http://schemas.microsoft.com/office/word/2010/wordprocessingGroup">
                  <wpg:wgp>
                    <wpg:cNvGrpSpPr/>
                    <wpg:grpSpPr>
                      <a:xfrm>
                        <a:off x="0" y="0"/>
                        <a:ext cx="5761356" cy="428625"/>
                        <a:chOff x="0" y="0"/>
                        <a:chExt cx="5761356" cy="428625"/>
                      </a:xfrm>
                    </wpg:grpSpPr>
                    <pic:pic xmlns:pic="http://schemas.openxmlformats.org/drawingml/2006/picture">
                      <pic:nvPicPr>
                        <pic:cNvPr id="18899" name="Picture 18899"/>
                        <pic:cNvPicPr/>
                      </pic:nvPicPr>
                      <pic:blipFill>
                        <a:blip r:embed="rId1"/>
                        <a:stretch>
                          <a:fillRect/>
                        </a:stretch>
                      </pic:blipFill>
                      <pic:spPr>
                        <a:xfrm>
                          <a:off x="2661603" y="0"/>
                          <a:ext cx="428625" cy="428625"/>
                        </a:xfrm>
                        <a:prstGeom prst="rect">
                          <a:avLst/>
                        </a:prstGeom>
                      </pic:spPr>
                    </pic:pic>
                    <wps:wsp>
                      <wps:cNvPr id="18900" name="Shape 18900"/>
                      <wps:cNvSpPr/>
                      <wps:spPr>
                        <a:xfrm>
                          <a:off x="0"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901" name="Shape 18901"/>
                      <wps:cNvSpPr/>
                      <wps:spPr>
                        <a:xfrm>
                          <a:off x="3312796"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898" style="width:453.65pt;height:33.75pt;position:absolute;mso-position-horizontal-relative:page;mso-position-horizontal:absolute;margin-left:85.05pt;mso-position-vertical-relative:page;margin-top:36pt;" coordsize="57613,4286">
              <v:shape id="Picture 18899" style="position:absolute;width:4286;height:4286;left:26616;top:0;" filled="f">
                <v:imagedata r:id="rId9"/>
              </v:shape>
              <v:shape id="Shape 18900" style="position:absolute;width:24485;height:0;left:0;top:2178;" coordsize="2448560,0" path="m0,0l2448560,0">
                <v:stroke weight="0.5pt" endcap="flat" joinstyle="miter" miterlimit="10" on="true" color="#000000"/>
                <v:fill on="false" color="#000000" opacity="0"/>
              </v:shape>
              <v:shape id="Shape 18901" style="position:absolute;width:24485;height:0;left:33127;top:2178;" coordsize="2448560,0" path="m0,0l2448560,0">
                <v:stroke weight="0.5pt" endcap="flat" joinstyle="miter" miterlimit="10" on="true" color="#000000"/>
                <v:fill on="false" color="#000000" opacity="0"/>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359A"/>
    <w:multiLevelType w:val="hybridMultilevel"/>
    <w:tmpl w:val="194499AC"/>
    <w:lvl w:ilvl="0" w:tplc="080E5B12">
      <w:start w:val="1"/>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938B7F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266738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838AE2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440AB4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414C03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46E727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348B88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26A8E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7B6D19"/>
    <w:multiLevelType w:val="hybridMultilevel"/>
    <w:tmpl w:val="2DE89460"/>
    <w:lvl w:ilvl="0" w:tplc="B51808B0">
      <w:start w:val="8"/>
      <w:numFmt w:val="decimal"/>
      <w:lvlText w:val="%1."/>
      <w:lvlJc w:val="left"/>
      <w:pPr>
        <w:ind w:left="3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5C040EE">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C5ABE2A">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F65CC29E">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98BC05E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77ED472">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A434E5F6">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9AF05528">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5F44474C">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BE67CC"/>
    <w:multiLevelType w:val="multilevel"/>
    <w:tmpl w:val="BA2232FE"/>
    <w:lvl w:ilvl="0">
      <w:start w:val="5"/>
      <w:numFmt w:val="decimal"/>
      <w:lvlText w:val="%1."/>
      <w:lvlJc w:val="left"/>
      <w:pPr>
        <w:ind w:left="2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7154B9"/>
    <w:multiLevelType w:val="multilevel"/>
    <w:tmpl w:val="0F74263C"/>
    <w:lvl w:ilvl="0">
      <w:start w:val="5"/>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7F71773"/>
    <w:multiLevelType w:val="hybridMultilevel"/>
    <w:tmpl w:val="7E32B074"/>
    <w:lvl w:ilvl="0" w:tplc="D02EED3E">
      <w:start w:val="1"/>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87A6FA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35CF93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2CB88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2EE99C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E1E83A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ED2792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BF8A75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B1C01C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F9C4FB0"/>
    <w:multiLevelType w:val="multilevel"/>
    <w:tmpl w:val="C5304522"/>
    <w:lvl w:ilvl="0">
      <w:start w:val="8"/>
      <w:numFmt w:val="decimal"/>
      <w:lvlText w:val="%1."/>
      <w:lvlJc w:val="left"/>
      <w:pPr>
        <w:ind w:left="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66415F1"/>
    <w:multiLevelType w:val="hybridMultilevel"/>
    <w:tmpl w:val="DFAAF8F6"/>
    <w:lvl w:ilvl="0" w:tplc="9698EC48">
      <w:start w:val="4"/>
      <w:numFmt w:val="lowerLetter"/>
      <w:lvlText w:val="%1)"/>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088FBA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6A0192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76E204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3E6621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73EFF7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34694D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3285B9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AA0192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AC631BD"/>
    <w:multiLevelType w:val="hybridMultilevel"/>
    <w:tmpl w:val="A566A992"/>
    <w:lvl w:ilvl="0" w:tplc="BE0AF866">
      <w:start w:val="2"/>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BBE630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4E4E66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6CDF0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0FE54D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33E329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558176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10EE70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4FC92B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BA358DF"/>
    <w:multiLevelType w:val="multilevel"/>
    <w:tmpl w:val="3956F094"/>
    <w:lvl w:ilvl="0">
      <w:start w:val="7"/>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6732AD1"/>
    <w:multiLevelType w:val="multilevel"/>
    <w:tmpl w:val="8FD43B92"/>
    <w:lvl w:ilvl="0">
      <w:start w:val="4"/>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75448E9"/>
    <w:multiLevelType w:val="multilevel"/>
    <w:tmpl w:val="C9E86370"/>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lowerLetter"/>
      <w:suff w:val="space"/>
      <w:lvlText w:val="%3)"/>
      <w:lvlJc w:val="left"/>
      <w:pPr>
        <w:ind w:left="795" w:hanging="227"/>
      </w:pPr>
      <w:rPr>
        <w:rFonts w:hint="default"/>
      </w:rPr>
    </w:lvl>
    <w:lvl w:ilvl="3">
      <w:start w:val="1"/>
      <w:numFmt w:val="decimal"/>
      <w:lvlText w:val="%4."/>
      <w:lvlJc w:val="left"/>
      <w:pPr>
        <w:ind w:left="2505" w:hanging="360"/>
      </w:pPr>
      <w:rPr>
        <w:rFonts w:hint="default"/>
      </w:rPr>
    </w:lvl>
    <w:lvl w:ilvl="4">
      <w:start w:val="1"/>
      <w:numFmt w:val="lowerLetter"/>
      <w:lvlText w:val="%5."/>
      <w:lvlJc w:val="left"/>
      <w:pPr>
        <w:ind w:left="3225" w:hanging="360"/>
      </w:pPr>
      <w:rPr>
        <w:rFonts w:hint="default"/>
      </w:rPr>
    </w:lvl>
    <w:lvl w:ilvl="5">
      <w:start w:val="1"/>
      <w:numFmt w:val="lowerRoman"/>
      <w:lvlText w:val="%6."/>
      <w:lvlJc w:val="right"/>
      <w:pPr>
        <w:ind w:left="3945" w:hanging="180"/>
      </w:pPr>
      <w:rPr>
        <w:rFonts w:hint="default"/>
      </w:rPr>
    </w:lvl>
    <w:lvl w:ilvl="6">
      <w:start w:val="1"/>
      <w:numFmt w:val="decimal"/>
      <w:lvlText w:val="%7."/>
      <w:lvlJc w:val="left"/>
      <w:pPr>
        <w:ind w:left="4665" w:hanging="360"/>
      </w:pPr>
      <w:rPr>
        <w:rFonts w:hint="default"/>
      </w:rPr>
    </w:lvl>
    <w:lvl w:ilvl="7">
      <w:start w:val="1"/>
      <w:numFmt w:val="lowerLetter"/>
      <w:lvlText w:val="%8."/>
      <w:lvlJc w:val="left"/>
      <w:pPr>
        <w:ind w:left="5385" w:hanging="360"/>
      </w:pPr>
      <w:rPr>
        <w:rFonts w:hint="default"/>
      </w:rPr>
    </w:lvl>
    <w:lvl w:ilvl="8">
      <w:start w:val="1"/>
      <w:numFmt w:val="lowerRoman"/>
      <w:lvlText w:val="%9."/>
      <w:lvlJc w:val="right"/>
      <w:pPr>
        <w:ind w:left="6105" w:hanging="180"/>
      </w:pPr>
      <w:rPr>
        <w:rFonts w:hint="default"/>
      </w:rPr>
    </w:lvl>
  </w:abstractNum>
  <w:abstractNum w:abstractNumId="11" w15:restartNumberingAfterBreak="0">
    <w:nsid w:val="380F4A2D"/>
    <w:multiLevelType w:val="hybridMultilevel"/>
    <w:tmpl w:val="E5C441BA"/>
    <w:lvl w:ilvl="0" w:tplc="0CBAB00E">
      <w:start w:val="4"/>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EA4334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D4036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A0D5C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C1EF21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8227D1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22C6CD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0C23ED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5CCFEA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2ED45F6"/>
    <w:multiLevelType w:val="hybridMultilevel"/>
    <w:tmpl w:val="4F525058"/>
    <w:lvl w:ilvl="0" w:tplc="A96E6056">
      <w:start w:val="1"/>
      <w:numFmt w:val="lowerLetter"/>
      <w:lvlText w:val="%1)"/>
      <w:lvlJc w:val="left"/>
      <w:pPr>
        <w:ind w:left="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7BE5C2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ABECCA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130CD4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48EFDC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F10781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FFE5E2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08832C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DF21FB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1075336"/>
    <w:multiLevelType w:val="hybridMultilevel"/>
    <w:tmpl w:val="202827DC"/>
    <w:lvl w:ilvl="0" w:tplc="AD8C5B26">
      <w:start w:val="1"/>
      <w:numFmt w:val="bullet"/>
      <w:lvlText w:val="-"/>
      <w:lvlJc w:val="left"/>
      <w:pPr>
        <w:ind w:left="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FEAA01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B247B2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2BEA34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ECEE15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C8E38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3EC10B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BF8786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E0CF91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6E00D91"/>
    <w:multiLevelType w:val="multilevel"/>
    <w:tmpl w:val="295AAE24"/>
    <w:lvl w:ilvl="0">
      <w:start w:val="10"/>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7CD19DF"/>
    <w:multiLevelType w:val="hybridMultilevel"/>
    <w:tmpl w:val="8F32F324"/>
    <w:lvl w:ilvl="0" w:tplc="3EE0A68C">
      <w:start w:val="2"/>
      <w:numFmt w:val="decimal"/>
      <w:lvlText w:val="%1."/>
      <w:lvlJc w:val="left"/>
      <w:pPr>
        <w:ind w:left="2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BC5A57BA">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CCC09C4C">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1A4F0CA">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F52C3B88">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9D6422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02453DE">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CA0811AE">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B300B1A0">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8562715"/>
    <w:multiLevelType w:val="hybridMultilevel"/>
    <w:tmpl w:val="1FB259DC"/>
    <w:lvl w:ilvl="0" w:tplc="CBECABE8">
      <w:start w:val="1"/>
      <w:numFmt w:val="lowerLetter"/>
      <w:lvlText w:val="%1)"/>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E2ADC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3CEE78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ACA5E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CF8FDB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4CA27A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CBA69E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F687F4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25AAD5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9345622"/>
    <w:multiLevelType w:val="multilevel"/>
    <w:tmpl w:val="499AED7E"/>
    <w:lvl w:ilvl="0">
      <w:start w:val="6"/>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4B25738"/>
    <w:multiLevelType w:val="hybridMultilevel"/>
    <w:tmpl w:val="9A36826E"/>
    <w:lvl w:ilvl="0" w:tplc="3814DA5E">
      <w:start w:val="1"/>
      <w:numFmt w:val="lowerLetter"/>
      <w:lvlText w:val="%1)"/>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D300D1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CCEDB2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D64227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53AB87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EC6E09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C064B4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55CE7B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932F75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AF2025C"/>
    <w:multiLevelType w:val="multilevel"/>
    <w:tmpl w:val="870E8CF8"/>
    <w:lvl w:ilvl="0">
      <w:start w:val="11"/>
      <w:numFmt w:val="decimal"/>
      <w:lvlText w:val="%1."/>
      <w:lvlJc w:val="left"/>
      <w:pPr>
        <w:ind w:left="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F7E7499"/>
    <w:multiLevelType w:val="hybridMultilevel"/>
    <w:tmpl w:val="E5E872AE"/>
    <w:lvl w:ilvl="0" w:tplc="0AE41306">
      <w:start w:val="2"/>
      <w:numFmt w:val="lowerLetter"/>
      <w:lvlText w:val="%1)"/>
      <w:lvlJc w:val="left"/>
      <w:pPr>
        <w:ind w:left="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D9E9A2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0B45F6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4C08DD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7C2A91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EA3CD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CF2053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6C48F5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C8479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28774FE"/>
    <w:multiLevelType w:val="hybridMultilevel"/>
    <w:tmpl w:val="011C0FA8"/>
    <w:lvl w:ilvl="0" w:tplc="0D70C49E">
      <w:start w:val="1"/>
      <w:numFmt w:val="lowerLetter"/>
      <w:lvlText w:val="%1)"/>
      <w:lvlJc w:val="left"/>
      <w:pPr>
        <w:ind w:left="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7DE8BB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BC65FB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2BC22D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D021F3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604CD4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6DA10A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7D636C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F80078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B652D57"/>
    <w:multiLevelType w:val="hybridMultilevel"/>
    <w:tmpl w:val="52528CBA"/>
    <w:lvl w:ilvl="0" w:tplc="4DB0CAB6">
      <w:start w:val="13"/>
      <w:numFmt w:val="decimal"/>
      <w:lvlText w:val="%1."/>
      <w:lvlJc w:val="left"/>
      <w:pPr>
        <w:ind w:left="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448B98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9EC9A6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DB4F39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07C081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7286A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86804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40AA86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7DAD4B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56050007">
    <w:abstractNumId w:val="16"/>
  </w:num>
  <w:num w:numId="2" w16cid:durableId="1353729647">
    <w:abstractNumId w:val="13"/>
  </w:num>
  <w:num w:numId="3" w16cid:durableId="656419466">
    <w:abstractNumId w:val="11"/>
  </w:num>
  <w:num w:numId="4" w16cid:durableId="1871216008">
    <w:abstractNumId w:val="0"/>
  </w:num>
  <w:num w:numId="5" w16cid:durableId="405952981">
    <w:abstractNumId w:val="6"/>
  </w:num>
  <w:num w:numId="6" w16cid:durableId="1696804651">
    <w:abstractNumId w:val="20"/>
  </w:num>
  <w:num w:numId="7" w16cid:durableId="1432118243">
    <w:abstractNumId w:val="9"/>
  </w:num>
  <w:num w:numId="8" w16cid:durableId="614218011">
    <w:abstractNumId w:val="3"/>
  </w:num>
  <w:num w:numId="9" w16cid:durableId="1029264082">
    <w:abstractNumId w:val="17"/>
  </w:num>
  <w:num w:numId="10" w16cid:durableId="1717005828">
    <w:abstractNumId w:val="12"/>
  </w:num>
  <w:num w:numId="11" w16cid:durableId="519396895">
    <w:abstractNumId w:val="8"/>
  </w:num>
  <w:num w:numId="12" w16cid:durableId="1229925684">
    <w:abstractNumId w:val="5"/>
  </w:num>
  <w:num w:numId="13" w16cid:durableId="989866326">
    <w:abstractNumId w:val="21"/>
  </w:num>
  <w:num w:numId="14" w16cid:durableId="2026980042">
    <w:abstractNumId w:val="14"/>
  </w:num>
  <w:num w:numId="15" w16cid:durableId="1304233223">
    <w:abstractNumId w:val="19"/>
  </w:num>
  <w:num w:numId="16" w16cid:durableId="1762339365">
    <w:abstractNumId w:val="22"/>
  </w:num>
  <w:num w:numId="17" w16cid:durableId="80299790">
    <w:abstractNumId w:val="18"/>
  </w:num>
  <w:num w:numId="18" w16cid:durableId="965426176">
    <w:abstractNumId w:val="15"/>
  </w:num>
  <w:num w:numId="19" w16cid:durableId="1917780678">
    <w:abstractNumId w:val="4"/>
  </w:num>
  <w:num w:numId="20" w16cid:durableId="500045875">
    <w:abstractNumId w:val="2"/>
  </w:num>
  <w:num w:numId="21" w16cid:durableId="1770739447">
    <w:abstractNumId w:val="1"/>
  </w:num>
  <w:num w:numId="22" w16cid:durableId="1216619360">
    <w:abstractNumId w:val="7"/>
  </w:num>
  <w:num w:numId="23" w16cid:durableId="912786104">
    <w:abstractNumId w:val="10"/>
  </w:num>
  <w:num w:numId="24" w16cid:durableId="498271760">
    <w:abstractNumId w:val="10"/>
    <w:lvlOverride w:ilvl="0">
      <w:lvl w:ilvl="0">
        <w:start w:val="1"/>
        <w:numFmt w:val="decimal"/>
        <w:lvlText w:val="%1."/>
        <w:lvlJc w:val="left"/>
        <w:pPr>
          <w:ind w:left="0" w:firstLine="0"/>
        </w:pPr>
        <w:rPr>
          <w:rFonts w:hint="default"/>
        </w:rPr>
      </w:lvl>
    </w:lvlOverride>
    <w:lvlOverride w:ilvl="1">
      <w:lvl w:ilvl="1">
        <w:start w:val="1"/>
        <w:numFmt w:val="decimal"/>
        <w:suff w:val="space"/>
        <w:lvlText w:val="%1.%2.-"/>
        <w:lvlJc w:val="left"/>
        <w:pPr>
          <w:ind w:left="0" w:firstLine="0"/>
        </w:pPr>
        <w:rPr>
          <w:rFonts w:hint="default"/>
        </w:rPr>
      </w:lvl>
    </w:lvlOverride>
    <w:lvlOverride w:ilvl="2">
      <w:lvl w:ilvl="2">
        <w:start w:val="1"/>
        <w:numFmt w:val="lowerLetter"/>
        <w:suff w:val="space"/>
        <w:lvlText w:val="%3)"/>
        <w:lvlJc w:val="left"/>
        <w:pPr>
          <w:ind w:left="794" w:hanging="227"/>
        </w:pPr>
        <w:rPr>
          <w:rFonts w:hint="default"/>
        </w:rPr>
      </w:lvl>
    </w:lvlOverride>
    <w:lvlOverride w:ilvl="3">
      <w:lvl w:ilvl="3">
        <w:start w:val="1"/>
        <w:numFmt w:val="decimal"/>
        <w:lvlText w:val="%4."/>
        <w:lvlJc w:val="left"/>
        <w:pPr>
          <w:ind w:left="2505" w:hanging="360"/>
        </w:pPr>
        <w:rPr>
          <w:rFonts w:hint="default"/>
        </w:rPr>
      </w:lvl>
    </w:lvlOverride>
    <w:lvlOverride w:ilvl="4">
      <w:lvl w:ilvl="4">
        <w:start w:val="1"/>
        <w:numFmt w:val="lowerLetter"/>
        <w:lvlText w:val="%5."/>
        <w:lvlJc w:val="left"/>
        <w:pPr>
          <w:ind w:left="3225" w:hanging="360"/>
        </w:pPr>
        <w:rPr>
          <w:rFonts w:hint="default"/>
        </w:rPr>
      </w:lvl>
    </w:lvlOverride>
    <w:lvlOverride w:ilvl="5">
      <w:lvl w:ilvl="5">
        <w:start w:val="1"/>
        <w:numFmt w:val="lowerRoman"/>
        <w:lvlText w:val="%6."/>
        <w:lvlJc w:val="right"/>
        <w:pPr>
          <w:ind w:left="3945" w:hanging="180"/>
        </w:pPr>
        <w:rPr>
          <w:rFonts w:hint="default"/>
        </w:rPr>
      </w:lvl>
    </w:lvlOverride>
    <w:lvlOverride w:ilvl="6">
      <w:lvl w:ilvl="6">
        <w:start w:val="1"/>
        <w:numFmt w:val="decimal"/>
        <w:lvlText w:val="%7."/>
        <w:lvlJc w:val="left"/>
        <w:pPr>
          <w:ind w:left="4665" w:hanging="360"/>
        </w:pPr>
        <w:rPr>
          <w:rFonts w:hint="default"/>
        </w:rPr>
      </w:lvl>
    </w:lvlOverride>
    <w:lvlOverride w:ilvl="7">
      <w:lvl w:ilvl="7">
        <w:start w:val="1"/>
        <w:numFmt w:val="lowerLetter"/>
        <w:lvlText w:val="%8."/>
        <w:lvlJc w:val="left"/>
        <w:pPr>
          <w:ind w:left="5385" w:hanging="360"/>
        </w:pPr>
        <w:rPr>
          <w:rFonts w:hint="default"/>
        </w:rPr>
      </w:lvl>
    </w:lvlOverride>
    <w:lvlOverride w:ilvl="8">
      <w:lvl w:ilvl="8">
        <w:start w:val="1"/>
        <w:numFmt w:val="lowerRoman"/>
        <w:lvlText w:val="%9."/>
        <w:lvlJc w:val="right"/>
        <w:pPr>
          <w:ind w:left="6105"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E84"/>
    <w:rsid w:val="00001B4D"/>
    <w:rsid w:val="00024500"/>
    <w:rsid w:val="0003108D"/>
    <w:rsid w:val="000619CB"/>
    <w:rsid w:val="00066EE5"/>
    <w:rsid w:val="000677C7"/>
    <w:rsid w:val="00070250"/>
    <w:rsid w:val="00075453"/>
    <w:rsid w:val="00077E6B"/>
    <w:rsid w:val="0009728D"/>
    <w:rsid w:val="000A1F02"/>
    <w:rsid w:val="000A5A07"/>
    <w:rsid w:val="000B283A"/>
    <w:rsid w:val="000F1B0D"/>
    <w:rsid w:val="000F3500"/>
    <w:rsid w:val="00102C53"/>
    <w:rsid w:val="0010657E"/>
    <w:rsid w:val="00120AFB"/>
    <w:rsid w:val="00130986"/>
    <w:rsid w:val="0014618A"/>
    <w:rsid w:val="00160834"/>
    <w:rsid w:val="0019216C"/>
    <w:rsid w:val="0019445F"/>
    <w:rsid w:val="001A35C1"/>
    <w:rsid w:val="001B09D2"/>
    <w:rsid w:val="001B24D1"/>
    <w:rsid w:val="001B568A"/>
    <w:rsid w:val="001B7327"/>
    <w:rsid w:val="001E028C"/>
    <w:rsid w:val="001E7577"/>
    <w:rsid w:val="0020283D"/>
    <w:rsid w:val="00242218"/>
    <w:rsid w:val="00266B8E"/>
    <w:rsid w:val="00273F9A"/>
    <w:rsid w:val="00274031"/>
    <w:rsid w:val="0028012A"/>
    <w:rsid w:val="00297D6E"/>
    <w:rsid w:val="002B1991"/>
    <w:rsid w:val="002B3415"/>
    <w:rsid w:val="002D310A"/>
    <w:rsid w:val="002D793C"/>
    <w:rsid w:val="002E6282"/>
    <w:rsid w:val="002F403A"/>
    <w:rsid w:val="00310D62"/>
    <w:rsid w:val="00314E20"/>
    <w:rsid w:val="00324828"/>
    <w:rsid w:val="00326DCF"/>
    <w:rsid w:val="00327164"/>
    <w:rsid w:val="003335E4"/>
    <w:rsid w:val="003666A8"/>
    <w:rsid w:val="00372F84"/>
    <w:rsid w:val="0037787B"/>
    <w:rsid w:val="003B2DE2"/>
    <w:rsid w:val="003B3701"/>
    <w:rsid w:val="003B53CF"/>
    <w:rsid w:val="003C30EE"/>
    <w:rsid w:val="003C759B"/>
    <w:rsid w:val="003D25E8"/>
    <w:rsid w:val="003F20C4"/>
    <w:rsid w:val="00405E3B"/>
    <w:rsid w:val="00410588"/>
    <w:rsid w:val="004132C2"/>
    <w:rsid w:val="00421480"/>
    <w:rsid w:val="00422E83"/>
    <w:rsid w:val="00426FF1"/>
    <w:rsid w:val="00436771"/>
    <w:rsid w:val="004467EF"/>
    <w:rsid w:val="004637FD"/>
    <w:rsid w:val="0049449E"/>
    <w:rsid w:val="004A10A0"/>
    <w:rsid w:val="004A2F42"/>
    <w:rsid w:val="004A615B"/>
    <w:rsid w:val="004B4C00"/>
    <w:rsid w:val="004D5BD8"/>
    <w:rsid w:val="004E04AD"/>
    <w:rsid w:val="005002FF"/>
    <w:rsid w:val="00504A59"/>
    <w:rsid w:val="0051021D"/>
    <w:rsid w:val="00523DF3"/>
    <w:rsid w:val="0053091A"/>
    <w:rsid w:val="00532C2B"/>
    <w:rsid w:val="0054253C"/>
    <w:rsid w:val="00544F58"/>
    <w:rsid w:val="00545A09"/>
    <w:rsid w:val="00546B1F"/>
    <w:rsid w:val="00552D3C"/>
    <w:rsid w:val="00555F79"/>
    <w:rsid w:val="00556FD5"/>
    <w:rsid w:val="0056246E"/>
    <w:rsid w:val="005649B9"/>
    <w:rsid w:val="005731DD"/>
    <w:rsid w:val="00576CF9"/>
    <w:rsid w:val="00580941"/>
    <w:rsid w:val="00582ECB"/>
    <w:rsid w:val="00585F44"/>
    <w:rsid w:val="005A0D81"/>
    <w:rsid w:val="005A4325"/>
    <w:rsid w:val="005A6951"/>
    <w:rsid w:val="005C2127"/>
    <w:rsid w:val="005D5441"/>
    <w:rsid w:val="005F21B4"/>
    <w:rsid w:val="005F7232"/>
    <w:rsid w:val="00621C95"/>
    <w:rsid w:val="00625FAD"/>
    <w:rsid w:val="006344BC"/>
    <w:rsid w:val="00642C95"/>
    <w:rsid w:val="006451A6"/>
    <w:rsid w:val="00661D64"/>
    <w:rsid w:val="00663C99"/>
    <w:rsid w:val="00673F60"/>
    <w:rsid w:val="00675E99"/>
    <w:rsid w:val="00680D7B"/>
    <w:rsid w:val="00682115"/>
    <w:rsid w:val="00682C6E"/>
    <w:rsid w:val="00685DF7"/>
    <w:rsid w:val="00686053"/>
    <w:rsid w:val="0068670B"/>
    <w:rsid w:val="006C4C3F"/>
    <w:rsid w:val="006C7B49"/>
    <w:rsid w:val="006D14CC"/>
    <w:rsid w:val="006D2299"/>
    <w:rsid w:val="006E00FC"/>
    <w:rsid w:val="006E76C9"/>
    <w:rsid w:val="006F4DA1"/>
    <w:rsid w:val="00713037"/>
    <w:rsid w:val="0072079B"/>
    <w:rsid w:val="007274C5"/>
    <w:rsid w:val="00730448"/>
    <w:rsid w:val="00736BF9"/>
    <w:rsid w:val="007602CC"/>
    <w:rsid w:val="00765999"/>
    <w:rsid w:val="007A00ED"/>
    <w:rsid w:val="007A458C"/>
    <w:rsid w:val="007B7C1D"/>
    <w:rsid w:val="007C112D"/>
    <w:rsid w:val="007D5444"/>
    <w:rsid w:val="007D5B35"/>
    <w:rsid w:val="007F050E"/>
    <w:rsid w:val="007F463B"/>
    <w:rsid w:val="007F4654"/>
    <w:rsid w:val="007F4743"/>
    <w:rsid w:val="008017A2"/>
    <w:rsid w:val="008062B5"/>
    <w:rsid w:val="008122E5"/>
    <w:rsid w:val="00826F49"/>
    <w:rsid w:val="0084562C"/>
    <w:rsid w:val="00853126"/>
    <w:rsid w:val="00855531"/>
    <w:rsid w:val="00863244"/>
    <w:rsid w:val="00883607"/>
    <w:rsid w:val="008932EB"/>
    <w:rsid w:val="008B10DF"/>
    <w:rsid w:val="008B738C"/>
    <w:rsid w:val="008C0323"/>
    <w:rsid w:val="008C16B6"/>
    <w:rsid w:val="008C24CF"/>
    <w:rsid w:val="008E3541"/>
    <w:rsid w:val="008E6BE3"/>
    <w:rsid w:val="009145D9"/>
    <w:rsid w:val="00963E2F"/>
    <w:rsid w:val="00965F7B"/>
    <w:rsid w:val="00970229"/>
    <w:rsid w:val="0097029A"/>
    <w:rsid w:val="00974A79"/>
    <w:rsid w:val="009A2DD0"/>
    <w:rsid w:val="009A617E"/>
    <w:rsid w:val="009B523B"/>
    <w:rsid w:val="009D0005"/>
    <w:rsid w:val="009D57FB"/>
    <w:rsid w:val="00A015E4"/>
    <w:rsid w:val="00A071BF"/>
    <w:rsid w:val="00A10769"/>
    <w:rsid w:val="00A16EE2"/>
    <w:rsid w:val="00A24628"/>
    <w:rsid w:val="00A30CFB"/>
    <w:rsid w:val="00A5092B"/>
    <w:rsid w:val="00A75976"/>
    <w:rsid w:val="00A83CA9"/>
    <w:rsid w:val="00A92903"/>
    <w:rsid w:val="00AA1243"/>
    <w:rsid w:val="00AD6AA5"/>
    <w:rsid w:val="00AE738A"/>
    <w:rsid w:val="00B22B65"/>
    <w:rsid w:val="00B2409D"/>
    <w:rsid w:val="00B25348"/>
    <w:rsid w:val="00B42054"/>
    <w:rsid w:val="00B4741D"/>
    <w:rsid w:val="00B52CD9"/>
    <w:rsid w:val="00B56034"/>
    <w:rsid w:val="00B5669B"/>
    <w:rsid w:val="00B7783B"/>
    <w:rsid w:val="00B818EA"/>
    <w:rsid w:val="00B83E84"/>
    <w:rsid w:val="00B84BB6"/>
    <w:rsid w:val="00BE1544"/>
    <w:rsid w:val="00BE72E8"/>
    <w:rsid w:val="00C03772"/>
    <w:rsid w:val="00C05969"/>
    <w:rsid w:val="00C10044"/>
    <w:rsid w:val="00C16C5C"/>
    <w:rsid w:val="00C26833"/>
    <w:rsid w:val="00C32741"/>
    <w:rsid w:val="00C570BA"/>
    <w:rsid w:val="00C62F3C"/>
    <w:rsid w:val="00C6686C"/>
    <w:rsid w:val="00C6780F"/>
    <w:rsid w:val="00C849CC"/>
    <w:rsid w:val="00C96222"/>
    <w:rsid w:val="00CB6623"/>
    <w:rsid w:val="00CC32EB"/>
    <w:rsid w:val="00CC7E4E"/>
    <w:rsid w:val="00CE6FF7"/>
    <w:rsid w:val="00CE7739"/>
    <w:rsid w:val="00CF6B0E"/>
    <w:rsid w:val="00D04870"/>
    <w:rsid w:val="00D07014"/>
    <w:rsid w:val="00D10228"/>
    <w:rsid w:val="00D3498C"/>
    <w:rsid w:val="00D45301"/>
    <w:rsid w:val="00D46177"/>
    <w:rsid w:val="00D470C8"/>
    <w:rsid w:val="00D61697"/>
    <w:rsid w:val="00D7055C"/>
    <w:rsid w:val="00D75DE3"/>
    <w:rsid w:val="00D90460"/>
    <w:rsid w:val="00D90E27"/>
    <w:rsid w:val="00D943F5"/>
    <w:rsid w:val="00D94688"/>
    <w:rsid w:val="00DB1A5D"/>
    <w:rsid w:val="00DC3CD9"/>
    <w:rsid w:val="00DD0F61"/>
    <w:rsid w:val="00DD309C"/>
    <w:rsid w:val="00DE1A7B"/>
    <w:rsid w:val="00E032E3"/>
    <w:rsid w:val="00E04E7E"/>
    <w:rsid w:val="00E10C66"/>
    <w:rsid w:val="00E1234E"/>
    <w:rsid w:val="00E13574"/>
    <w:rsid w:val="00E42763"/>
    <w:rsid w:val="00E4324D"/>
    <w:rsid w:val="00E61CAE"/>
    <w:rsid w:val="00E716BD"/>
    <w:rsid w:val="00E721BB"/>
    <w:rsid w:val="00E76DD3"/>
    <w:rsid w:val="00E91751"/>
    <w:rsid w:val="00EB0299"/>
    <w:rsid w:val="00EB3F28"/>
    <w:rsid w:val="00EB735F"/>
    <w:rsid w:val="00EF1D6F"/>
    <w:rsid w:val="00F250D0"/>
    <w:rsid w:val="00F80A9A"/>
    <w:rsid w:val="00F863E7"/>
    <w:rsid w:val="00F9455C"/>
    <w:rsid w:val="00FB1282"/>
    <w:rsid w:val="00FC39F4"/>
    <w:rsid w:val="00FC7D0D"/>
    <w:rsid w:val="00FF09B6"/>
    <w:rsid w:val="00FF2D05"/>
    <w:rsid w:val="00FF3B86"/>
    <w:rsid w:val="00FF4663"/>
    <w:rsid w:val="00FF71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2814E"/>
  <w15:docId w15:val="{940034C2-09DC-46AD-B4BE-331810D42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9" w:lineRule="auto"/>
      <w:ind w:left="10" w:right="2440" w:hanging="10"/>
      <w:jc w:val="both"/>
    </w:pPr>
    <w:rPr>
      <w:rFonts w:ascii="Times New Roman" w:eastAsia="Times New Roman" w:hAnsi="Times New Roman" w:cs="Times New Roman"/>
      <w:color w:val="000000"/>
      <w:sz w:val="22"/>
    </w:rPr>
  </w:style>
  <w:style w:type="paragraph" w:styleId="Ttulo1">
    <w:name w:val="heading 1"/>
    <w:next w:val="Normal"/>
    <w:link w:val="Ttulo1Car"/>
    <w:uiPriority w:val="9"/>
    <w:qFormat/>
    <w:pPr>
      <w:keepNext/>
      <w:keepLines/>
      <w:spacing w:after="212" w:line="265" w:lineRule="auto"/>
      <w:ind w:left="10" w:hanging="10"/>
      <w:jc w:val="center"/>
      <w:outlineLvl w:val="0"/>
    </w:pPr>
    <w:rPr>
      <w:rFonts w:ascii="Times New Roman" w:eastAsia="Times New Roman" w:hAnsi="Times New Roman" w:cs="Times New Roman"/>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vnculo">
    <w:name w:val="Hyperlink"/>
    <w:basedOn w:val="Fuentedeprrafopredeter"/>
    <w:uiPriority w:val="99"/>
    <w:unhideWhenUsed/>
    <w:rsid w:val="0014618A"/>
    <w:rPr>
      <w:color w:val="467886" w:themeColor="hyperlink"/>
      <w:u w:val="single"/>
    </w:rPr>
  </w:style>
  <w:style w:type="character" w:styleId="Mencinsinresolver">
    <w:name w:val="Unresolved Mention"/>
    <w:basedOn w:val="Fuentedeprrafopredeter"/>
    <w:uiPriority w:val="99"/>
    <w:semiHidden/>
    <w:unhideWhenUsed/>
    <w:rsid w:val="0014618A"/>
    <w:rPr>
      <w:color w:val="605E5C"/>
      <w:shd w:val="clear" w:color="auto" w:fill="E1DFDD"/>
    </w:rPr>
  </w:style>
  <w:style w:type="paragraph" w:styleId="Prrafodelista">
    <w:name w:val="List Paragraph"/>
    <w:basedOn w:val="Normal"/>
    <w:uiPriority w:val="34"/>
    <w:qFormat/>
    <w:rsid w:val="00DC3CD9"/>
    <w:pPr>
      <w:ind w:left="720"/>
      <w:contextualSpacing/>
    </w:pPr>
    <w:rPr>
      <w:kern w:val="0"/>
      <w:szCs w:val="22"/>
      <w14:ligatures w14:val="none"/>
    </w:rPr>
  </w:style>
  <w:style w:type="paragraph" w:styleId="Encabezado">
    <w:name w:val="header"/>
    <w:basedOn w:val="Normal"/>
    <w:link w:val="EncabezadoCar"/>
    <w:uiPriority w:val="99"/>
    <w:semiHidden/>
    <w:unhideWhenUsed/>
    <w:rsid w:val="00DC3CD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DC3CD9"/>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9" Type="http://schemas.openxmlformats.org/officeDocument/2006/relationships/image" Target="media/image20.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9" Type="http://schemas.openxmlformats.org/officeDocument/2006/relationships/image" Target="media/image2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20F58-0246-47FA-A64B-5BE4A8627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10</Pages>
  <Words>3401</Words>
  <Characters>18707</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DECRETO FORAL</vt:lpstr>
    </vt:vector>
  </TitlesOfParts>
  <Company/>
  <LinksUpToDate>false</LinksUpToDate>
  <CharactersWithSpaces>22064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 FORAL</dc:title>
  <dc:subject/>
  <dc:creator>amgonzalez</dc:creator>
  <cp:keywords/>
  <cp:lastModifiedBy>Martinez Alonso, Sheila</cp:lastModifiedBy>
  <cp:revision>28</cp:revision>
  <cp:lastPrinted>2025-01-29T09:07:00Z</cp:lastPrinted>
  <dcterms:created xsi:type="dcterms:W3CDTF">2025-04-07T12:14:00Z</dcterms:created>
  <dcterms:modified xsi:type="dcterms:W3CDTF">2026-09-07T12:57:00Z</dcterms:modified>
</cp:coreProperties>
</file>