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Pr="005E1977" w:rsidRDefault="005F0540">
      <w:pPr>
        <w:rPr>
          <w:b/>
          <w:sz w:val="24"/>
          <w:szCs w:val="24"/>
        </w:rPr>
        <w:sectPr w:rsidR="005F0540" w:rsidRPr="005E1977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2016DD0F" w14:textId="55DCF67A" w:rsidR="00664835" w:rsidRPr="005E1977" w:rsidRDefault="005E0C06" w:rsidP="00664835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caps/>
          <w:sz w:val="24"/>
          <w:szCs w:val="24"/>
          <w:lang w:eastAsia="en-US"/>
        </w:rPr>
      </w:pPr>
      <w:r w:rsidRPr="005E1977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5E1977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664835"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proyecto </w:t>
      </w:r>
      <w:r w:rsidR="00664835" w:rsidRPr="005E1977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de</w:t>
      </w:r>
      <w:r w:rsidR="00664835"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 </w:t>
      </w:r>
      <w:r w:rsidR="00ED00FF" w:rsidRPr="005E1977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modificación del Decreto Foral 111/2008, de 23 de diciembre, que regula la obligación de informar sobre cuentas, operaciones y activos financieros, así como sobre bienes y derechos situados en el extranjero</w:t>
      </w:r>
    </w:p>
    <w:p w14:paraId="6D6860B3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1D393488" w:rsidR="005E0C06" w:rsidRPr="005E1977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De</w:t>
      </w:r>
      <w:r w:rsidRPr="005E1977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</w:t>
      </w:r>
      <w:r w:rsidRPr="005E1977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lo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dispuesto</w:t>
      </w:r>
      <w:r w:rsidRPr="005E1977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5E1977">
        <w:rPr>
          <w:rFonts w:eastAsia="Calibri"/>
          <w:sz w:val="24"/>
          <w:szCs w:val="24"/>
          <w:lang w:eastAsia="en-US"/>
        </w:rPr>
        <w:t xml:space="preserve">9 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fin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mejorar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 ciudadanía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1"/>
          <w:sz w:val="24"/>
          <w:szCs w:val="24"/>
          <w:lang w:eastAsia="en-US"/>
        </w:rPr>
        <w:t>se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sustancia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una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consulta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pública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previa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proyecto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refiere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recabe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opinión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 ciudadanía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las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5E1977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más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5E1977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afectados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por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futura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norma</w:t>
      </w:r>
      <w:r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acerca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5E1977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que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se</w:t>
      </w:r>
      <w:r w:rsidR="005E0C06"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solucionar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la</w:t>
      </w:r>
      <w:r w:rsidR="005E0C06"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5E197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2"/>
          <w:sz w:val="24"/>
          <w:szCs w:val="24"/>
          <w:lang w:eastAsia="en-US"/>
        </w:rPr>
        <w:t>la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necesidad</w:t>
      </w:r>
      <w:r w:rsidRPr="005E1977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oportunidad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su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5E197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los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objetivos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5E1977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2"/>
          <w:sz w:val="24"/>
          <w:szCs w:val="24"/>
          <w:lang w:eastAsia="en-US"/>
        </w:rPr>
        <w:t>las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posibles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soluciones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no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5E1977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5E1977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47D014C7" w14:textId="568AF291" w:rsidR="00A770E0" w:rsidRPr="005E1977" w:rsidRDefault="005E0C06" w:rsidP="00A770E0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pretende </w:t>
      </w:r>
      <w:r w:rsidR="00A770E0" w:rsidRPr="005E1977">
        <w:rPr>
          <w:rFonts w:eastAsia="Calibri"/>
          <w:sz w:val="24"/>
          <w:szCs w:val="24"/>
          <w:lang w:eastAsia="en-US"/>
        </w:rPr>
        <w:t>modificar determinadas disposiciones relativas a obligaciones de información.</w:t>
      </w:r>
    </w:p>
    <w:p w14:paraId="73102BAD" w14:textId="77777777" w:rsidR="005E0C06" w:rsidRPr="005E1977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61910DF1" w:rsidR="005E0C06" w:rsidRPr="005E1977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Los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así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lo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consideren</w:t>
      </w:r>
      <w:r w:rsidRPr="005E1977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pueden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hacer</w:t>
      </w:r>
      <w:r w:rsidRPr="005E1977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5E1977">
        <w:rPr>
          <w:rFonts w:eastAsia="Calibri"/>
          <w:sz w:val="24"/>
          <w:szCs w:val="24"/>
          <w:lang w:eastAsia="en-US"/>
        </w:rPr>
        <w:t xml:space="preserve">sus </w:t>
      </w:r>
      <w:r w:rsidRPr="005E1977">
        <w:rPr>
          <w:rFonts w:eastAsia="Calibri"/>
          <w:spacing w:val="-1"/>
          <w:sz w:val="24"/>
          <w:szCs w:val="24"/>
          <w:lang w:eastAsia="en-US"/>
        </w:rPr>
        <w:t>opiniones</w:t>
      </w:r>
      <w:r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sobre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 xml:space="preserve">los </w:t>
      </w:r>
      <w:r w:rsidRPr="005E1977">
        <w:rPr>
          <w:rFonts w:eastAsia="Calibri"/>
          <w:spacing w:val="-1"/>
          <w:sz w:val="24"/>
          <w:szCs w:val="24"/>
          <w:lang w:eastAsia="en-US"/>
        </w:rPr>
        <w:t>aspectos</w:t>
      </w:r>
      <w:r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planteados</w:t>
      </w:r>
      <w:r w:rsidRPr="005E1977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z w:val="24"/>
          <w:szCs w:val="24"/>
          <w:lang w:eastAsia="en-US"/>
        </w:rPr>
        <w:t xml:space="preserve"> </w:t>
      </w:r>
      <w:r w:rsidR="005E1977">
        <w:rPr>
          <w:rFonts w:eastAsia="Calibri"/>
          <w:sz w:val="24"/>
          <w:szCs w:val="24"/>
          <w:lang w:eastAsia="en-US"/>
        </w:rPr>
        <w:t>27 de febrero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,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través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buzón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correo</w:t>
      </w:r>
      <w:r w:rsidRPr="005E1977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electróni</w:t>
      </w:r>
      <w:r w:rsidRPr="005E1977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5E1977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5E1977">
        <w:rPr>
          <w:rFonts w:eastAsia="Calibri"/>
          <w:sz w:val="24"/>
          <w:szCs w:val="24"/>
          <w:lang w:eastAsia="en-US"/>
        </w:rPr>
        <w:t>”</w:t>
      </w:r>
    </w:p>
    <w:p w14:paraId="186D8787" w14:textId="77777777" w:rsidR="00245CAB" w:rsidRPr="005E1977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664835" w:rsidRPr="005E1977" w14:paraId="3FA044A3" w14:textId="77777777" w:rsidTr="00A770E0">
        <w:trPr>
          <w:trHeight w:val="1012"/>
        </w:trPr>
        <w:tc>
          <w:tcPr>
            <w:tcW w:w="4375" w:type="dxa"/>
            <w:shd w:val="clear" w:color="auto" w:fill="auto"/>
          </w:tcPr>
          <w:p w14:paraId="0746C7C8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3B2B2F73" w14:textId="77777777" w:rsidR="00A770E0" w:rsidRPr="005E1977" w:rsidRDefault="00EB73DF" w:rsidP="00A770E0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1977">
              <w:rPr>
                <w:color w:val="000000"/>
                <w:sz w:val="24"/>
                <w:szCs w:val="24"/>
              </w:rPr>
              <w:t xml:space="preserve">El presente Decreto Foral introduce modificaciones en el </w:t>
            </w:r>
            <w:r w:rsidR="006E3D9C" w:rsidRPr="005E1977">
              <w:rPr>
                <w:color w:val="000000"/>
                <w:sz w:val="24"/>
                <w:szCs w:val="24"/>
              </w:rPr>
              <w:t>Decreto Foral 111/2008, de 23 de diciembre, que regula la obligación de informar sobre cuentas, operaciones y activos financieros, así como sobre bienes y derechos situados en el extranjero</w:t>
            </w:r>
            <w:r w:rsidRPr="005E1977">
              <w:rPr>
                <w:color w:val="000000"/>
                <w:sz w:val="24"/>
                <w:szCs w:val="24"/>
              </w:rPr>
              <w:t>, en relación con determinadas obligaciones</w:t>
            </w:r>
            <w:r w:rsidR="00A770E0" w:rsidRPr="005E1977">
              <w:rPr>
                <w:color w:val="000000"/>
                <w:sz w:val="24"/>
                <w:szCs w:val="24"/>
              </w:rPr>
              <w:t xml:space="preserve"> </w:t>
            </w:r>
            <w:r w:rsidRPr="005E1977">
              <w:rPr>
                <w:color w:val="000000"/>
                <w:sz w:val="24"/>
                <w:szCs w:val="24"/>
              </w:rPr>
              <w:t>de suministro de información de entidades financieras</w:t>
            </w:r>
            <w:r w:rsidR="00A770E0" w:rsidRPr="005E1977">
              <w:rPr>
                <w:color w:val="000000"/>
                <w:sz w:val="24"/>
                <w:szCs w:val="24"/>
              </w:rPr>
              <w:t>.</w:t>
            </w:r>
          </w:p>
          <w:p w14:paraId="416AF75B" w14:textId="146A9024" w:rsidR="00A770E0" w:rsidRPr="005E1977" w:rsidRDefault="00A770E0" w:rsidP="00A770E0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64835" w:rsidRPr="005E1977" w14:paraId="7FF9C273" w14:textId="77777777" w:rsidTr="005D7999">
        <w:trPr>
          <w:trHeight w:val="3140"/>
        </w:trPr>
        <w:tc>
          <w:tcPr>
            <w:tcW w:w="4375" w:type="dxa"/>
            <w:shd w:val="clear" w:color="auto" w:fill="auto"/>
          </w:tcPr>
          <w:p w14:paraId="0275EE3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PROBLEMAS QUE SE PRETENDE SOLUCIONAR</w:t>
            </w:r>
          </w:p>
          <w:p w14:paraId="01418FE0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B394591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6F2E9732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C929F65" w14:textId="07510476" w:rsidR="00664835" w:rsidRPr="005E1977" w:rsidRDefault="008E6C2F" w:rsidP="0026305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5E1977">
              <w:rPr>
                <w:rFonts w:eastAsia="Calibri"/>
                <w:sz w:val="24"/>
                <w:szCs w:val="24"/>
                <w:lang w:val="es-ES_tradnl" w:eastAsia="en-US"/>
              </w:rPr>
              <w:t>La creciente prestación de servicios y medios de pago en el Estado, tanto por entidades españolas como por entidades radicadas en otros países, sin obligación, conforme a la normativa aplicable, de tener presencia física en territorio español, hace necesario evitar que dichas entidades queden al margen de las obligaciones de suministro de información a la Administración tributaria</w:t>
            </w:r>
            <w:r w:rsidR="00263059" w:rsidRPr="005E1977">
              <w:rPr>
                <w:rFonts w:eastAsia="Calibri"/>
                <w:sz w:val="24"/>
                <w:szCs w:val="24"/>
                <w:lang w:val="es-ES_tradnl" w:eastAsia="en-US"/>
              </w:rPr>
              <w:t>.</w:t>
            </w:r>
          </w:p>
        </w:tc>
      </w:tr>
      <w:tr w:rsidR="00664835" w:rsidRPr="005E1977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6E5F4F2A" w14:textId="00E1AFCF" w:rsidR="00A770E0" w:rsidRPr="005E1977" w:rsidRDefault="008E6C2F" w:rsidP="008E6C2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sz w:val="24"/>
                <w:szCs w:val="24"/>
                <w:lang w:val="es-ES_tradnl" w:eastAsia="en-US"/>
              </w:rPr>
              <w:t>Para evitar que dichas entidades queden al margen de las obligaciones de suministro de información a la Administración tributaria es</w:t>
            </w:r>
            <w:r w:rsidR="00231F82" w:rsidRPr="005E1977">
              <w:rPr>
                <w:rFonts w:eastAsia="Calibri"/>
                <w:sz w:val="24"/>
                <w:szCs w:val="24"/>
                <w:lang w:val="es-ES_tradnl" w:eastAsia="en-US"/>
              </w:rPr>
              <w:t xml:space="preserve"> necesario revisar las obligaciones informativas reguladas </w:t>
            </w:r>
            <w:r w:rsidR="00AD4900" w:rsidRPr="005E1977">
              <w:rPr>
                <w:rFonts w:eastAsia="Calibri"/>
                <w:sz w:val="24"/>
                <w:szCs w:val="24"/>
                <w:lang w:val="es-ES_tradnl" w:eastAsia="en-US"/>
              </w:rPr>
              <w:t xml:space="preserve">en </w:t>
            </w:r>
            <w:r w:rsidR="00231F82" w:rsidRPr="005E1977">
              <w:rPr>
                <w:rFonts w:eastAsia="Calibri"/>
                <w:bCs/>
                <w:sz w:val="24"/>
                <w:szCs w:val="24"/>
                <w:lang w:eastAsia="en-US"/>
              </w:rPr>
              <w:t>el Decreto Foral 111/2008, de 23 de diciembre, que regula la obligación de informar sobre cuentas, operaciones y activos financieros, así como sobre bienes y derechos situados en el extranjero.</w:t>
            </w:r>
          </w:p>
          <w:p w14:paraId="3F475A12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664835" w:rsidRPr="005E1977" w14:paraId="6C742B75" w14:textId="77777777" w:rsidTr="005D7999">
        <w:tc>
          <w:tcPr>
            <w:tcW w:w="4375" w:type="dxa"/>
            <w:shd w:val="clear" w:color="auto" w:fill="auto"/>
          </w:tcPr>
          <w:p w14:paraId="5D6275AC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0156C16A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C16762B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FC79A79" w14:textId="7846B83A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184C3583" w14:textId="54D85EE3" w:rsidR="00560549" w:rsidRPr="005E1977" w:rsidRDefault="00B46088" w:rsidP="00445C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1977">
              <w:rPr>
                <w:rFonts w:ascii="Times New Roman" w:hAnsi="Times New Roman" w:cs="Times New Roman"/>
              </w:rPr>
              <w:t>Modificar las obligaciones de suministro de información</w:t>
            </w:r>
            <w:r w:rsidR="00AD4900" w:rsidRPr="005E1977">
              <w:rPr>
                <w:rFonts w:ascii="Times New Roman" w:hAnsi="Times New Roman" w:cs="Times New Roman"/>
              </w:rPr>
              <w:t>,</w:t>
            </w:r>
            <w:r w:rsidRPr="005E1977">
              <w:rPr>
                <w:rFonts w:ascii="Times New Roman" w:hAnsi="Times New Roman" w:cs="Times New Roman"/>
              </w:rPr>
              <w:t xml:space="preserve"> con el objetivo, por una parte, de que la Administración tributaria disponga de información en un período temporal más cercano a la realización de las operaciones a declarar, a los efectos de mejorar las actuaciones recaudatorias, la lucha contra el fraude y los servicios de asistencia a los contribuyentes y, por otra, obtener información procedente de los nuevos sujetos que operan en el mercado financiero, como las entidades de pago y las entidades de dinero electrónico, en relación con las cuentas que gestionan dichas </w:t>
            </w:r>
            <w:r w:rsidRPr="005E1977">
              <w:rPr>
                <w:rFonts w:ascii="Times New Roman" w:hAnsi="Times New Roman" w:cs="Times New Roman"/>
              </w:rPr>
              <w:lastRenderedPageBreak/>
              <w:t>entidades, como las cuentas de pago, así como de los sistemas de cobros por profesionales y empresarios mediante la utilización de otros tipos de tarjetas, además de las débito o crédito, o mediante procedimientos de pago asociados a un número de teléfono móvil. De igual forma, extender las citadas obligaciones informativas a las entidades extranjeras que realicen las actividades a que se refieren los citados artículos en España con o sin establecimiento en territorio español.</w:t>
            </w:r>
          </w:p>
          <w:p w14:paraId="3D3A7D72" w14:textId="4184A21E" w:rsidR="00B46088" w:rsidRPr="005E1977" w:rsidRDefault="00B46088" w:rsidP="00445CF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5E1977">
              <w:rPr>
                <w:rFonts w:ascii="Times New Roman" w:hAnsi="Times New Roman" w:cs="Times New Roman"/>
              </w:rPr>
              <w:t xml:space="preserve"> </w:t>
            </w:r>
          </w:p>
          <w:p w14:paraId="5ECD977E" w14:textId="6D223857" w:rsidR="00B46088" w:rsidRPr="005E1977" w:rsidRDefault="00560549" w:rsidP="00445C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1977">
              <w:rPr>
                <w:rFonts w:ascii="Times New Roman" w:hAnsi="Times New Roman" w:cs="Times New Roman"/>
              </w:rPr>
              <w:t>A</w:t>
            </w:r>
            <w:r w:rsidR="00B46088" w:rsidRPr="005E1977">
              <w:rPr>
                <w:rFonts w:ascii="Times New Roman" w:hAnsi="Times New Roman" w:cs="Times New Roman"/>
              </w:rPr>
              <w:t xml:space="preserve">ñadir una nueva obligación informativa de carácter anual, con el objetivo de obtener información relativa a la utilización de todo tipo de tarjetas por sus usuarios, ya estén o no asociadas a cuentas bancarias. </w:t>
            </w:r>
          </w:p>
          <w:p w14:paraId="1B677EB2" w14:textId="77777777" w:rsidR="00664835" w:rsidRPr="005E1977" w:rsidRDefault="00664835" w:rsidP="00445C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664835" w:rsidRPr="005E1977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2AB166B3" w14:textId="60428987" w:rsidR="006E3D9C" w:rsidRPr="005E1977" w:rsidRDefault="006E3D9C" w:rsidP="006E3D9C">
            <w:pPr>
              <w:jc w:val="both"/>
              <w:rPr>
                <w:color w:val="000000"/>
                <w:sz w:val="24"/>
                <w:szCs w:val="24"/>
              </w:rPr>
            </w:pPr>
            <w:r w:rsidRPr="005E1977">
              <w:rPr>
                <w:color w:val="000000"/>
                <w:sz w:val="24"/>
                <w:szCs w:val="24"/>
              </w:rPr>
              <w:t>Las modificaciones que pretenden llevarse a cabo en virtud del presente Proyecto de Decreto Foral no se pueden efectuar mediante otras figuras normativos alternativas, por lo que no se han considerado otras alternativas.</w:t>
            </w:r>
          </w:p>
          <w:p w14:paraId="06FBA2C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DA6478" w:rsidRPr="005E1977" w14:paraId="4A5FE70D" w14:textId="77777777" w:rsidTr="005D7999">
        <w:tc>
          <w:tcPr>
            <w:tcW w:w="4375" w:type="dxa"/>
            <w:shd w:val="clear" w:color="auto" w:fill="auto"/>
          </w:tcPr>
          <w:p w14:paraId="190BB6E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  <w:p w14:paraId="29B034CD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0D6742FB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7175B0FC" w14:textId="67E6696C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018EC8E9" w14:textId="3BDCA26A" w:rsidR="006B091F" w:rsidRPr="005E1977" w:rsidRDefault="006B091F" w:rsidP="006B091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1977">
              <w:rPr>
                <w:color w:val="000000"/>
                <w:sz w:val="24"/>
                <w:szCs w:val="24"/>
              </w:rPr>
              <w:t xml:space="preserve">Las modificaciones </w:t>
            </w:r>
            <w:r w:rsidR="00231F82" w:rsidRPr="005E1977">
              <w:rPr>
                <w:color w:val="000000"/>
                <w:sz w:val="24"/>
                <w:szCs w:val="24"/>
              </w:rPr>
              <w:t xml:space="preserve">recogidas en el </w:t>
            </w:r>
            <w:r w:rsidRPr="005E1977">
              <w:rPr>
                <w:color w:val="000000"/>
                <w:sz w:val="24"/>
                <w:szCs w:val="24"/>
              </w:rPr>
              <w:t>presente Proyecto de Decreto Foral se dirigen principalmente a las entidades de crédito, a las demás entidades que, de acuerdo con la normativa vigente, se dediquen al tráfico bancario o crediticio,</w:t>
            </w:r>
            <w:r w:rsidR="00231F82" w:rsidRPr="005E1977">
              <w:rPr>
                <w:color w:val="000000"/>
                <w:sz w:val="24"/>
                <w:szCs w:val="24"/>
              </w:rPr>
              <w:t xml:space="preserve"> también</w:t>
            </w:r>
            <w:r w:rsidRPr="005E1977">
              <w:rPr>
                <w:color w:val="000000"/>
                <w:sz w:val="24"/>
                <w:szCs w:val="24"/>
              </w:rPr>
              <w:t xml:space="preserve"> a las entidades de dinero electrónico y a las entidades de pago, así como a las sucursales en España de entidades extranjeras, así como a dichas entidades cuando operen en España en régimen de libre prestación de servicios, en este último caso, respecto de los titulares o </w:t>
            </w:r>
            <w:r w:rsidRPr="005E1977">
              <w:rPr>
                <w:color w:val="000000"/>
                <w:sz w:val="24"/>
                <w:szCs w:val="24"/>
              </w:rPr>
              <w:lastRenderedPageBreak/>
              <w:t>usuarios de las cuentas que sean personas o entidades residentes o establecidas en España o cuando los servicios objeto de suministro informativo en virtud de los mencionados preceptos se presten a destinatarios radicados en España.</w:t>
            </w:r>
          </w:p>
          <w:p w14:paraId="4B139C4C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6A68B5B9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5E1977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pt" fillcolor="window">
                <v:imagedata r:id="rId1" o:title=""/>
              </v:shape>
              <o:OLEObject Type="Embed" ProgID="Word.Picture.8" ShapeID="_x0000_i1025" DrawAspect="Content" ObjectID="_1832740213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pt;height:56pt" fillcolor="window">
                            <v:imagedata r:id="rId1" o:title=""/>
                          </v:shape>
                          <o:OLEObject Type="Embed" ProgID="Word.Picture.8" ShapeID="_x0000_i1026" DrawAspect="Content" ObjectID="_1832740214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64D0"/>
    <w:rsid w:val="00043342"/>
    <w:rsid w:val="00045FFB"/>
    <w:rsid w:val="00051C6F"/>
    <w:rsid w:val="00071A65"/>
    <w:rsid w:val="000773CD"/>
    <w:rsid w:val="00095946"/>
    <w:rsid w:val="000B1E78"/>
    <w:rsid w:val="000C4358"/>
    <w:rsid w:val="000F6E11"/>
    <w:rsid w:val="000F7760"/>
    <w:rsid w:val="00102676"/>
    <w:rsid w:val="00140A99"/>
    <w:rsid w:val="00163740"/>
    <w:rsid w:val="001655F5"/>
    <w:rsid w:val="001657B2"/>
    <w:rsid w:val="0016665D"/>
    <w:rsid w:val="001712A8"/>
    <w:rsid w:val="00176816"/>
    <w:rsid w:val="001A50BB"/>
    <w:rsid w:val="001A7755"/>
    <w:rsid w:val="001E2C55"/>
    <w:rsid w:val="001F12C8"/>
    <w:rsid w:val="001F4DBA"/>
    <w:rsid w:val="00203B45"/>
    <w:rsid w:val="002042DC"/>
    <w:rsid w:val="002128E0"/>
    <w:rsid w:val="00220179"/>
    <w:rsid w:val="00222A08"/>
    <w:rsid w:val="00231F82"/>
    <w:rsid w:val="002329CC"/>
    <w:rsid w:val="00236AF2"/>
    <w:rsid w:val="00240A1A"/>
    <w:rsid w:val="00245CAB"/>
    <w:rsid w:val="00257A0B"/>
    <w:rsid w:val="00263059"/>
    <w:rsid w:val="00275CC7"/>
    <w:rsid w:val="00277194"/>
    <w:rsid w:val="002840EB"/>
    <w:rsid w:val="0029711A"/>
    <w:rsid w:val="002A3850"/>
    <w:rsid w:val="002A71AF"/>
    <w:rsid w:val="002C08CA"/>
    <w:rsid w:val="002D7C8E"/>
    <w:rsid w:val="002F49CD"/>
    <w:rsid w:val="00306718"/>
    <w:rsid w:val="00314E1F"/>
    <w:rsid w:val="003263B5"/>
    <w:rsid w:val="00334B26"/>
    <w:rsid w:val="0037275F"/>
    <w:rsid w:val="003B3F57"/>
    <w:rsid w:val="003E23C9"/>
    <w:rsid w:val="003F0EE4"/>
    <w:rsid w:val="003F691A"/>
    <w:rsid w:val="004112CB"/>
    <w:rsid w:val="00416524"/>
    <w:rsid w:val="004227E4"/>
    <w:rsid w:val="00436C8F"/>
    <w:rsid w:val="0044511A"/>
    <w:rsid w:val="00445CFF"/>
    <w:rsid w:val="0046671D"/>
    <w:rsid w:val="0047461D"/>
    <w:rsid w:val="004812CB"/>
    <w:rsid w:val="004A20AB"/>
    <w:rsid w:val="004C6077"/>
    <w:rsid w:val="004C6FBE"/>
    <w:rsid w:val="004F59D6"/>
    <w:rsid w:val="005173C9"/>
    <w:rsid w:val="00560549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1977"/>
    <w:rsid w:val="005E5A94"/>
    <w:rsid w:val="005E5CB7"/>
    <w:rsid w:val="005F0540"/>
    <w:rsid w:val="00610588"/>
    <w:rsid w:val="00612BAA"/>
    <w:rsid w:val="0062095D"/>
    <w:rsid w:val="00660DEF"/>
    <w:rsid w:val="00664835"/>
    <w:rsid w:val="006A27D7"/>
    <w:rsid w:val="006B0152"/>
    <w:rsid w:val="006B091F"/>
    <w:rsid w:val="006C6D65"/>
    <w:rsid w:val="006D4B0D"/>
    <w:rsid w:val="006D69B3"/>
    <w:rsid w:val="006E3D9C"/>
    <w:rsid w:val="006E4573"/>
    <w:rsid w:val="006E4E1C"/>
    <w:rsid w:val="006E78AF"/>
    <w:rsid w:val="006F5D40"/>
    <w:rsid w:val="007209D6"/>
    <w:rsid w:val="00742272"/>
    <w:rsid w:val="007467E8"/>
    <w:rsid w:val="00757F23"/>
    <w:rsid w:val="00763777"/>
    <w:rsid w:val="00767A45"/>
    <w:rsid w:val="00772A49"/>
    <w:rsid w:val="007B00F7"/>
    <w:rsid w:val="007B1FD8"/>
    <w:rsid w:val="007B776B"/>
    <w:rsid w:val="007C2B1B"/>
    <w:rsid w:val="007D226A"/>
    <w:rsid w:val="007F3A96"/>
    <w:rsid w:val="008025B6"/>
    <w:rsid w:val="0080301E"/>
    <w:rsid w:val="00805F88"/>
    <w:rsid w:val="00826B45"/>
    <w:rsid w:val="00847510"/>
    <w:rsid w:val="008612AB"/>
    <w:rsid w:val="008738D3"/>
    <w:rsid w:val="00874D5F"/>
    <w:rsid w:val="008808D4"/>
    <w:rsid w:val="008A0829"/>
    <w:rsid w:val="008A0E00"/>
    <w:rsid w:val="008A43F2"/>
    <w:rsid w:val="008A58D3"/>
    <w:rsid w:val="008B636C"/>
    <w:rsid w:val="008C3415"/>
    <w:rsid w:val="008D2BAB"/>
    <w:rsid w:val="008D4298"/>
    <w:rsid w:val="008E6C2F"/>
    <w:rsid w:val="008F46B8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725D3"/>
    <w:rsid w:val="00A770E0"/>
    <w:rsid w:val="00A8133A"/>
    <w:rsid w:val="00A82A92"/>
    <w:rsid w:val="00A96600"/>
    <w:rsid w:val="00AB1BE8"/>
    <w:rsid w:val="00AB3B40"/>
    <w:rsid w:val="00AB5433"/>
    <w:rsid w:val="00AC3266"/>
    <w:rsid w:val="00AD4900"/>
    <w:rsid w:val="00AF1DAF"/>
    <w:rsid w:val="00B035B1"/>
    <w:rsid w:val="00B14CCC"/>
    <w:rsid w:val="00B23549"/>
    <w:rsid w:val="00B361EA"/>
    <w:rsid w:val="00B46088"/>
    <w:rsid w:val="00B66C27"/>
    <w:rsid w:val="00B71129"/>
    <w:rsid w:val="00B72E13"/>
    <w:rsid w:val="00B76C90"/>
    <w:rsid w:val="00B83F9F"/>
    <w:rsid w:val="00B850B1"/>
    <w:rsid w:val="00B9378B"/>
    <w:rsid w:val="00BC6DAE"/>
    <w:rsid w:val="00BD33E6"/>
    <w:rsid w:val="00BE18F1"/>
    <w:rsid w:val="00C06A8E"/>
    <w:rsid w:val="00C20325"/>
    <w:rsid w:val="00C4508A"/>
    <w:rsid w:val="00C544FE"/>
    <w:rsid w:val="00C56AB2"/>
    <w:rsid w:val="00C72472"/>
    <w:rsid w:val="00C75E7F"/>
    <w:rsid w:val="00C80A24"/>
    <w:rsid w:val="00C92348"/>
    <w:rsid w:val="00CC3DD1"/>
    <w:rsid w:val="00CD205F"/>
    <w:rsid w:val="00CD3207"/>
    <w:rsid w:val="00D0253E"/>
    <w:rsid w:val="00D16120"/>
    <w:rsid w:val="00D22FD2"/>
    <w:rsid w:val="00D27BB9"/>
    <w:rsid w:val="00D306ED"/>
    <w:rsid w:val="00D326FA"/>
    <w:rsid w:val="00D32F1E"/>
    <w:rsid w:val="00D57878"/>
    <w:rsid w:val="00D96F31"/>
    <w:rsid w:val="00D97CEC"/>
    <w:rsid w:val="00DA6478"/>
    <w:rsid w:val="00DB2F21"/>
    <w:rsid w:val="00DB52B3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65D35"/>
    <w:rsid w:val="00E7698F"/>
    <w:rsid w:val="00E9035D"/>
    <w:rsid w:val="00EA3856"/>
    <w:rsid w:val="00EA6218"/>
    <w:rsid w:val="00EB73DF"/>
    <w:rsid w:val="00EC435F"/>
    <w:rsid w:val="00ED00FF"/>
    <w:rsid w:val="00ED1184"/>
    <w:rsid w:val="00ED61E9"/>
    <w:rsid w:val="00EE2C7F"/>
    <w:rsid w:val="00F013CA"/>
    <w:rsid w:val="00F01C47"/>
    <w:rsid w:val="00F2026A"/>
    <w:rsid w:val="00F431C5"/>
    <w:rsid w:val="00F43BCA"/>
    <w:rsid w:val="00F548CC"/>
    <w:rsid w:val="00F81FD6"/>
    <w:rsid w:val="00F82E63"/>
    <w:rsid w:val="00F85051"/>
    <w:rsid w:val="00F91E34"/>
    <w:rsid w:val="00F93E3B"/>
    <w:rsid w:val="00FB3F36"/>
    <w:rsid w:val="00FB71F7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791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Prieto Sanchez, Francisco Javier</cp:lastModifiedBy>
  <cp:revision>9</cp:revision>
  <cp:lastPrinted>2017-07-14T08:14:00Z</cp:lastPrinted>
  <dcterms:created xsi:type="dcterms:W3CDTF">2026-02-13T09:14:00Z</dcterms:created>
  <dcterms:modified xsi:type="dcterms:W3CDTF">2026-02-16T08:44:00Z</dcterms:modified>
</cp:coreProperties>
</file>