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6D84" w14:textId="77777777" w:rsidR="00A1799C" w:rsidRDefault="00A1799C" w:rsidP="00A1799C">
      <w:pPr>
        <w:rPr>
          <w:b/>
          <w:sz w:val="24"/>
          <w:szCs w:val="24"/>
        </w:rPr>
        <w:sectPr w:rsidR="00A1799C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52C06221" w14:textId="0D3DFEA2" w:rsidR="00A1799C" w:rsidRPr="007B68AC" w:rsidRDefault="00A1799C" w:rsidP="00A1799C">
      <w:pPr>
        <w:spacing w:after="300"/>
        <w:jc w:val="both"/>
        <w:rPr>
          <w:b/>
          <w:sz w:val="22"/>
          <w:szCs w:val="22"/>
        </w:rPr>
      </w:pPr>
      <w:r w:rsidRPr="007B68AC">
        <w:rPr>
          <w:rFonts w:eastAsia="Calibri"/>
          <w:b/>
          <w:bCs/>
          <w:caps/>
          <w:spacing w:val="-2"/>
          <w:sz w:val="24"/>
          <w:szCs w:val="24"/>
          <w:lang w:eastAsia="en-US"/>
        </w:rPr>
        <w:t>Consulta</w:t>
      </w:r>
      <w:r w:rsidRPr="007B68AC">
        <w:rPr>
          <w:rFonts w:eastAsia="Calibri"/>
          <w:b/>
          <w:bCs/>
          <w:caps/>
          <w:sz w:val="24"/>
          <w:szCs w:val="24"/>
          <w:lang w:eastAsia="en-US"/>
        </w:rPr>
        <w:t xml:space="preserve"> previa </w:t>
      </w:r>
      <w:r w:rsidRPr="007B68AC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sobre</w:t>
      </w:r>
      <w:r w:rsidRPr="007B68AC">
        <w:rPr>
          <w:rFonts w:eastAsia="Calibri"/>
          <w:b/>
          <w:bCs/>
          <w:caps/>
          <w:sz w:val="24"/>
          <w:szCs w:val="24"/>
          <w:lang w:eastAsia="en-US"/>
        </w:rPr>
        <w:t xml:space="preserve"> el proyecto DE </w:t>
      </w:r>
      <w:r w:rsidR="00D702B0">
        <w:rPr>
          <w:rFonts w:eastAsia="Calibri"/>
          <w:b/>
          <w:bCs/>
          <w:caps/>
          <w:sz w:val="24"/>
          <w:szCs w:val="24"/>
          <w:lang w:eastAsia="en-US"/>
        </w:rPr>
        <w:t xml:space="preserve">DECRETO FORAL </w:t>
      </w:r>
      <w:r w:rsidR="00E13BCD">
        <w:rPr>
          <w:rFonts w:eastAsia="Calibri"/>
          <w:b/>
          <w:bCs/>
          <w:caps/>
          <w:sz w:val="24"/>
          <w:szCs w:val="24"/>
          <w:lang w:eastAsia="en-US"/>
        </w:rPr>
        <w:t>regulador del catalogo de viñedos históricos y remarcables del territorio histórico de alava</w:t>
      </w:r>
    </w:p>
    <w:p w14:paraId="39816B86" w14:textId="38EC8D93" w:rsidR="00A1799C" w:rsidRPr="007B68AC" w:rsidRDefault="00A1799C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De</w:t>
      </w:r>
      <w:r w:rsidRPr="007B68AC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conformidad</w:t>
      </w:r>
      <w:r w:rsidRPr="007B68AC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</w:t>
      </w:r>
      <w:r w:rsidRPr="007B68AC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lo</w:t>
      </w:r>
      <w:r w:rsidRPr="007B68AC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dispuesto</w:t>
      </w:r>
      <w:r w:rsidRPr="007B68AC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</w:t>
      </w:r>
      <w:r w:rsidRPr="007B68AC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4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 xml:space="preserve">artículo </w:t>
      </w:r>
      <w:r w:rsidRPr="007B68AC">
        <w:rPr>
          <w:rFonts w:eastAsia="Calibri"/>
          <w:sz w:val="24"/>
          <w:szCs w:val="24"/>
          <w:lang w:eastAsia="en-US"/>
        </w:rPr>
        <w:t xml:space="preserve">9 </w:t>
      </w:r>
      <w:r w:rsidRPr="007B68AC">
        <w:rPr>
          <w:rFonts w:eastAsia="Calibri"/>
          <w:spacing w:val="-1"/>
          <w:sz w:val="24"/>
          <w:szCs w:val="24"/>
          <w:lang w:eastAsia="en-US"/>
        </w:rPr>
        <w:t>del Decreto Foral 6/2023, del Consejo de Gobierno Foral de 28 de febrero,</w:t>
      </w:r>
      <w:r w:rsidRPr="007B68AC">
        <w:rPr>
          <w:rFonts w:eastAsia="Calibri"/>
          <w:spacing w:val="89"/>
          <w:w w:val="9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fin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mejorar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11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participación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 ciudadanía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procedimiento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disposiciones normativas,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1"/>
          <w:sz w:val="24"/>
          <w:szCs w:val="24"/>
          <w:lang w:eastAsia="en-US"/>
        </w:rPr>
        <w:t>se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sustancia</w:t>
      </w:r>
      <w:r w:rsidRPr="007B68AC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una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consulta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pública</w:t>
      </w:r>
      <w:r w:rsidRPr="007B68AC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previa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del</w:t>
      </w:r>
      <w:r w:rsidRPr="007B68AC">
        <w:rPr>
          <w:rFonts w:eastAsia="Calibri"/>
          <w:spacing w:val="95"/>
          <w:w w:val="9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proyecto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al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se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refiere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encabezamiento,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</w:t>
      </w:r>
      <w:r w:rsidRPr="007B68AC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se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recabe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opinión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 ciudadanía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las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7B68AC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más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representativas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potencialmente</w:t>
      </w:r>
      <w:r w:rsidRPr="007B68AC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afectados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por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futura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norma</w:t>
      </w:r>
      <w:r w:rsidRPr="007B68A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acerca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de:</w:t>
      </w:r>
    </w:p>
    <w:p w14:paraId="3506BDDC" w14:textId="77777777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Los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problemas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se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pretenden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solucionar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</w:t>
      </w:r>
      <w:r w:rsidRPr="007B68A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iniciativa,</w:t>
      </w:r>
    </w:p>
    <w:p w14:paraId="5EAE7404" w14:textId="77777777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2"/>
          <w:sz w:val="24"/>
          <w:szCs w:val="24"/>
          <w:lang w:eastAsia="en-US"/>
        </w:rPr>
        <w:t>la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necesidad</w:t>
      </w:r>
      <w:r w:rsidRPr="007B68A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oportunidad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su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aprobación,</w:t>
      </w:r>
    </w:p>
    <w:p w14:paraId="65A5A826" w14:textId="6BECFA57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los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objetivos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D36465" w:rsidRPr="007B68AC">
        <w:rPr>
          <w:rFonts w:eastAsia="Calibri"/>
          <w:sz w:val="24"/>
          <w:szCs w:val="24"/>
          <w:lang w:eastAsia="en-US"/>
        </w:rPr>
        <w:t>disposición</w:t>
      </w:r>
      <w:r w:rsidRPr="007B68AC">
        <w:rPr>
          <w:rFonts w:eastAsia="Calibri"/>
          <w:sz w:val="24"/>
          <w:szCs w:val="24"/>
          <w:lang w:eastAsia="en-US"/>
        </w:rPr>
        <w:t>,</w:t>
      </w:r>
    </w:p>
    <w:p w14:paraId="1F30ACD2" w14:textId="57FB2A82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2"/>
          <w:sz w:val="24"/>
          <w:szCs w:val="24"/>
          <w:lang w:eastAsia="en-US"/>
        </w:rPr>
        <w:t>las</w:t>
      </w:r>
      <w:r w:rsidRPr="007B68A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posibles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soluciones</w:t>
      </w:r>
      <w:r w:rsidRPr="007B68A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alternativas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regulatorias</w:t>
      </w:r>
      <w:r w:rsidRPr="007B68A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no</w:t>
      </w:r>
      <w:r w:rsidRPr="007B68A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regulatorias</w:t>
      </w:r>
      <w:r w:rsidR="00D36465" w:rsidRPr="007B68AC">
        <w:rPr>
          <w:rFonts w:eastAsia="Calibri"/>
          <w:spacing w:val="-1"/>
          <w:sz w:val="24"/>
          <w:szCs w:val="24"/>
          <w:lang w:eastAsia="en-US"/>
        </w:rPr>
        <w:t xml:space="preserve">, y </w:t>
      </w:r>
    </w:p>
    <w:p w14:paraId="599A9198" w14:textId="0994EAAA" w:rsidR="00D36465" w:rsidRPr="007B68AC" w:rsidRDefault="00D36465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El público objetivo al que se dirige la disposición.</w:t>
      </w:r>
    </w:p>
    <w:p w14:paraId="2962C729" w14:textId="07345C04" w:rsidR="00A1799C" w:rsidRPr="007B68AC" w:rsidRDefault="00A1799C" w:rsidP="00C90C89">
      <w:pPr>
        <w:kinsoku w:val="0"/>
        <w:overflowPunct w:val="0"/>
        <w:autoSpaceDE w:val="0"/>
        <w:autoSpaceDN w:val="0"/>
        <w:adjustRightInd w:val="0"/>
        <w:spacing w:before="360" w:after="120"/>
        <w:ind w:right="-1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 xml:space="preserve">En cumplimiento de lo anterior, se plantea la siguiente consulta al objeto de recabar la opinión de la ciudadanía y de las organizaciones representativas que potencialmente pudieran verse afectadas por la futura disposición que </w:t>
      </w:r>
      <w:r w:rsidR="00845EEA">
        <w:rPr>
          <w:rFonts w:eastAsia="Calibri"/>
          <w:spacing w:val="-1"/>
          <w:sz w:val="24"/>
          <w:szCs w:val="24"/>
          <w:lang w:eastAsia="en-US"/>
        </w:rPr>
        <w:t xml:space="preserve">se </w:t>
      </w:r>
      <w:r w:rsidRPr="007B68AC">
        <w:rPr>
          <w:rFonts w:eastAsia="Calibri"/>
          <w:spacing w:val="-1"/>
          <w:sz w:val="24"/>
          <w:szCs w:val="24"/>
          <w:lang w:eastAsia="en-US"/>
        </w:rPr>
        <w:t>pretende aprobar</w:t>
      </w:r>
      <w:r w:rsidR="00845EEA">
        <w:rPr>
          <w:rFonts w:eastAsia="Calibri"/>
          <w:spacing w:val="-1"/>
          <w:sz w:val="24"/>
          <w:szCs w:val="24"/>
          <w:lang w:eastAsia="en-US"/>
        </w:rPr>
        <w:t>.</w:t>
      </w:r>
    </w:p>
    <w:p w14:paraId="35A7D30A" w14:textId="6356F697" w:rsidR="00BB6382" w:rsidRDefault="00A1799C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Los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ciudadanos,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7B68AC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1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asociaciones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así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lo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consideren,</w:t>
      </w:r>
      <w:r w:rsidRPr="007B68AC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pueden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hacer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 xml:space="preserve">llegar </w:t>
      </w:r>
      <w:r w:rsidRPr="007B68AC">
        <w:rPr>
          <w:rFonts w:eastAsia="Calibri"/>
          <w:sz w:val="24"/>
          <w:szCs w:val="24"/>
          <w:lang w:eastAsia="en-US"/>
        </w:rPr>
        <w:t xml:space="preserve">sus </w:t>
      </w:r>
      <w:r w:rsidRPr="007B68AC">
        <w:rPr>
          <w:rFonts w:eastAsia="Calibri"/>
          <w:spacing w:val="-1"/>
          <w:sz w:val="24"/>
          <w:szCs w:val="24"/>
          <w:lang w:eastAsia="en-US"/>
        </w:rPr>
        <w:t>opiniones</w:t>
      </w:r>
      <w:r w:rsidRPr="007B68AC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sobre</w:t>
      </w:r>
      <w:r w:rsidRPr="007B68A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 xml:space="preserve">los </w:t>
      </w:r>
      <w:r w:rsidRPr="007B68AC">
        <w:rPr>
          <w:rFonts w:eastAsia="Calibri"/>
          <w:spacing w:val="-1"/>
          <w:sz w:val="24"/>
          <w:szCs w:val="24"/>
          <w:lang w:eastAsia="en-US"/>
        </w:rPr>
        <w:t>aspectos</w:t>
      </w:r>
      <w:r w:rsidRPr="007B68AC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planteados</w:t>
      </w:r>
      <w:r w:rsidRPr="007B68AC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 este cuestionario, hasta</w:t>
      </w:r>
      <w:r w:rsidRPr="007B68A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="006B6719">
        <w:rPr>
          <w:rFonts w:eastAsia="Calibri"/>
          <w:sz w:val="24"/>
          <w:szCs w:val="24"/>
          <w:lang w:eastAsia="en-US"/>
        </w:rPr>
        <w:t xml:space="preserve"> 11 de marzo</w:t>
      </w:r>
      <w:r w:rsidRPr="007B68AC">
        <w:rPr>
          <w:rFonts w:eastAsia="Calibri"/>
          <w:sz w:val="24"/>
          <w:szCs w:val="24"/>
          <w:lang w:eastAsia="en-US"/>
        </w:rPr>
        <w:t>, a</w:t>
      </w:r>
      <w:r w:rsidRPr="007B68AC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través</w:t>
      </w:r>
      <w:r w:rsidRPr="007B68AC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del</w:t>
      </w:r>
      <w:r w:rsidRPr="007B68AC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buzón</w:t>
      </w:r>
      <w:r w:rsidRPr="007B68AC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del</w:t>
      </w:r>
      <w:r w:rsidRPr="007B68AC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correo</w:t>
      </w:r>
      <w:r w:rsidRPr="007B68AC">
        <w:rPr>
          <w:rFonts w:eastAsia="Calibri"/>
          <w:spacing w:val="23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electróni</w:t>
      </w:r>
      <w:r w:rsidRPr="007B68AC">
        <w:rPr>
          <w:rFonts w:eastAsia="Calibri"/>
          <w:sz w:val="24"/>
          <w:szCs w:val="24"/>
          <w:lang w:eastAsia="en-US"/>
        </w:rPr>
        <w:t>co “</w:t>
      </w:r>
      <w:hyperlink r:id="rId12" w:history="1">
        <w:r w:rsidRPr="007B68AC">
          <w:rPr>
            <w:rFonts w:eastAsia="Calibri"/>
            <w:i/>
            <w:sz w:val="24"/>
            <w:szCs w:val="24"/>
            <w:lang w:eastAsia="en-US"/>
          </w:rPr>
          <w:t>aurrezkontsultak@araba.eus</w:t>
        </w:r>
      </w:hyperlink>
    </w:p>
    <w:p w14:paraId="1DAB08C8" w14:textId="77777777" w:rsidR="00550A06" w:rsidRDefault="00550A06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p w14:paraId="4B849CF5" w14:textId="77777777" w:rsidR="00BB6382" w:rsidRDefault="00BB6382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4362"/>
      </w:tblGrid>
      <w:tr w:rsidR="006E3734" w14:paraId="43D10E68" w14:textId="77777777" w:rsidTr="0098658C">
        <w:trPr>
          <w:trHeight w:val="70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B9AD" w14:textId="77777777" w:rsidR="006E3734" w:rsidRDefault="006E3734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PROBLEMAS QUE SE PRETENDEN SOLUCIONAR CON LA INICIATIVA</w:t>
            </w:r>
          </w:p>
          <w:p w14:paraId="360A14CA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3BCC5570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28F66B2D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6DC0" w14:textId="5D0894CE" w:rsidR="006E3734" w:rsidRPr="0098658C" w:rsidRDefault="00B00D3C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>El principal problema de la falta de reconocimiento de los viñedos antiguos es su falta de reconocimiento, lo que se podría solucionar con un catálogo oficial que los recoja e incluya todos los viñedos históricos y remarcables</w:t>
            </w:r>
          </w:p>
        </w:tc>
      </w:tr>
      <w:tr w:rsidR="006E3734" w14:paraId="1519EC65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7356" w14:textId="77777777" w:rsidR="006E3734" w:rsidRDefault="006E3734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NECESIDAD Y OPORTUNIDAD DE SU APROBACIÓN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95FD" w14:textId="022945FE" w:rsidR="006E3734" w:rsidRPr="006B6719" w:rsidRDefault="00B00D3C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spacing w:val="-1"/>
                <w:sz w:val="22"/>
                <w:szCs w:val="22"/>
              </w:rPr>
            </w:pPr>
            <w:r w:rsidRPr="006B6719">
              <w:rPr>
                <w:spacing w:val="-1"/>
                <w:sz w:val="22"/>
                <w:szCs w:val="22"/>
              </w:rPr>
              <w:t>Este catálogo debe establecerse cuanto antes a fin de revertir lo antes posible el problema de su desaparición</w:t>
            </w:r>
          </w:p>
        </w:tc>
      </w:tr>
      <w:tr w:rsidR="0098658C" w14:paraId="550CA808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E9E3C" w14:textId="77777777" w:rsidR="0098658C" w:rsidRDefault="0098658C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OBJETIVOS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1878" w14:textId="142839CA" w:rsidR="0098658C" w:rsidRDefault="00B00D3C" w:rsidP="0098658C">
            <w:pPr>
              <w:spacing w:after="12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 los viñedos antiguos y remarcables estén inscritos en un catálogo oficial que </w:t>
            </w:r>
            <w:r>
              <w:rPr>
                <w:sz w:val="24"/>
                <w:szCs w:val="24"/>
              </w:rPr>
              <w:lastRenderedPageBreak/>
              <w:t>permita su reconocimiento oficial como tales</w:t>
            </w:r>
          </w:p>
        </w:tc>
      </w:tr>
      <w:tr w:rsidR="0098658C" w14:paraId="273AEEC1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1F15" w14:textId="77777777" w:rsidR="0098658C" w:rsidRDefault="0098658C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lastRenderedPageBreak/>
              <w:t>POSIBLES SOLUCIONES ALTERNATIVAS REGULATORIAS Y NO REGULATORIAS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6335" w14:textId="3118A74F" w:rsidR="0098658C" w:rsidRPr="006B6719" w:rsidRDefault="00B00D3C" w:rsidP="0098658C">
            <w:pPr>
              <w:overflowPunct w:val="0"/>
              <w:autoSpaceDE w:val="0"/>
              <w:autoSpaceDN w:val="0"/>
              <w:spacing w:before="60" w:after="200" w:line="276" w:lineRule="auto"/>
              <w:jc w:val="both"/>
              <w:rPr>
                <w:spacing w:val="-1"/>
                <w:sz w:val="22"/>
                <w:szCs w:val="22"/>
              </w:rPr>
            </w:pPr>
            <w:r w:rsidRPr="006B6719">
              <w:rPr>
                <w:spacing w:val="-1"/>
                <w:sz w:val="22"/>
                <w:szCs w:val="22"/>
              </w:rPr>
              <w:t>Catálogos privados pero que adolecerían de la oficialidad que puede dar la administración</w:t>
            </w:r>
          </w:p>
        </w:tc>
      </w:tr>
      <w:tr w:rsidR="0098658C" w14:paraId="37AEE8CF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1764" w14:textId="77777777" w:rsidR="0098658C" w:rsidRDefault="0098658C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PÚBLICO OBJETIVO AL QUE SE DIRIGE LA DISPOSICIÓN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C106D" w14:textId="56CAD5CE" w:rsidR="0098658C" w:rsidRPr="006B6719" w:rsidRDefault="00B00D3C" w:rsidP="0098658C">
            <w:pPr>
              <w:rPr>
                <w:spacing w:val="-1"/>
                <w:sz w:val="22"/>
                <w:szCs w:val="22"/>
              </w:rPr>
            </w:pPr>
            <w:r w:rsidRPr="006B6719">
              <w:rPr>
                <w:spacing w:val="-1"/>
                <w:sz w:val="22"/>
                <w:szCs w:val="22"/>
              </w:rPr>
              <w:t>Viticultores y bodegas que exploten viñedos históricos y remarcables en Rioja Alavesa.</w:t>
            </w:r>
          </w:p>
        </w:tc>
      </w:tr>
    </w:tbl>
    <w:p w14:paraId="7A03AE4A" w14:textId="77777777" w:rsidR="00AF0616" w:rsidRDefault="00AF0616" w:rsidP="004C4836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sectPr w:rsidR="00AF0616" w:rsidSect="00E31D33">
      <w:headerReference w:type="default" r:id="rId13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409E" w14:textId="77777777" w:rsidR="00307BC4" w:rsidRDefault="00307BC4" w:rsidP="00A1799C">
      <w:r>
        <w:separator/>
      </w:r>
    </w:p>
  </w:endnote>
  <w:endnote w:type="continuationSeparator" w:id="0">
    <w:p w14:paraId="4732F649" w14:textId="77777777" w:rsidR="00307BC4" w:rsidRDefault="00307BC4" w:rsidP="00A1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CD68" w14:textId="77777777" w:rsidR="00187F54" w:rsidRDefault="00187F54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D345" w14:textId="77777777" w:rsidR="00187F54" w:rsidRDefault="00187F54">
    <w:pPr>
      <w:pStyle w:val="Piedepgina"/>
      <w:jc w:val="right"/>
    </w:pPr>
  </w:p>
  <w:p w14:paraId="6075E325" w14:textId="77777777" w:rsidR="00187F54" w:rsidRDefault="00187F54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DC9A" w14:textId="77777777" w:rsidR="00307BC4" w:rsidRDefault="00307BC4" w:rsidP="00A1799C">
      <w:r>
        <w:separator/>
      </w:r>
    </w:p>
  </w:footnote>
  <w:footnote w:type="continuationSeparator" w:id="0">
    <w:p w14:paraId="7F3E9F68" w14:textId="77777777" w:rsidR="00307BC4" w:rsidRDefault="00307BC4" w:rsidP="00A1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5F0540" w14:paraId="5F312796" w14:textId="77777777" w:rsidTr="00565301">
      <w:tc>
        <w:tcPr>
          <w:tcW w:w="6804" w:type="dxa"/>
        </w:tcPr>
        <w:p w14:paraId="55A65AAA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69F10A9D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7BC89DAD" w14:textId="77777777" w:rsidR="00187F54" w:rsidRDefault="00187F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8A43F2" w:rsidRPr="00763777" w14:paraId="6CCDE8FC" w14:textId="77777777" w:rsidTr="00CE7A07">
      <w:tc>
        <w:tcPr>
          <w:tcW w:w="6804" w:type="dxa"/>
        </w:tcPr>
        <w:bookmarkStart w:id="0" w:name="_MON_1716274682"/>
        <w:bookmarkEnd w:id="0"/>
        <w:p w14:paraId="521A986D" w14:textId="77777777" w:rsidR="00187F54" w:rsidRPr="00763777" w:rsidRDefault="001C62CB" w:rsidP="00F650BE">
          <w:pPr>
            <w:spacing w:after="1200"/>
            <w:ind w:left="990"/>
            <w:rPr>
              <w:rFonts w:ascii="Arial" w:hAnsi="Arial" w:cs="Arial"/>
              <w:noProof/>
              <w:sz w:val="16"/>
              <w:lang w:val="es-ES_tradnl" w:bidi="or-IN"/>
            </w:rPr>
          </w:pPr>
          <w:r w:rsidRPr="00763777"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6867153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833606124" r:id="rId2"/>
            </w:object>
          </w:r>
        </w:p>
        <w:p w14:paraId="61566C01" w14:textId="77777777" w:rsidR="00187F54" w:rsidRPr="00763777" w:rsidRDefault="00187F54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1DCE8871" w14:textId="305D55EC" w:rsidR="00B05F1D" w:rsidRPr="00B05F1D" w:rsidRDefault="00B05F1D" w:rsidP="00B05F1D">
          <w:pPr>
            <w:tabs>
              <w:tab w:val="center" w:pos="4252"/>
              <w:tab w:val="right" w:pos="8504"/>
            </w:tabs>
            <w:spacing w:after="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 w:rsidRPr="00B05F1D">
            <w:rPr>
              <w:rFonts w:ascii="Arial" w:hAnsi="Arial" w:cs="Arial"/>
              <w:b/>
              <w:noProof/>
              <w:sz w:val="18"/>
              <w:lang w:val="es-ES_tradnl" w:bidi="or-IN"/>
            </w:rPr>
            <w:t>Nekazaritza Saila</w:t>
          </w:r>
        </w:p>
        <w:p w14:paraId="1755219B" w14:textId="252381AF" w:rsidR="00B05F1D" w:rsidRPr="00B05F1D" w:rsidRDefault="00B05F1D" w:rsidP="00B05F1D">
          <w:pPr>
            <w:tabs>
              <w:tab w:val="center" w:pos="4252"/>
              <w:tab w:val="right" w:pos="8504"/>
            </w:tabs>
            <w:spacing w:after="2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 w:rsidRPr="00B05F1D">
            <w:rPr>
              <w:rFonts w:ascii="Arial" w:hAnsi="Arial" w:cs="Arial"/>
              <w:b/>
              <w:noProof/>
              <w:sz w:val="18"/>
              <w:lang w:val="es-ES_tradnl" w:bidi="or-IN"/>
            </w:rPr>
            <w:t>Departamento de Agricultura</w:t>
          </w:r>
        </w:p>
        <w:p w14:paraId="15D022A6" w14:textId="75047673" w:rsidR="00187F54" w:rsidRPr="00A12C24" w:rsidRDefault="00187F54" w:rsidP="00B90186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326FEB9B" w14:textId="77777777" w:rsidR="00187F54" w:rsidRPr="00C3541F" w:rsidRDefault="00187F54" w:rsidP="00C3541F">
    <w:pPr>
      <w:pStyle w:val="Encabezado"/>
      <w:tabs>
        <w:tab w:val="clear" w:pos="4252"/>
        <w:tab w:val="clear" w:pos="8504"/>
      </w:tabs>
      <w:ind w:right="28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982860" w14:paraId="2E90298E" w14:textId="77777777" w:rsidTr="00ED599B">
      <w:trPr>
        <w:trHeight w:val="1469"/>
      </w:trPr>
      <w:tc>
        <w:tcPr>
          <w:tcW w:w="9051" w:type="dxa"/>
        </w:tcPr>
        <w:tbl>
          <w:tblPr>
            <w:tblW w:w="0" w:type="auto"/>
            <w:tblInd w:w="70" w:type="dxa"/>
            <w:tblBorders>
              <w:insideH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361"/>
            <w:gridCol w:w="3856"/>
          </w:tblGrid>
          <w:tr w:rsidR="00ED599B" w14:paraId="489E6AC0" w14:textId="77777777" w:rsidTr="009D2A4C">
            <w:trPr>
              <w:cantSplit/>
              <w:trHeight w:val="338"/>
            </w:trPr>
            <w:tc>
              <w:tcPr>
                <w:tcW w:w="3856" w:type="dxa"/>
              </w:tcPr>
              <w:p w14:paraId="4E1B65A1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 w:val="restart"/>
              </w:tcPr>
              <w:p w14:paraId="0C16B18D" w14:textId="77777777" w:rsidR="00187F54" w:rsidRDefault="001C62CB" w:rsidP="00ED599B">
                <w:pPr>
                  <w:pStyle w:val="Encabezado"/>
                  <w:jc w:val="center"/>
                </w:pPr>
                <w:r>
                  <w:rPr>
                    <w:noProof/>
                    <w:lang w:val="es-ES"/>
                  </w:rPr>
                  <w:drawing>
                    <wp:inline distT="0" distB="0" distL="0" distR="0" wp14:anchorId="6F00317F" wp14:editId="7577C7A0">
                      <wp:extent cx="428625" cy="428625"/>
                      <wp:effectExtent l="0" t="0" r="9525" b="9525"/>
                      <wp:docPr id="1" name="Imagen 1" descr="S MBOLO 12 X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S MBOLO 12 X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56" w:type="dxa"/>
              </w:tcPr>
              <w:p w14:paraId="5DA61C74" w14:textId="77777777" w:rsidR="00187F54" w:rsidRDefault="00187F54" w:rsidP="00ED599B">
                <w:pPr>
                  <w:pStyle w:val="Encabezado"/>
                </w:pPr>
              </w:p>
            </w:tc>
          </w:tr>
          <w:tr w:rsidR="00ED599B" w14:paraId="1F9C5BBC" w14:textId="77777777" w:rsidTr="009D2A4C">
            <w:trPr>
              <w:cantSplit/>
              <w:trHeight w:val="337"/>
            </w:trPr>
            <w:tc>
              <w:tcPr>
                <w:tcW w:w="3856" w:type="dxa"/>
              </w:tcPr>
              <w:p w14:paraId="00723513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/>
              </w:tcPr>
              <w:p w14:paraId="386ACDE7" w14:textId="77777777" w:rsidR="00187F54" w:rsidRDefault="00187F54" w:rsidP="00ED599B">
                <w:pPr>
                  <w:pStyle w:val="Encabezado"/>
                  <w:jc w:val="center"/>
                </w:pPr>
              </w:p>
            </w:tc>
            <w:tc>
              <w:tcPr>
                <w:tcW w:w="3856" w:type="dxa"/>
              </w:tcPr>
              <w:p w14:paraId="7469F301" w14:textId="77777777" w:rsidR="00187F54" w:rsidRDefault="00187F54" w:rsidP="00ED599B">
                <w:pPr>
                  <w:pStyle w:val="Encabezado"/>
                </w:pPr>
              </w:p>
            </w:tc>
          </w:tr>
        </w:tbl>
        <w:p w14:paraId="4C780434" w14:textId="77777777" w:rsidR="00187F54" w:rsidRDefault="00187F54" w:rsidP="00ED599B">
          <w:pPr>
            <w:pStyle w:val="Encabezado"/>
          </w:pPr>
        </w:p>
        <w:p w14:paraId="33460E9E" w14:textId="77777777" w:rsidR="00187F54" w:rsidRDefault="00187F54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051" w:type="dxa"/>
        </w:tcPr>
        <w:p w14:paraId="21AB8111" w14:textId="77777777" w:rsidR="00187F54" w:rsidRDefault="00187F54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051" w:type="dxa"/>
        </w:tcPr>
        <w:p w14:paraId="4B832F75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527" w:type="dxa"/>
        </w:tcPr>
        <w:p w14:paraId="02C083E2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6B96E5C2" w14:textId="77777777" w:rsidR="00187F54" w:rsidRDefault="00187F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669"/>
    <w:multiLevelType w:val="hybridMultilevel"/>
    <w:tmpl w:val="4ADC28A6"/>
    <w:lvl w:ilvl="0" w:tplc="3B441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0E39"/>
    <w:multiLevelType w:val="hybridMultilevel"/>
    <w:tmpl w:val="A380F2F0"/>
    <w:lvl w:ilvl="0" w:tplc="8AC4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0C9D"/>
    <w:multiLevelType w:val="hybridMultilevel"/>
    <w:tmpl w:val="1358981E"/>
    <w:lvl w:ilvl="0" w:tplc="47329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0770"/>
    <w:multiLevelType w:val="hybridMultilevel"/>
    <w:tmpl w:val="12F82F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3799"/>
    <w:multiLevelType w:val="hybridMultilevel"/>
    <w:tmpl w:val="CA8865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E0D32"/>
    <w:multiLevelType w:val="hybridMultilevel"/>
    <w:tmpl w:val="17EE6850"/>
    <w:lvl w:ilvl="0" w:tplc="90743C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E1048"/>
    <w:multiLevelType w:val="hybridMultilevel"/>
    <w:tmpl w:val="164CD0FE"/>
    <w:lvl w:ilvl="0" w:tplc="55FE6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8751A"/>
    <w:multiLevelType w:val="hybridMultilevel"/>
    <w:tmpl w:val="D766E394"/>
    <w:lvl w:ilvl="0" w:tplc="2DB25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70233"/>
    <w:multiLevelType w:val="hybridMultilevel"/>
    <w:tmpl w:val="5C161B00"/>
    <w:lvl w:ilvl="0" w:tplc="80E2FC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139C6"/>
    <w:multiLevelType w:val="hybridMultilevel"/>
    <w:tmpl w:val="7C289D30"/>
    <w:lvl w:ilvl="0" w:tplc="D614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940159">
    <w:abstractNumId w:val="3"/>
  </w:num>
  <w:num w:numId="2" w16cid:durableId="979188734">
    <w:abstractNumId w:val="4"/>
  </w:num>
  <w:num w:numId="3" w16cid:durableId="15930948">
    <w:abstractNumId w:val="5"/>
  </w:num>
  <w:num w:numId="4" w16cid:durableId="1376925516">
    <w:abstractNumId w:val="1"/>
  </w:num>
  <w:num w:numId="5" w16cid:durableId="902720590">
    <w:abstractNumId w:val="6"/>
  </w:num>
  <w:num w:numId="6" w16cid:durableId="1151168996">
    <w:abstractNumId w:val="7"/>
  </w:num>
  <w:num w:numId="7" w16cid:durableId="2062291240">
    <w:abstractNumId w:val="9"/>
  </w:num>
  <w:num w:numId="8" w16cid:durableId="2030329052">
    <w:abstractNumId w:val="2"/>
  </w:num>
  <w:num w:numId="9" w16cid:durableId="981957497">
    <w:abstractNumId w:val="0"/>
  </w:num>
  <w:num w:numId="10" w16cid:durableId="1989478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9C"/>
    <w:rsid w:val="0006623F"/>
    <w:rsid w:val="00071BA0"/>
    <w:rsid w:val="00082D15"/>
    <w:rsid w:val="000B29A5"/>
    <w:rsid w:val="000F4E70"/>
    <w:rsid w:val="001131B8"/>
    <w:rsid w:val="00171746"/>
    <w:rsid w:val="00180FF7"/>
    <w:rsid w:val="00187F54"/>
    <w:rsid w:val="001917A8"/>
    <w:rsid w:val="001C0BFC"/>
    <w:rsid w:val="001C62CB"/>
    <w:rsid w:val="001D6CDF"/>
    <w:rsid w:val="001E0EA1"/>
    <w:rsid w:val="001E2CB4"/>
    <w:rsid w:val="00247A3F"/>
    <w:rsid w:val="002B00CA"/>
    <w:rsid w:val="002E686B"/>
    <w:rsid w:val="002F33D9"/>
    <w:rsid w:val="00307BC4"/>
    <w:rsid w:val="00391815"/>
    <w:rsid w:val="0039314E"/>
    <w:rsid w:val="003C208E"/>
    <w:rsid w:val="00413B31"/>
    <w:rsid w:val="004663F3"/>
    <w:rsid w:val="004C4836"/>
    <w:rsid w:val="004C703E"/>
    <w:rsid w:val="004F465E"/>
    <w:rsid w:val="00550A06"/>
    <w:rsid w:val="00556ED9"/>
    <w:rsid w:val="005B0E12"/>
    <w:rsid w:val="005E1C5B"/>
    <w:rsid w:val="006432BE"/>
    <w:rsid w:val="0066745F"/>
    <w:rsid w:val="006A17D6"/>
    <w:rsid w:val="006B6719"/>
    <w:rsid w:val="006E3734"/>
    <w:rsid w:val="00702767"/>
    <w:rsid w:val="007311B4"/>
    <w:rsid w:val="007328BA"/>
    <w:rsid w:val="007406DC"/>
    <w:rsid w:val="00755D82"/>
    <w:rsid w:val="0079618C"/>
    <w:rsid w:val="007A21FC"/>
    <w:rsid w:val="007B68AC"/>
    <w:rsid w:val="007C039F"/>
    <w:rsid w:val="007E4D19"/>
    <w:rsid w:val="0080328E"/>
    <w:rsid w:val="00806539"/>
    <w:rsid w:val="00817D56"/>
    <w:rsid w:val="00845EEA"/>
    <w:rsid w:val="00847892"/>
    <w:rsid w:val="00955FB3"/>
    <w:rsid w:val="00964C1D"/>
    <w:rsid w:val="0098658C"/>
    <w:rsid w:val="009B493C"/>
    <w:rsid w:val="009C75A3"/>
    <w:rsid w:val="009D2090"/>
    <w:rsid w:val="009E4193"/>
    <w:rsid w:val="00A1799C"/>
    <w:rsid w:val="00AA512D"/>
    <w:rsid w:val="00AF0616"/>
    <w:rsid w:val="00AF0C45"/>
    <w:rsid w:val="00B00D3C"/>
    <w:rsid w:val="00B05F1D"/>
    <w:rsid w:val="00B71A6B"/>
    <w:rsid w:val="00BB6382"/>
    <w:rsid w:val="00BC78DE"/>
    <w:rsid w:val="00C3541F"/>
    <w:rsid w:val="00C90C89"/>
    <w:rsid w:val="00CC4B61"/>
    <w:rsid w:val="00CD50C9"/>
    <w:rsid w:val="00D03017"/>
    <w:rsid w:val="00D36465"/>
    <w:rsid w:val="00D36AB5"/>
    <w:rsid w:val="00D407D4"/>
    <w:rsid w:val="00D702B0"/>
    <w:rsid w:val="00DC0ACD"/>
    <w:rsid w:val="00DC6FEF"/>
    <w:rsid w:val="00DE1EDC"/>
    <w:rsid w:val="00DE57DD"/>
    <w:rsid w:val="00DF6B1E"/>
    <w:rsid w:val="00E05736"/>
    <w:rsid w:val="00E13BCD"/>
    <w:rsid w:val="00E20830"/>
    <w:rsid w:val="00E272FD"/>
    <w:rsid w:val="00E56396"/>
    <w:rsid w:val="00EE3282"/>
    <w:rsid w:val="00EE659D"/>
    <w:rsid w:val="00F176A4"/>
    <w:rsid w:val="00F577A0"/>
    <w:rsid w:val="00F65E6F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EA099"/>
  <w15:chartTrackingRefBased/>
  <w15:docId w15:val="{E9DFF796-A0A6-4D03-A6B9-3A5C2FE3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semiHidden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semiHidden/>
    <w:rsid w:val="00D364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64C1D"/>
    <w:pPr>
      <w:ind w:left="720"/>
      <w:contextualSpacing/>
    </w:pPr>
  </w:style>
  <w:style w:type="paragraph" w:customStyle="1" w:styleId="Cuerpo">
    <w:name w:val="Cuerpo"/>
    <w:rsid w:val="00D40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rrezkontsultak@araba.e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CE2F-515F-439E-93E8-862DB5CB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Guede Arana, Susana</dc:creator>
  <cp:keywords/>
  <dc:description/>
  <cp:lastModifiedBy>Tome Diaz de Otalora, Ana Isabel</cp:lastModifiedBy>
  <cp:revision>4</cp:revision>
  <dcterms:created xsi:type="dcterms:W3CDTF">2026-02-24T14:21:00Z</dcterms:created>
  <dcterms:modified xsi:type="dcterms:W3CDTF">2026-02-26T09:16:00Z</dcterms:modified>
</cp:coreProperties>
</file>