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6A09" w14:textId="77777777" w:rsidR="00E37477" w:rsidRPr="00F4427B" w:rsidRDefault="0025723F">
      <w:pPr>
        <w:spacing w:before="240" w:after="480"/>
        <w:rPr>
          <w:b/>
          <w:szCs w:val="22"/>
        </w:rPr>
      </w:pPr>
      <w:r>
        <w:rPr>
          <w:b/>
          <w:bCs/>
          <w:szCs w:val="22"/>
          <w:lang w:val="eu-ES"/>
        </w:rPr>
        <w:t>FORU AGINDUA</w:t>
      </w:r>
    </w:p>
    <w:p w14:paraId="5452A23A" w14:textId="77777777" w:rsidR="00E37477" w:rsidRPr="00F4427B" w:rsidRDefault="0025723F">
      <w:pPr>
        <w:tabs>
          <w:tab w:val="right" w:pos="8789"/>
        </w:tabs>
        <w:spacing w:after="480"/>
        <w:jc w:val="left"/>
        <w:rPr>
          <w:szCs w:val="22"/>
          <w:lang w:val="es-ES_tradnl"/>
        </w:rPr>
      </w:pPr>
      <w:r>
        <w:rPr>
          <w:szCs w:val="22"/>
          <w:lang w:val="eu-ES"/>
        </w:rPr>
        <w:t>Zerga Araudiaren Zerbitzua</w:t>
      </w:r>
      <w:r>
        <w:rPr>
          <w:szCs w:val="22"/>
          <w:lang w:val="eu-ES"/>
        </w:rPr>
        <w:br/>
        <w:t>Esp. zk.: 65/2026</w:t>
      </w:r>
    </w:p>
    <w:p w14:paraId="01266570" w14:textId="77777777" w:rsidR="00F4427B" w:rsidRPr="00F4427B" w:rsidRDefault="0025723F" w:rsidP="007C5288">
      <w:pPr>
        <w:rPr>
          <w:b/>
          <w:szCs w:val="22"/>
        </w:rPr>
      </w:pPr>
      <w:r>
        <w:rPr>
          <w:b/>
          <w:bCs/>
          <w:szCs w:val="22"/>
          <w:lang w:val="eu-ES"/>
        </w:rPr>
        <w:t>Arabako notario dokumentu elektroniko tinbredunak onestea</w:t>
      </w:r>
    </w:p>
    <w:p w14:paraId="390E2F69" w14:textId="77777777" w:rsidR="00F4427B" w:rsidRPr="00F4427B" w:rsidRDefault="0025723F" w:rsidP="007C5288">
      <w:pPr>
        <w:rPr>
          <w:szCs w:val="22"/>
        </w:rPr>
      </w:pPr>
      <w:r>
        <w:rPr>
          <w:szCs w:val="22"/>
          <w:lang w:val="eu-ES"/>
        </w:rPr>
        <w:t>Maiatzaren 8ko 11/2023 Legeak produktu eta zerbitzu jakin batzuetarako irispideari, kualifikazio handiko pertsonen migrazioari, zergei eta notario eta erregistro jarduketen digitalizazioari buruzko Europar Batasuneko zuzentarauen transposizioa egiten du eta Kalte nuklearrak edo material erradioaktiboek eragindako erantzukizun zibilari buruzko maiatzaren 27ko 12/2011 Legea aldatzen du. Lege horrek notario dokumentu elektronikoen bi mota berri sortzen ditu: matrize elektronikoko folioa eta hirugarrenentzako kopia baimendu elektronikoaren folioa.</w:t>
      </w:r>
    </w:p>
    <w:p w14:paraId="703DB20C" w14:textId="77777777" w:rsidR="00F4427B" w:rsidRPr="00F4427B" w:rsidRDefault="0025723F" w:rsidP="007C5288">
      <w:pPr>
        <w:rPr>
          <w:szCs w:val="22"/>
        </w:rPr>
      </w:pPr>
      <w:r>
        <w:rPr>
          <w:szCs w:val="22"/>
          <w:lang w:val="eu-ES"/>
        </w:rPr>
        <w:t>Dokumentu berri horiek, Ondare eskualdaketen eta egintza juridiko dokumentatuen gaineko zergari buruzko martxoaren 31ko 11/2003 Foru Arauaren arabera, zergaren mende daude, ondare eskualdaketen eta egintza juridiko dokumentatuen modalitatean, notario dokumentuen modalitatean, eta, beraz, zerga modalitate horretako kuota finkoaren pean.</w:t>
      </w:r>
    </w:p>
    <w:p w14:paraId="09E4790A" w14:textId="77777777" w:rsidR="00F4427B" w:rsidRDefault="0025723F" w:rsidP="007C5288">
      <w:pPr>
        <w:rPr>
          <w:szCs w:val="22"/>
        </w:rPr>
      </w:pPr>
      <w:r>
        <w:rPr>
          <w:szCs w:val="22"/>
          <w:lang w:val="eu-ES"/>
        </w:rPr>
        <w:t>Dokumentu berri horiek erabiltzearen ondorioz sortutako zerga banatzean eta biltzean, subjektu berri bat sortzen da, behar adinako gaitasuna duena informazioa zentralizatzeko eta, hala badagokio, etekinaren titular diren erakunde publikoei behar bezalako egozpena eta likidazioa egiteko behar diren xehetasunak emateko.</w:t>
      </w:r>
    </w:p>
    <w:p w14:paraId="1D041FB8" w14:textId="77777777" w:rsidR="007241B1" w:rsidRPr="00F4427B" w:rsidRDefault="0025723F" w:rsidP="007C5288">
      <w:pPr>
        <w:rPr>
          <w:szCs w:val="22"/>
        </w:rPr>
      </w:pPr>
      <w:r>
        <w:rPr>
          <w:szCs w:val="22"/>
          <w:lang w:val="eu-ES"/>
        </w:rPr>
        <w:t>Subjektu berri hori Notariotzaren Kontseilu Nagusia da, eta dokumentu elektronikoen erabilerari dagokion zergaren etekina Arabako Foru Aldundian sartzeko prozeduran esku hartuko du, bai eta hura behar bezala egozteko behar den informazioa bidaltzeko prozeduran ere, dokumentu fisikoetarako aurreikusitako prozeduran egiten duen antzera.</w:t>
      </w:r>
    </w:p>
    <w:p w14:paraId="42419A54" w14:textId="77777777" w:rsidR="00F4427B" w:rsidRPr="00F4427B" w:rsidRDefault="0025723F" w:rsidP="007C5288">
      <w:pPr>
        <w:rPr>
          <w:szCs w:val="22"/>
        </w:rPr>
      </w:pPr>
      <w:r>
        <w:rPr>
          <w:szCs w:val="22"/>
          <w:lang w:val="eu-ES"/>
        </w:rPr>
        <w:t>Arabako Lurralde Historikoko Dirubilketa Araudi Orokorra onesten duen Arabako Diputatuen Kontseiluaren 1994ko maiatzaren 10eko 48/1994 Foru Dekretuak 29. artikuluan ezartzen du Arabako Foru Aldundiaren paper tinbreduna efektu tinbreduntzat hartzen dela, eta efektu tinbredunak Ogasun, Finantza eta Aurrekontu Saileko foru diputatuaren foru agindu bidez sortu eta aldatuko direla.</w:t>
      </w:r>
    </w:p>
    <w:p w14:paraId="69CA631A" w14:textId="77777777" w:rsidR="00F4427B" w:rsidRPr="00F4427B" w:rsidRDefault="0025723F" w:rsidP="007C5288">
      <w:pPr>
        <w:rPr>
          <w:szCs w:val="22"/>
        </w:rPr>
      </w:pPr>
      <w:r>
        <w:rPr>
          <w:szCs w:val="22"/>
          <w:lang w:val="eu-ES"/>
        </w:rPr>
        <w:t>Ondare eskualdaketen eta egintza juridiko dokumentatuen gaineko zergari buruzko martxoaren 31ko 11/2003 Foru Arauaren 62. artikuluak ezartzen duenez, Ogasun, Finantza eta Aurrekontu Saileko diputatuak, foru agindu bidez, efektu tinbredunen forma, estanpazioa, espeziea, ezaugarriak eta zenbakitzea eta horien zuzeneko tinbrea lortzeko kasuak eta prozedura ezarriko ditu.</w:t>
      </w:r>
    </w:p>
    <w:p w14:paraId="1448CD71" w14:textId="77777777" w:rsidR="00F4427B" w:rsidRPr="00F4427B" w:rsidRDefault="0025723F" w:rsidP="007C5288">
      <w:pPr>
        <w:rPr>
          <w:szCs w:val="22"/>
        </w:rPr>
      </w:pPr>
      <w:r>
        <w:rPr>
          <w:szCs w:val="22"/>
          <w:lang w:val="eu-ES"/>
        </w:rPr>
        <w:t>Ondorioz, beharrezkoa da foru agindu honen bidez onestea Arabako notario folio elektroniko tinbredunen mota berriek bete behar dituzten zehaztapen teknikoak, bai eta horiek zenbakitzeko eta ondare eskualdaketen eta egintza juridiko dokumentatuen gaineko zergaren kuota finkoa ordaintzeko modua ere.</w:t>
      </w:r>
    </w:p>
    <w:p w14:paraId="47FE183B" w14:textId="77777777" w:rsidR="00E37477" w:rsidRPr="00F4427B" w:rsidRDefault="0025723F" w:rsidP="007C5288">
      <w:pPr>
        <w:rPr>
          <w:szCs w:val="22"/>
        </w:rPr>
      </w:pPr>
      <w:r>
        <w:rPr>
          <w:szCs w:val="22"/>
          <w:lang w:val="eu-ES"/>
        </w:rPr>
        <w:lastRenderedPageBreak/>
        <w:t>Aztertu da Zerga Araudiaren Zerbitzuak horri buruz egindako txostena.</w:t>
      </w:r>
    </w:p>
    <w:p w14:paraId="79F46167" w14:textId="77777777" w:rsidR="00E37477" w:rsidRPr="00F4427B" w:rsidRDefault="0025723F" w:rsidP="007C5288">
      <w:pPr>
        <w:rPr>
          <w:szCs w:val="22"/>
        </w:rPr>
      </w:pPr>
      <w:r>
        <w:rPr>
          <w:szCs w:val="22"/>
          <w:lang w:val="eu-ES"/>
        </w:rPr>
        <w:t>Horrenbestez, eta dagozkidan ahalmenak erabiliz, hau</w:t>
      </w:r>
    </w:p>
    <w:p w14:paraId="2F49A1AF" w14:textId="77777777" w:rsidR="00E37477" w:rsidRPr="00F4427B" w:rsidRDefault="0025723F" w:rsidP="007C5288">
      <w:pPr>
        <w:pStyle w:val="Ttulo1"/>
        <w:spacing w:before="0" w:after="240"/>
        <w:rPr>
          <w:rFonts w:ascii="Times New Roman" w:hAnsi="Times New Roman"/>
        </w:rPr>
      </w:pPr>
      <w:r>
        <w:rPr>
          <w:rFonts w:ascii="Times New Roman" w:hAnsi="Times New Roman"/>
          <w:lang w:val="eu-ES"/>
        </w:rPr>
        <w:t>XEDATZEN DUT</w:t>
      </w:r>
    </w:p>
    <w:p w14:paraId="36CC7464" w14:textId="77777777" w:rsidR="00F4427B" w:rsidRPr="00F4427B" w:rsidRDefault="0025723F" w:rsidP="007C5288">
      <w:pPr>
        <w:rPr>
          <w:rFonts w:eastAsia="Calibri"/>
          <w:b/>
          <w:bCs/>
          <w:szCs w:val="22"/>
          <w:lang w:eastAsia="en-US"/>
        </w:rPr>
      </w:pPr>
      <w:r>
        <w:rPr>
          <w:b/>
          <w:bCs/>
          <w:szCs w:val="22"/>
          <w:lang w:val="eu-ES" w:eastAsia="en-US"/>
        </w:rPr>
        <w:t>1. artikulua. Notario dokumentu elektroniko tinbredunen zehaztapen teknikoak</w:t>
      </w:r>
    </w:p>
    <w:p w14:paraId="5C99F48C" w14:textId="77777777" w:rsidR="00F4427B" w:rsidRPr="00F4427B" w:rsidRDefault="0025723F" w:rsidP="007C5288">
      <w:pPr>
        <w:rPr>
          <w:rFonts w:eastAsia="Calibri"/>
          <w:szCs w:val="22"/>
          <w:lang w:eastAsia="en-US"/>
        </w:rPr>
      </w:pPr>
      <w:r>
        <w:rPr>
          <w:szCs w:val="22"/>
          <w:lang w:val="eu-ES"/>
        </w:rPr>
        <w:t>Onetsi egin dira matrize elektronikoko folio tinbredunen eta hirugarrenentzako kopia baimendu elektroniko tinbredunen folioen zehaztapen teknikoak. Zehaztapen horiek foru agindu honen eranskinean jasotzen dira.</w:t>
      </w:r>
    </w:p>
    <w:p w14:paraId="19477EFF" w14:textId="77777777" w:rsidR="00F4427B" w:rsidRPr="00F4427B" w:rsidRDefault="0025723F" w:rsidP="007C5288">
      <w:pPr>
        <w:rPr>
          <w:rFonts w:eastAsia="Calibri"/>
          <w:b/>
          <w:bCs/>
          <w:szCs w:val="22"/>
          <w:lang w:eastAsia="en-US"/>
        </w:rPr>
      </w:pPr>
      <w:r>
        <w:rPr>
          <w:b/>
          <w:bCs/>
          <w:szCs w:val="22"/>
          <w:lang w:val="eu-ES" w:eastAsia="en-US"/>
        </w:rPr>
        <w:t>2. artikulua. Dirubilketa eta dirua sartzea Arabako Foru Aldundian</w:t>
      </w:r>
    </w:p>
    <w:p w14:paraId="66DFB1D5" w14:textId="77777777" w:rsidR="00F4427B" w:rsidRDefault="0025723F" w:rsidP="007C5288">
      <w:pPr>
        <w:rPr>
          <w:rFonts w:eastAsia="Calibri"/>
          <w:szCs w:val="22"/>
          <w:lang w:eastAsia="en-US"/>
        </w:rPr>
      </w:pPr>
      <w:r>
        <w:rPr>
          <w:szCs w:val="22"/>
          <w:lang w:val="eu-ES" w:eastAsia="en-US"/>
        </w:rPr>
        <w:t>Notariotzaren Kontseilu Nagusiak, hilabete bakoitzaren hogeita bosgarren eguna baino lehen eta Arabako Foru Aldundiaren egoitza elektronikoaren bidez, autolikidazio bat aurkeztu beharko du, zeinetan adieraziko baitu aurreko hilean erabili diren eta Arabako tinbre elektronikoa duten folioen kopurua, bai eta notario folioei eragiten dien eta ondare eskualdaketen eta egintza juridiko dokumentatuen gaineko zergaren Foru Arauan jasotzen den kuota finkoa aplikatzearen ondorioz horiek ordaindu beharreko zerga kuotaren kalkulua ere.</w:t>
      </w:r>
    </w:p>
    <w:p w14:paraId="2EB6373C" w14:textId="77777777" w:rsidR="00F4427B" w:rsidRPr="00F4427B" w:rsidRDefault="0025723F" w:rsidP="007C5288">
      <w:pPr>
        <w:rPr>
          <w:rFonts w:eastAsia="Calibri"/>
          <w:szCs w:val="22"/>
          <w:lang w:eastAsia="en-US"/>
        </w:rPr>
      </w:pPr>
      <w:r>
        <w:rPr>
          <w:szCs w:val="22"/>
          <w:lang w:val="eu-ES" w:eastAsia="en-US"/>
        </w:rPr>
        <w:t>Zerga zorra ordaintzeko, transferentzia bat egin beharko da Arabako Foru Aldundiaren kontuan, edo haren egoitza elektronikoan onartutako edozein ordainketa moduren bidez.</w:t>
      </w:r>
    </w:p>
    <w:p w14:paraId="1F71C022" w14:textId="77777777" w:rsidR="00105807" w:rsidRPr="00F4427B" w:rsidRDefault="0025723F" w:rsidP="007C5288">
      <w:pPr>
        <w:rPr>
          <w:b/>
          <w:szCs w:val="22"/>
        </w:rPr>
      </w:pPr>
      <w:r>
        <w:rPr>
          <w:b/>
          <w:bCs/>
          <w:szCs w:val="22"/>
          <w:lang w:val="eu-ES"/>
        </w:rPr>
        <w:t>AZKEN XEDAPENA. Indarrean jartzea</w:t>
      </w:r>
    </w:p>
    <w:p w14:paraId="69E488D4" w14:textId="77777777" w:rsidR="00E37477" w:rsidRPr="00F4427B" w:rsidRDefault="0025723F" w:rsidP="007C5288">
      <w:pPr>
        <w:rPr>
          <w:rFonts w:eastAsia="Calibri"/>
          <w:szCs w:val="22"/>
          <w:lang w:eastAsia="en-US"/>
        </w:rPr>
      </w:pPr>
      <w:r>
        <w:rPr>
          <w:szCs w:val="22"/>
          <w:lang w:val="eu-ES" w:eastAsia="en-US"/>
        </w:rPr>
        <w:t>Foru agindu hau Arabako Aldizkari Ofizialean argitaratzen den egunean bertan jarriko da indarrean eta 2026ko ekainaren 1etik aurrera sortuko ditu ondorioak.</w:t>
      </w:r>
    </w:p>
    <w:p w14:paraId="7F621ADB" w14:textId="77777777" w:rsidR="00E37477" w:rsidRPr="00F4427B" w:rsidRDefault="0025723F" w:rsidP="00F4427B">
      <w:pPr>
        <w:rPr>
          <w:szCs w:val="22"/>
        </w:rPr>
      </w:pPr>
      <w:r>
        <w:rPr>
          <w:szCs w:val="22"/>
          <w:lang w:val="eu-ES"/>
        </w:rPr>
        <w:t>Vitoria-Gasteiz</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A870A5" w14:paraId="5FA6E263" w14:textId="77777777">
        <w:trPr>
          <w:trHeight w:val="1541"/>
        </w:trPr>
        <w:tc>
          <w:tcPr>
            <w:tcW w:w="4605" w:type="dxa"/>
          </w:tcPr>
          <w:p w14:paraId="71AD4EB3" w14:textId="77777777" w:rsidR="00EE516B" w:rsidRPr="00F4427B" w:rsidRDefault="00EE516B" w:rsidP="00EE516B">
            <w:pPr>
              <w:autoSpaceDE w:val="0"/>
              <w:autoSpaceDN w:val="0"/>
              <w:adjustRightInd w:val="0"/>
              <w:spacing w:after="0"/>
              <w:jc w:val="left"/>
              <w:rPr>
                <w:b/>
                <w:bCs/>
                <w:szCs w:val="22"/>
              </w:rPr>
            </w:pPr>
          </w:p>
          <w:p w14:paraId="20B10EB5" w14:textId="77777777" w:rsidR="00EE516B" w:rsidRPr="00F4427B" w:rsidRDefault="00EE516B" w:rsidP="00EE516B">
            <w:pPr>
              <w:autoSpaceDE w:val="0"/>
              <w:autoSpaceDN w:val="0"/>
              <w:adjustRightInd w:val="0"/>
              <w:spacing w:after="0"/>
              <w:jc w:val="left"/>
              <w:rPr>
                <w:b/>
                <w:bCs/>
                <w:szCs w:val="22"/>
              </w:rPr>
            </w:pPr>
          </w:p>
          <w:p w14:paraId="438DFBF6" w14:textId="77777777" w:rsidR="00EE516B" w:rsidRPr="00F4427B" w:rsidRDefault="00EE516B" w:rsidP="00EE516B">
            <w:pPr>
              <w:autoSpaceDE w:val="0"/>
              <w:autoSpaceDN w:val="0"/>
              <w:adjustRightInd w:val="0"/>
              <w:spacing w:after="0"/>
              <w:jc w:val="left"/>
              <w:rPr>
                <w:b/>
                <w:bCs/>
                <w:szCs w:val="22"/>
              </w:rPr>
            </w:pPr>
          </w:p>
          <w:p w14:paraId="3907EDC6" w14:textId="77777777" w:rsidR="00EE516B" w:rsidRPr="00F4427B" w:rsidRDefault="00EE516B" w:rsidP="00EE516B">
            <w:pPr>
              <w:autoSpaceDE w:val="0"/>
              <w:autoSpaceDN w:val="0"/>
              <w:adjustRightInd w:val="0"/>
              <w:spacing w:after="0"/>
              <w:jc w:val="left"/>
              <w:rPr>
                <w:b/>
                <w:bCs/>
                <w:szCs w:val="22"/>
              </w:rPr>
            </w:pPr>
          </w:p>
          <w:p w14:paraId="0039A3DE" w14:textId="77777777" w:rsidR="00EE516B" w:rsidRPr="00F4427B" w:rsidRDefault="00EE516B" w:rsidP="00EE516B">
            <w:pPr>
              <w:autoSpaceDE w:val="0"/>
              <w:autoSpaceDN w:val="0"/>
              <w:adjustRightInd w:val="0"/>
              <w:spacing w:after="0"/>
              <w:jc w:val="left"/>
              <w:rPr>
                <w:b/>
                <w:bCs/>
                <w:szCs w:val="22"/>
              </w:rPr>
            </w:pPr>
          </w:p>
          <w:p w14:paraId="3E503472" w14:textId="77777777" w:rsidR="00EE516B" w:rsidRPr="00F4427B" w:rsidRDefault="00EE516B" w:rsidP="00EE516B">
            <w:pPr>
              <w:autoSpaceDE w:val="0"/>
              <w:autoSpaceDN w:val="0"/>
              <w:adjustRightInd w:val="0"/>
              <w:spacing w:after="0"/>
              <w:jc w:val="left"/>
              <w:rPr>
                <w:b/>
                <w:bCs/>
                <w:szCs w:val="22"/>
              </w:rPr>
            </w:pPr>
          </w:p>
          <w:p w14:paraId="25F8C71E" w14:textId="77777777" w:rsidR="00EE516B" w:rsidRPr="00F4427B" w:rsidRDefault="0025723F" w:rsidP="00EE516B">
            <w:pPr>
              <w:autoSpaceDE w:val="0"/>
              <w:autoSpaceDN w:val="0"/>
              <w:adjustRightInd w:val="0"/>
              <w:spacing w:after="0"/>
              <w:jc w:val="left"/>
              <w:rPr>
                <w:b/>
                <w:bCs/>
                <w:szCs w:val="22"/>
              </w:rPr>
            </w:pPr>
            <w:r>
              <w:rPr>
                <w:b/>
                <w:bCs/>
                <w:szCs w:val="22"/>
                <w:lang w:val="eu-ES"/>
              </w:rPr>
              <w:t>Itziar Gonzalo de Zuazo</w:t>
            </w:r>
          </w:p>
          <w:p w14:paraId="53FB999F" w14:textId="77777777" w:rsidR="00EE516B" w:rsidRPr="00F4427B" w:rsidRDefault="0025723F" w:rsidP="00EE516B">
            <w:pPr>
              <w:autoSpaceDE w:val="0"/>
              <w:autoSpaceDN w:val="0"/>
              <w:adjustRightInd w:val="0"/>
              <w:spacing w:after="0"/>
              <w:jc w:val="left"/>
              <w:rPr>
                <w:szCs w:val="22"/>
              </w:rPr>
            </w:pPr>
            <w:r>
              <w:rPr>
                <w:szCs w:val="22"/>
                <w:lang w:val="eu-ES"/>
              </w:rPr>
              <w:t>Bigarren diputatu nagusiorde eta Ogasun, Finantza eta Aurrekontu Saileko foru diputatua</w:t>
            </w:r>
          </w:p>
          <w:p w14:paraId="76414CCA" w14:textId="77777777" w:rsidR="00E37477" w:rsidRPr="00F4427B" w:rsidRDefault="0025723F" w:rsidP="009B35F8">
            <w:pPr>
              <w:spacing w:after="0"/>
              <w:jc w:val="left"/>
              <w:rPr>
                <w:szCs w:val="22"/>
                <w:lang w:val="es-ES_tradnl" w:bidi="or-IN"/>
              </w:rPr>
            </w:pPr>
            <w:r>
              <w:rPr>
                <w:szCs w:val="22"/>
                <w:lang w:val="eu-ES"/>
              </w:rPr>
              <w:t>Segunda teniente de Diputado General y Diputada Foral del Departamento de Hacienda, Finanzas y Presupuestos</w:t>
            </w:r>
          </w:p>
        </w:tc>
        <w:tc>
          <w:tcPr>
            <w:tcW w:w="4605" w:type="dxa"/>
          </w:tcPr>
          <w:p w14:paraId="422BCE07" w14:textId="77777777" w:rsidR="00E37477" w:rsidRPr="00F4427B" w:rsidRDefault="0025723F">
            <w:pPr>
              <w:spacing w:before="1560" w:after="60" w:line="240" w:lineRule="exact"/>
              <w:rPr>
                <w:b/>
                <w:szCs w:val="22"/>
              </w:rPr>
            </w:pPr>
            <w:r>
              <w:rPr>
                <w:b/>
                <w:bCs/>
                <w:szCs w:val="22"/>
                <w:lang w:val="eu-ES"/>
              </w:rPr>
              <w:t>María José Perea Urteaga</w:t>
            </w:r>
          </w:p>
          <w:p w14:paraId="258BCB12" w14:textId="77777777" w:rsidR="00E37477" w:rsidRPr="00F4427B" w:rsidRDefault="0025723F">
            <w:pPr>
              <w:spacing w:after="20" w:line="240" w:lineRule="exact"/>
              <w:rPr>
                <w:szCs w:val="22"/>
              </w:rPr>
            </w:pPr>
            <w:r>
              <w:rPr>
                <w:szCs w:val="22"/>
                <w:lang w:val="eu-ES"/>
              </w:rPr>
              <w:t xml:space="preserve">Ogasun zuzendaria </w:t>
            </w:r>
          </w:p>
          <w:p w14:paraId="7EFA33EC" w14:textId="77777777" w:rsidR="00E37477" w:rsidRPr="00F4427B" w:rsidRDefault="0025723F">
            <w:pPr>
              <w:spacing w:after="20" w:line="240" w:lineRule="exact"/>
              <w:rPr>
                <w:szCs w:val="22"/>
              </w:rPr>
            </w:pPr>
            <w:r>
              <w:rPr>
                <w:szCs w:val="22"/>
                <w:lang w:val="eu-ES"/>
              </w:rPr>
              <w:t xml:space="preserve">Directora de Hacienda </w:t>
            </w:r>
          </w:p>
        </w:tc>
      </w:tr>
    </w:tbl>
    <w:p w14:paraId="2047E155" w14:textId="77777777" w:rsidR="00E37477" w:rsidRDefault="00E37477">
      <w:pPr>
        <w:rPr>
          <w:szCs w:val="22"/>
        </w:rPr>
      </w:pPr>
    </w:p>
    <w:p w14:paraId="009C4CE7" w14:textId="77777777" w:rsidR="00384DA5" w:rsidRDefault="00384DA5">
      <w:pPr>
        <w:rPr>
          <w:szCs w:val="22"/>
        </w:rPr>
      </w:pPr>
    </w:p>
    <w:p w14:paraId="073EF74A" w14:textId="77777777" w:rsidR="00384DA5" w:rsidRDefault="00384DA5">
      <w:pPr>
        <w:rPr>
          <w:szCs w:val="22"/>
        </w:rPr>
      </w:pPr>
    </w:p>
    <w:p w14:paraId="6DCF06E2" w14:textId="77777777" w:rsidR="0025723F" w:rsidRDefault="0025723F">
      <w:pPr>
        <w:rPr>
          <w:szCs w:val="22"/>
        </w:rPr>
      </w:pPr>
    </w:p>
    <w:p w14:paraId="15A17C4C" w14:textId="77777777" w:rsidR="00384DA5" w:rsidRPr="00137605" w:rsidRDefault="0025723F" w:rsidP="00384DA5">
      <w:pPr>
        <w:jc w:val="center"/>
        <w:rPr>
          <w:b/>
          <w:bCs/>
        </w:rPr>
      </w:pPr>
      <w:r>
        <w:rPr>
          <w:b/>
          <w:bCs/>
          <w:szCs w:val="22"/>
          <w:lang w:val="eu-ES"/>
        </w:rPr>
        <w:lastRenderedPageBreak/>
        <w:t>ERANSKINA</w:t>
      </w:r>
    </w:p>
    <w:p w14:paraId="6F2A273E" w14:textId="77777777" w:rsidR="00384DA5" w:rsidRPr="00137605" w:rsidRDefault="0025723F" w:rsidP="00384DA5">
      <w:pPr>
        <w:jc w:val="center"/>
        <w:rPr>
          <w:b/>
          <w:bCs/>
        </w:rPr>
      </w:pPr>
      <w:r>
        <w:rPr>
          <w:b/>
          <w:bCs/>
          <w:szCs w:val="22"/>
          <w:lang w:val="eu-ES"/>
        </w:rPr>
        <w:t>Notario dokumentu elektroniko tinbredunen zehaztapen teknikoak</w:t>
      </w:r>
      <w:r>
        <w:rPr>
          <w:b/>
          <w:bCs/>
          <w:szCs w:val="22"/>
          <w:lang w:val="eu-ES"/>
        </w:rPr>
        <w:tab/>
      </w:r>
    </w:p>
    <w:p w14:paraId="3F305D7D" w14:textId="77777777" w:rsidR="00384DA5" w:rsidRPr="00137605" w:rsidRDefault="0025723F" w:rsidP="00384DA5">
      <w:pPr>
        <w:rPr>
          <w:b/>
          <w:bCs/>
        </w:rPr>
      </w:pPr>
      <w:r w:rsidRPr="00137605">
        <w:rPr>
          <w:b/>
          <w:bCs/>
        </w:rPr>
        <w:tab/>
      </w:r>
    </w:p>
    <w:p w14:paraId="3D7F4C1E" w14:textId="77777777" w:rsidR="00384DA5" w:rsidRPr="00137605" w:rsidRDefault="0025723F" w:rsidP="00384DA5">
      <w:r>
        <w:rPr>
          <w:szCs w:val="22"/>
          <w:lang w:val="eu-ES"/>
        </w:rPr>
        <w:t>ISO 19005 estandarraren araberako euskarri elektronikoa. Folio bakoitza tinbre mugikor bat da, eta honako informazio hau jasotzen du:</w:t>
      </w:r>
    </w:p>
    <w:p w14:paraId="5797EE38" w14:textId="77777777" w:rsidR="00384DA5" w:rsidRPr="00137605" w:rsidRDefault="0025723F" w:rsidP="00384DA5">
      <w:pPr>
        <w:pStyle w:val="Prrafodelista"/>
        <w:numPr>
          <w:ilvl w:val="0"/>
          <w:numId w:val="1"/>
        </w:numPr>
        <w:spacing w:after="240" w:line="240" w:lineRule="auto"/>
        <w:ind w:left="284" w:hanging="284"/>
        <w:contextualSpacing w:val="0"/>
        <w:jc w:val="both"/>
        <w:rPr>
          <w:rFonts w:ascii="Times New Roman" w:hAnsi="Times New Roman"/>
        </w:rPr>
      </w:pPr>
      <w:r>
        <w:rPr>
          <w:rFonts w:ascii="Times New Roman" w:eastAsia="Times New Roman" w:hAnsi="Times New Roman"/>
          <w:lang w:val="eu-ES"/>
        </w:rPr>
        <w:t>Euskarria sortu den hilabetea eta urtea, kolore beltzean</w:t>
      </w:r>
    </w:p>
    <w:p w14:paraId="7A9AB395" w14:textId="77777777" w:rsidR="00384DA5" w:rsidRPr="00137605" w:rsidRDefault="0025723F" w:rsidP="00384DA5">
      <w:pPr>
        <w:pStyle w:val="Prrafodelista"/>
        <w:numPr>
          <w:ilvl w:val="0"/>
          <w:numId w:val="1"/>
        </w:numPr>
        <w:spacing w:after="240" w:line="240" w:lineRule="auto"/>
        <w:ind w:left="284" w:hanging="284"/>
        <w:contextualSpacing w:val="0"/>
        <w:jc w:val="both"/>
        <w:rPr>
          <w:rFonts w:ascii="Times New Roman" w:hAnsi="Times New Roman"/>
        </w:rPr>
      </w:pPr>
      <w:r>
        <w:rPr>
          <w:rFonts w:ascii="Times New Roman" w:eastAsia="Times New Roman" w:hAnsi="Times New Roman"/>
          <w:lang w:val="eu-ES"/>
        </w:rPr>
        <w:t>Tinbrearen identifikatzaile bakarra, testu alfanumerikoko formatuan, kolore beltzean</w:t>
      </w:r>
    </w:p>
    <w:p w14:paraId="1BE841C9" w14:textId="77777777" w:rsidR="00384DA5" w:rsidRPr="00137605" w:rsidRDefault="0025723F" w:rsidP="00384DA5">
      <w:pPr>
        <w:pStyle w:val="Prrafodelista"/>
        <w:numPr>
          <w:ilvl w:val="0"/>
          <w:numId w:val="1"/>
        </w:numPr>
        <w:spacing w:after="240" w:line="240" w:lineRule="auto"/>
        <w:ind w:left="284" w:hanging="284"/>
        <w:contextualSpacing w:val="0"/>
        <w:jc w:val="both"/>
        <w:rPr>
          <w:rFonts w:ascii="Times New Roman" w:hAnsi="Times New Roman"/>
        </w:rPr>
      </w:pPr>
      <w:r>
        <w:rPr>
          <w:rFonts w:ascii="Times New Roman" w:eastAsia="Times New Roman" w:hAnsi="Times New Roman"/>
          <w:lang w:val="eu-ES"/>
        </w:rPr>
        <w:t>2D kodea, identifikatzaile bakarra duena, kolore beltzean</w:t>
      </w:r>
    </w:p>
    <w:p w14:paraId="383069CD" w14:textId="77777777" w:rsidR="00384DA5" w:rsidRPr="00137605" w:rsidRDefault="0025723F" w:rsidP="00384DA5">
      <w:pPr>
        <w:pStyle w:val="Prrafodelista"/>
        <w:numPr>
          <w:ilvl w:val="0"/>
          <w:numId w:val="1"/>
        </w:numPr>
        <w:spacing w:after="240" w:line="240" w:lineRule="auto"/>
        <w:ind w:left="284" w:hanging="284"/>
        <w:contextualSpacing w:val="0"/>
        <w:jc w:val="both"/>
        <w:rPr>
          <w:rFonts w:ascii="Times New Roman" w:hAnsi="Times New Roman"/>
        </w:rPr>
      </w:pPr>
      <w:r>
        <w:rPr>
          <w:rFonts w:ascii="Times New Roman" w:eastAsia="Times New Roman" w:hAnsi="Times New Roman"/>
          <w:lang w:val="eu-ES"/>
        </w:rPr>
        <w:t>Foru tinbrearen irudia, Pantone 485 (GORRIA) kolorean edo horren atzekoan</w:t>
      </w:r>
    </w:p>
    <w:p w14:paraId="3457B6A3" w14:textId="77777777" w:rsidR="00384DA5" w:rsidRPr="00137605" w:rsidRDefault="0025723F" w:rsidP="00384DA5">
      <w:pPr>
        <w:pStyle w:val="Prrafodelista"/>
        <w:numPr>
          <w:ilvl w:val="0"/>
          <w:numId w:val="1"/>
        </w:numPr>
        <w:spacing w:after="240" w:line="240" w:lineRule="auto"/>
        <w:ind w:left="284" w:hanging="284"/>
        <w:contextualSpacing w:val="0"/>
        <w:jc w:val="both"/>
        <w:rPr>
          <w:rFonts w:ascii="Times New Roman" w:hAnsi="Times New Roman"/>
        </w:rPr>
      </w:pPr>
      <w:r>
        <w:rPr>
          <w:rFonts w:ascii="Times New Roman" w:eastAsia="Times New Roman" w:hAnsi="Times New Roman"/>
          <w:lang w:val="eu-ES"/>
        </w:rPr>
        <w:t>Euskarriaren balioa, Arabako Foru Aldundiaren logotipoarekin, Pantone 485 (GORRIA) kolorean edo horren antzekoan</w:t>
      </w:r>
    </w:p>
    <w:p w14:paraId="24066AE6" w14:textId="77777777" w:rsidR="00384DA5" w:rsidRPr="00137605" w:rsidRDefault="0025723F" w:rsidP="00384DA5">
      <w:pPr>
        <w:pStyle w:val="Prrafodelista"/>
        <w:numPr>
          <w:ilvl w:val="0"/>
          <w:numId w:val="1"/>
        </w:numPr>
        <w:spacing w:after="240" w:line="240" w:lineRule="auto"/>
        <w:ind w:left="284" w:hanging="284"/>
        <w:contextualSpacing w:val="0"/>
        <w:jc w:val="both"/>
        <w:rPr>
          <w:rFonts w:ascii="Times New Roman" w:hAnsi="Times New Roman"/>
        </w:rPr>
      </w:pPr>
      <w:r>
        <w:rPr>
          <w:rFonts w:ascii="Times New Roman" w:eastAsia="Times New Roman" w:hAnsi="Times New Roman"/>
          <w:lang w:val="eu-ES"/>
        </w:rPr>
        <w:t>Tinbre zenbakia, Notarioen Elkargoaren identifikatzailea kodetuta duena, kolore beltzean</w:t>
      </w:r>
    </w:p>
    <w:p w14:paraId="253FD1AC" w14:textId="77777777" w:rsidR="00384DA5" w:rsidRPr="00137605" w:rsidRDefault="00384DA5" w:rsidP="00384DA5"/>
    <w:p w14:paraId="1C5B7E57" w14:textId="77777777" w:rsidR="00384DA5" w:rsidRPr="00F4427B" w:rsidRDefault="00384DA5">
      <w:pPr>
        <w:rPr>
          <w:szCs w:val="22"/>
        </w:rPr>
      </w:pPr>
    </w:p>
    <w:sectPr w:rsidR="00384DA5" w:rsidRPr="00F4427B" w:rsidSect="00E12EA6">
      <w:headerReference w:type="even" r:id="rId7"/>
      <w:headerReference w:type="default" r:id="rId8"/>
      <w:footerReference w:type="even" r:id="rId9"/>
      <w:footerReference w:type="default" r:id="rId10"/>
      <w:headerReference w:type="first" r:id="rId11"/>
      <w:footerReference w:type="first" r:id="rId12"/>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C76AA" w14:textId="77777777" w:rsidR="0025723F" w:rsidRDefault="0025723F">
      <w:pPr>
        <w:spacing w:after="0"/>
      </w:pPr>
      <w:r>
        <w:separator/>
      </w:r>
    </w:p>
  </w:endnote>
  <w:endnote w:type="continuationSeparator" w:id="0">
    <w:p w14:paraId="718A68F6" w14:textId="77777777" w:rsidR="0025723F" w:rsidRDefault="002572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AA1B" w14:textId="77777777" w:rsidR="002F0698" w:rsidRDefault="002F069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33AB" w14:textId="77777777" w:rsidR="00E37477" w:rsidRDefault="0025723F">
    <w:pPr>
      <w:pStyle w:val="Piedepgina"/>
      <w:tabs>
        <w:tab w:val="clear" w:pos="4252"/>
        <w:tab w:val="clear" w:pos="8504"/>
      </w:tabs>
      <w:jc w:val="right"/>
    </w:pPr>
    <w:r>
      <w:rPr>
        <w:rStyle w:val="Nmerodepgina"/>
      </w:rPr>
      <w:fldChar w:fldCharType="begin"/>
    </w:r>
    <w:r>
      <w:rPr>
        <w:rStyle w:val="Nmerodepgina"/>
      </w:rPr>
      <w:instrText xml:space="preserve"> PAGE </w:instrText>
    </w:r>
    <w:r>
      <w:rPr>
        <w:rStyle w:val="Nmerodepgina"/>
      </w:rPr>
      <w:fldChar w:fldCharType="separate"/>
    </w:r>
    <w:r w:rsidR="002F0698">
      <w:rPr>
        <w:rStyle w:val="Nmerodepgina"/>
        <w:noProof/>
      </w:rPr>
      <w:t>2</w:t>
    </w:r>
    <w:r>
      <w:rPr>
        <w:rStyle w:val="Nmerodepgina"/>
      </w:rPr>
      <w:fldChar w:fldCharType="end"/>
    </w:r>
    <w:r>
      <w:rPr>
        <w:rStyle w:val="Nmerodepgina"/>
      </w:rPr>
      <w:t>/</w:t>
    </w:r>
    <w:r>
      <w:rPr>
        <w:rStyle w:val="Nmerodepgina"/>
      </w:rPr>
      <w:fldChar w:fldCharType="begin"/>
    </w:r>
    <w:r>
      <w:rPr>
        <w:rStyle w:val="Nmerodepgina"/>
      </w:rPr>
      <w:instrText xml:space="preserve"> NUMPAGES </w:instrText>
    </w:r>
    <w:r>
      <w:rPr>
        <w:rStyle w:val="Nmerodepgina"/>
      </w:rPr>
      <w:fldChar w:fldCharType="separate"/>
    </w:r>
    <w:r w:rsidR="002F0698">
      <w:rPr>
        <w:rStyle w:val="Nmerodepgina"/>
        <w:noProof/>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AE5D" w14:textId="77777777" w:rsidR="00E37477" w:rsidRDefault="0025723F">
    <w:pPr>
      <w:pStyle w:val="Piedepgina"/>
      <w:tabs>
        <w:tab w:val="clear" w:pos="4252"/>
        <w:tab w:val="clear" w:pos="8504"/>
        <w:tab w:val="right" w:pos="9072"/>
      </w:tabs>
    </w:pPr>
    <w:r>
      <w:tab/>
    </w:r>
    <w:r>
      <w:rPr>
        <w:rStyle w:val="Nmerodepgina"/>
      </w:rPr>
      <w:fldChar w:fldCharType="begin"/>
    </w:r>
    <w:r>
      <w:rPr>
        <w:rStyle w:val="Nmerodepgina"/>
      </w:rPr>
      <w:instrText xml:space="preserve"> PAGE </w:instrText>
    </w:r>
    <w:r>
      <w:rPr>
        <w:rStyle w:val="Nmerodepgina"/>
      </w:rPr>
      <w:fldChar w:fldCharType="separate"/>
    </w:r>
    <w:r w:rsidR="002F0698">
      <w:rPr>
        <w:rStyle w:val="Nmerodepgina"/>
        <w:noProof/>
      </w:rPr>
      <w:t>1</w:t>
    </w:r>
    <w:r>
      <w:rPr>
        <w:rStyle w:val="Nmerodepgina"/>
      </w:rPr>
      <w:fldChar w:fldCharType="end"/>
    </w:r>
    <w:r>
      <w:t>/</w:t>
    </w:r>
    <w:r>
      <w:rPr>
        <w:rStyle w:val="Nmerodepgina"/>
      </w:rPr>
      <w:fldChar w:fldCharType="begin"/>
    </w:r>
    <w:r>
      <w:rPr>
        <w:rStyle w:val="Nmerodepgina"/>
      </w:rPr>
      <w:instrText xml:space="preserve"> NUMPAGES </w:instrText>
    </w:r>
    <w:r>
      <w:rPr>
        <w:rStyle w:val="Nmerodepgina"/>
      </w:rPr>
      <w:fldChar w:fldCharType="separate"/>
    </w:r>
    <w:r w:rsidR="002F0698">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70FE9" w14:textId="77777777" w:rsidR="0025723F" w:rsidRDefault="0025723F">
      <w:pPr>
        <w:spacing w:after="0"/>
      </w:pPr>
      <w:r>
        <w:separator/>
      </w:r>
    </w:p>
  </w:footnote>
  <w:footnote w:type="continuationSeparator" w:id="0">
    <w:p w14:paraId="0B29B289" w14:textId="77777777" w:rsidR="0025723F" w:rsidRDefault="002572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02EA6" w14:textId="77777777" w:rsidR="002F0698" w:rsidRDefault="002F06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A870A5" w14:paraId="389C0970" w14:textId="77777777">
      <w:trPr>
        <w:cantSplit/>
        <w:trHeight w:val="338"/>
      </w:trPr>
      <w:tc>
        <w:tcPr>
          <w:tcW w:w="3856" w:type="dxa"/>
        </w:tcPr>
        <w:p w14:paraId="05A9A050" w14:textId="77777777" w:rsidR="00E37477" w:rsidRDefault="00E37477">
          <w:pPr>
            <w:pStyle w:val="Encabezado"/>
          </w:pPr>
        </w:p>
      </w:tc>
      <w:tc>
        <w:tcPr>
          <w:tcW w:w="1361" w:type="dxa"/>
          <w:vMerge w:val="restart"/>
        </w:tcPr>
        <w:p w14:paraId="5777DE19" w14:textId="77777777" w:rsidR="00E37477" w:rsidRDefault="0025723F">
          <w:pPr>
            <w:pStyle w:val="Encabezado"/>
            <w:jc w:val="center"/>
          </w:pPr>
          <w:r>
            <w:rPr>
              <w:noProof/>
            </w:rPr>
            <w:drawing>
              <wp:inline distT="0" distB="0" distL="0" distR="0" wp14:anchorId="581C3E97" wp14:editId="4E9A17B2">
                <wp:extent cx="429260" cy="429260"/>
                <wp:effectExtent l="0" t="0" r="0" b="0"/>
                <wp:docPr id="1"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9260" cy="429260"/>
                        </a:xfrm>
                        <a:prstGeom prst="rect">
                          <a:avLst/>
                        </a:prstGeom>
                        <a:noFill/>
                        <a:ln>
                          <a:noFill/>
                        </a:ln>
                      </pic:spPr>
                    </pic:pic>
                  </a:graphicData>
                </a:graphic>
              </wp:inline>
            </w:drawing>
          </w:r>
        </w:p>
      </w:tc>
      <w:tc>
        <w:tcPr>
          <w:tcW w:w="3856" w:type="dxa"/>
        </w:tcPr>
        <w:p w14:paraId="2C905866" w14:textId="77777777" w:rsidR="00E37477" w:rsidRDefault="00E37477">
          <w:pPr>
            <w:pStyle w:val="Encabezado"/>
          </w:pPr>
        </w:p>
      </w:tc>
    </w:tr>
    <w:tr w:rsidR="00A870A5" w14:paraId="655461AD" w14:textId="77777777">
      <w:trPr>
        <w:cantSplit/>
        <w:trHeight w:val="337"/>
      </w:trPr>
      <w:tc>
        <w:tcPr>
          <w:tcW w:w="3856" w:type="dxa"/>
        </w:tcPr>
        <w:p w14:paraId="5522D2FF" w14:textId="77777777" w:rsidR="00E37477" w:rsidRDefault="00E37477">
          <w:pPr>
            <w:pStyle w:val="Encabezado"/>
          </w:pPr>
        </w:p>
      </w:tc>
      <w:tc>
        <w:tcPr>
          <w:tcW w:w="1361" w:type="dxa"/>
          <w:vMerge/>
        </w:tcPr>
        <w:p w14:paraId="34055B27" w14:textId="77777777" w:rsidR="00E37477" w:rsidRDefault="00E37477">
          <w:pPr>
            <w:pStyle w:val="Encabezado"/>
            <w:jc w:val="center"/>
          </w:pPr>
        </w:p>
      </w:tc>
      <w:tc>
        <w:tcPr>
          <w:tcW w:w="3856" w:type="dxa"/>
        </w:tcPr>
        <w:p w14:paraId="4C86AAD4" w14:textId="77777777" w:rsidR="00E37477" w:rsidRDefault="00E37477">
          <w:pPr>
            <w:pStyle w:val="Encabezado"/>
          </w:pPr>
        </w:p>
      </w:tc>
    </w:tr>
  </w:tbl>
  <w:p w14:paraId="713421CE" w14:textId="77777777" w:rsidR="00E37477" w:rsidRDefault="00E3747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64" w:type="dxa"/>
      <w:tblLayout w:type="fixed"/>
      <w:tblCellMar>
        <w:left w:w="70" w:type="dxa"/>
        <w:right w:w="70" w:type="dxa"/>
      </w:tblCellMar>
      <w:tblLook w:val="0000" w:firstRow="0" w:lastRow="0" w:firstColumn="0" w:lastColumn="0" w:noHBand="0" w:noVBand="0"/>
    </w:tblPr>
    <w:tblGrid>
      <w:gridCol w:w="6804"/>
      <w:gridCol w:w="3402"/>
    </w:tblGrid>
    <w:tr w:rsidR="00A870A5" w14:paraId="7FBF0F91" w14:textId="77777777">
      <w:tc>
        <w:tcPr>
          <w:tcW w:w="6804" w:type="dxa"/>
        </w:tcPr>
        <w:p w14:paraId="5F7EDC9E" w14:textId="77777777" w:rsidR="00E37477" w:rsidRDefault="0025723F">
          <w:pPr>
            <w:pStyle w:val="Encabezado"/>
            <w:tabs>
              <w:tab w:val="clear" w:pos="4252"/>
              <w:tab w:val="clear" w:pos="8504"/>
            </w:tabs>
            <w:spacing w:after="1200"/>
            <w:ind w:left="74"/>
            <w:rPr>
              <w:rFonts w:ascii="Arial" w:hAnsi="Arial"/>
              <w:noProof/>
              <w:sz w:val="16"/>
            </w:rPr>
          </w:pPr>
          <w:r>
            <w:rPr>
              <w:rFonts w:ascii="Arial" w:hAnsi="Arial"/>
              <w:noProof/>
              <w:sz w:val="16"/>
            </w:rPr>
            <w:object w:dxaOrig="3301" w:dyaOrig="1126" w14:anchorId="088BF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840613317" r:id="rId2"/>
            </w:object>
          </w:r>
        </w:p>
        <w:p w14:paraId="20E27D81" w14:textId="77777777" w:rsidR="00E37477" w:rsidRDefault="00E37477">
          <w:pPr>
            <w:pStyle w:val="Encabezado"/>
            <w:spacing w:after="0"/>
            <w:ind w:left="1066"/>
            <w:rPr>
              <w:rFonts w:ascii="Arial" w:hAnsi="Arial"/>
              <w:noProof/>
              <w:sz w:val="16"/>
            </w:rPr>
          </w:pPr>
        </w:p>
      </w:tc>
      <w:tc>
        <w:tcPr>
          <w:tcW w:w="3402" w:type="dxa"/>
        </w:tcPr>
        <w:p w14:paraId="2BF58B1E" w14:textId="77777777" w:rsidR="00E37477" w:rsidRDefault="0025723F">
          <w:pPr>
            <w:pStyle w:val="Encabezado"/>
            <w:tabs>
              <w:tab w:val="clear" w:pos="4252"/>
            </w:tabs>
            <w:spacing w:after="40" w:line="240" w:lineRule="exact"/>
            <w:ind w:left="-68"/>
            <w:jc w:val="left"/>
            <w:rPr>
              <w:rFonts w:ascii="Arial" w:hAnsi="Arial"/>
              <w:b/>
              <w:noProof/>
              <w:sz w:val="18"/>
            </w:rPr>
          </w:pPr>
          <w:r>
            <w:rPr>
              <w:rFonts w:ascii="Arial" w:eastAsia="Arial" w:hAnsi="Arial"/>
              <w:b/>
              <w:bCs/>
              <w:noProof/>
              <w:sz w:val="18"/>
              <w:szCs w:val="18"/>
              <w:lang w:val="eu-ES"/>
            </w:rPr>
            <w:t>Ogasun, Finantza</w:t>
          </w:r>
          <w:r>
            <w:rPr>
              <w:rFonts w:ascii="Arial" w:eastAsia="Arial" w:hAnsi="Arial"/>
              <w:b/>
              <w:bCs/>
              <w:noProof/>
              <w:sz w:val="18"/>
              <w:szCs w:val="18"/>
              <w:lang w:val="eu-ES"/>
            </w:rPr>
            <w:br/>
            <w:t>eta Aurrekontu Saila</w:t>
          </w:r>
        </w:p>
        <w:p w14:paraId="05E6BBCB" w14:textId="77777777" w:rsidR="00E37477" w:rsidRDefault="0025723F">
          <w:pPr>
            <w:pStyle w:val="Encabezado"/>
            <w:tabs>
              <w:tab w:val="clear" w:pos="4252"/>
            </w:tabs>
            <w:spacing w:line="240" w:lineRule="exact"/>
            <w:ind w:left="-68"/>
            <w:jc w:val="left"/>
            <w:rPr>
              <w:rFonts w:ascii="Arial" w:hAnsi="Arial"/>
              <w:noProof/>
              <w:sz w:val="18"/>
            </w:rPr>
          </w:pPr>
          <w:r>
            <w:rPr>
              <w:rFonts w:ascii="Arial" w:eastAsia="Arial" w:hAnsi="Arial"/>
              <w:b/>
              <w:bCs/>
              <w:noProof/>
              <w:sz w:val="18"/>
              <w:szCs w:val="18"/>
              <w:lang w:val="eu-ES"/>
            </w:rPr>
            <w:t>Departamento de Hacienda,</w:t>
          </w:r>
          <w:r>
            <w:rPr>
              <w:rFonts w:ascii="Arial" w:eastAsia="Arial" w:hAnsi="Arial"/>
              <w:b/>
              <w:bCs/>
              <w:noProof/>
              <w:sz w:val="18"/>
              <w:szCs w:val="18"/>
              <w:lang w:val="eu-ES"/>
            </w:rPr>
            <w:br/>
            <w:t>Finanzas y Presupuestos</w:t>
          </w:r>
          <w:r>
            <w:rPr>
              <w:rFonts w:ascii="Arial" w:eastAsia="Arial" w:hAnsi="Arial"/>
              <w:b/>
              <w:bCs/>
              <w:noProof/>
              <w:sz w:val="18"/>
              <w:szCs w:val="18"/>
              <w:lang w:val="eu-ES"/>
            </w:rPr>
            <w:br/>
          </w:r>
        </w:p>
      </w:tc>
    </w:tr>
  </w:tbl>
  <w:p w14:paraId="5FC5300D" w14:textId="77777777" w:rsidR="00E37477" w:rsidRDefault="00E37477">
    <w:pPr>
      <w:pStyle w:val="Encabezado"/>
      <w:pBdr>
        <w:top w:val="single" w:sz="4" w:space="1" w:color="auto"/>
      </w:pBdr>
      <w:tabs>
        <w:tab w:val="clear" w:pos="4252"/>
        <w:tab w:val="clear" w:pos="8504"/>
      </w:tabs>
      <w:spacing w:after="0"/>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30E88"/>
    <w:multiLevelType w:val="hybridMultilevel"/>
    <w:tmpl w:val="47A85756"/>
    <w:lvl w:ilvl="0" w:tplc="DF8224C0">
      <w:start w:val="1"/>
      <w:numFmt w:val="bullet"/>
      <w:lvlText w:val=""/>
      <w:lvlJc w:val="left"/>
      <w:pPr>
        <w:ind w:left="720" w:hanging="360"/>
      </w:pPr>
      <w:rPr>
        <w:rFonts w:ascii="Symbol" w:hAnsi="Symbol" w:hint="default"/>
      </w:rPr>
    </w:lvl>
    <w:lvl w:ilvl="1" w:tplc="65945700" w:tentative="1">
      <w:start w:val="1"/>
      <w:numFmt w:val="bullet"/>
      <w:lvlText w:val="o"/>
      <w:lvlJc w:val="left"/>
      <w:pPr>
        <w:ind w:left="1440" w:hanging="360"/>
      </w:pPr>
      <w:rPr>
        <w:rFonts w:ascii="Courier New" w:hAnsi="Courier New" w:cs="Courier New" w:hint="default"/>
      </w:rPr>
    </w:lvl>
    <w:lvl w:ilvl="2" w:tplc="F9A4B3B4" w:tentative="1">
      <w:start w:val="1"/>
      <w:numFmt w:val="bullet"/>
      <w:lvlText w:val=""/>
      <w:lvlJc w:val="left"/>
      <w:pPr>
        <w:ind w:left="2160" w:hanging="360"/>
      </w:pPr>
      <w:rPr>
        <w:rFonts w:ascii="Wingdings" w:hAnsi="Wingdings" w:hint="default"/>
      </w:rPr>
    </w:lvl>
    <w:lvl w:ilvl="3" w:tplc="99803912" w:tentative="1">
      <w:start w:val="1"/>
      <w:numFmt w:val="bullet"/>
      <w:lvlText w:val=""/>
      <w:lvlJc w:val="left"/>
      <w:pPr>
        <w:ind w:left="2880" w:hanging="360"/>
      </w:pPr>
      <w:rPr>
        <w:rFonts w:ascii="Symbol" w:hAnsi="Symbol" w:hint="default"/>
      </w:rPr>
    </w:lvl>
    <w:lvl w:ilvl="4" w:tplc="CF3A715A" w:tentative="1">
      <w:start w:val="1"/>
      <w:numFmt w:val="bullet"/>
      <w:lvlText w:val="o"/>
      <w:lvlJc w:val="left"/>
      <w:pPr>
        <w:ind w:left="3600" w:hanging="360"/>
      </w:pPr>
      <w:rPr>
        <w:rFonts w:ascii="Courier New" w:hAnsi="Courier New" w:cs="Courier New" w:hint="default"/>
      </w:rPr>
    </w:lvl>
    <w:lvl w:ilvl="5" w:tplc="E6DE8D3E" w:tentative="1">
      <w:start w:val="1"/>
      <w:numFmt w:val="bullet"/>
      <w:lvlText w:val=""/>
      <w:lvlJc w:val="left"/>
      <w:pPr>
        <w:ind w:left="4320" w:hanging="360"/>
      </w:pPr>
      <w:rPr>
        <w:rFonts w:ascii="Wingdings" w:hAnsi="Wingdings" w:hint="default"/>
      </w:rPr>
    </w:lvl>
    <w:lvl w:ilvl="6" w:tplc="274E6718" w:tentative="1">
      <w:start w:val="1"/>
      <w:numFmt w:val="bullet"/>
      <w:lvlText w:val=""/>
      <w:lvlJc w:val="left"/>
      <w:pPr>
        <w:ind w:left="5040" w:hanging="360"/>
      </w:pPr>
      <w:rPr>
        <w:rFonts w:ascii="Symbol" w:hAnsi="Symbol" w:hint="default"/>
      </w:rPr>
    </w:lvl>
    <w:lvl w:ilvl="7" w:tplc="5B66C18A" w:tentative="1">
      <w:start w:val="1"/>
      <w:numFmt w:val="bullet"/>
      <w:lvlText w:val="o"/>
      <w:lvlJc w:val="left"/>
      <w:pPr>
        <w:ind w:left="5760" w:hanging="360"/>
      </w:pPr>
      <w:rPr>
        <w:rFonts w:ascii="Courier New" w:hAnsi="Courier New" w:cs="Courier New" w:hint="default"/>
      </w:rPr>
    </w:lvl>
    <w:lvl w:ilvl="8" w:tplc="44ACDE94" w:tentative="1">
      <w:start w:val="1"/>
      <w:numFmt w:val="bullet"/>
      <w:lvlText w:val=""/>
      <w:lvlJc w:val="left"/>
      <w:pPr>
        <w:ind w:left="6480" w:hanging="360"/>
      </w:pPr>
      <w:rPr>
        <w:rFonts w:ascii="Wingdings" w:hAnsi="Wingdings" w:hint="default"/>
      </w:rPr>
    </w:lvl>
  </w:abstractNum>
  <w:num w:numId="1" w16cid:durableId="173010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58"/>
    <w:rsid w:val="000579AF"/>
    <w:rsid w:val="000F3D40"/>
    <w:rsid w:val="000F78C9"/>
    <w:rsid w:val="00105807"/>
    <w:rsid w:val="00117EA9"/>
    <w:rsid w:val="00130236"/>
    <w:rsid w:val="00137605"/>
    <w:rsid w:val="001502C8"/>
    <w:rsid w:val="00190839"/>
    <w:rsid w:val="001E3305"/>
    <w:rsid w:val="0025723F"/>
    <w:rsid w:val="002F0698"/>
    <w:rsid w:val="002F3678"/>
    <w:rsid w:val="00357064"/>
    <w:rsid w:val="00374AB6"/>
    <w:rsid w:val="00375F15"/>
    <w:rsid w:val="00376E83"/>
    <w:rsid w:val="00384DA5"/>
    <w:rsid w:val="003906B1"/>
    <w:rsid w:val="003C32D1"/>
    <w:rsid w:val="00537479"/>
    <w:rsid w:val="00540C1D"/>
    <w:rsid w:val="00547D3C"/>
    <w:rsid w:val="00682B21"/>
    <w:rsid w:val="006C23C0"/>
    <w:rsid w:val="007241B1"/>
    <w:rsid w:val="00791C4C"/>
    <w:rsid w:val="007B4621"/>
    <w:rsid w:val="007C5288"/>
    <w:rsid w:val="007E2458"/>
    <w:rsid w:val="007E5147"/>
    <w:rsid w:val="008028D8"/>
    <w:rsid w:val="008C5790"/>
    <w:rsid w:val="00903BB9"/>
    <w:rsid w:val="00995FC6"/>
    <w:rsid w:val="009B35F8"/>
    <w:rsid w:val="009C70D6"/>
    <w:rsid w:val="00A0161B"/>
    <w:rsid w:val="00A05B99"/>
    <w:rsid w:val="00A14A45"/>
    <w:rsid w:val="00A35D53"/>
    <w:rsid w:val="00A870A5"/>
    <w:rsid w:val="00AA0414"/>
    <w:rsid w:val="00AE2FA8"/>
    <w:rsid w:val="00B55B9F"/>
    <w:rsid w:val="00C248CD"/>
    <w:rsid w:val="00C907AA"/>
    <w:rsid w:val="00CE185B"/>
    <w:rsid w:val="00CE488F"/>
    <w:rsid w:val="00CF2DF7"/>
    <w:rsid w:val="00D2595A"/>
    <w:rsid w:val="00D54EB7"/>
    <w:rsid w:val="00D77532"/>
    <w:rsid w:val="00DA466E"/>
    <w:rsid w:val="00E12EA6"/>
    <w:rsid w:val="00E37477"/>
    <w:rsid w:val="00E525E2"/>
    <w:rsid w:val="00E8649D"/>
    <w:rsid w:val="00E91DE8"/>
    <w:rsid w:val="00EE516B"/>
    <w:rsid w:val="00EE5945"/>
    <w:rsid w:val="00F42CD1"/>
    <w:rsid w:val="00F4427B"/>
    <w:rsid w:val="00F45C76"/>
    <w:rsid w:val="00F51D85"/>
    <w:rsid w:val="00FA4F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47D54"/>
  <w15:chartTrackingRefBased/>
  <w15:docId w15:val="{E86BFF77-2B1E-4DCC-A827-556191CB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pPr>
      <w:spacing w:after="240"/>
      <w:jc w:val="both"/>
    </w:pPr>
    <w:rPr>
      <w:sz w:val="22"/>
    </w:rPr>
  </w:style>
  <w:style w:type="paragraph" w:styleId="Ttulo1">
    <w:name w:val="heading 1"/>
    <w:basedOn w:val="Normal"/>
    <w:next w:val="Normal"/>
    <w:qFormat/>
    <w:pPr>
      <w:keepNext/>
      <w:spacing w:before="240" w:after="480"/>
      <w:jc w:val="center"/>
      <w:outlineLvl w:val="0"/>
    </w:pPr>
    <w:rPr>
      <w:rFonts w:ascii="Arial" w:hAnsi="Arial"/>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ind w:firstLine="1134"/>
    </w:pPr>
    <w:rPr>
      <w:rFonts w:ascii="Arial" w:hAnsi="Arial"/>
      <w:b/>
      <w:bCs/>
      <w:color w:val="FF0000"/>
      <w:sz w:val="24"/>
      <w:szCs w:val="24"/>
    </w:rPr>
  </w:style>
  <w:style w:type="character" w:styleId="Nmerodepgina">
    <w:name w:val="page number"/>
    <w:basedOn w:val="Fuentedeprrafopredeter"/>
    <w:semiHidden/>
  </w:style>
  <w:style w:type="paragraph" w:styleId="Prrafodelista">
    <w:name w:val="List Paragraph"/>
    <w:basedOn w:val="Normal"/>
    <w:uiPriority w:val="34"/>
    <w:qFormat/>
    <w:rsid w:val="00384DA5"/>
    <w:pPr>
      <w:spacing w:after="160" w:line="259" w:lineRule="auto"/>
      <w:ind w:left="720"/>
      <w:contextualSpacing/>
      <w:jc w:val="left"/>
    </w:pPr>
    <w:rPr>
      <w:rFonts w:ascii="Calibri" w:eastAsia="Aptos" w:hAnsi="Calibri"/>
      <w:kern w:val="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622</Words>
  <Characters>4475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Plantilla de Orden Foral</vt:lpstr>
    </vt:vector>
  </TitlesOfParts>
  <Company>DFA-AFA</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creator>HALARREA_ANA</dc:creator>
  <cp:lastModifiedBy>Peral Diez, Elena</cp:lastModifiedBy>
  <cp:revision>2</cp:revision>
  <cp:lastPrinted>2026-05-18T10:42:00Z</cp:lastPrinted>
  <dcterms:created xsi:type="dcterms:W3CDTF">2026-05-18T10:42:00Z</dcterms:created>
  <dcterms:modified xsi:type="dcterms:W3CDTF">2026-05-18T10:42:00Z</dcterms:modified>
</cp:coreProperties>
</file>