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F547" w14:textId="77777777" w:rsidR="00E37477" w:rsidRPr="00F4427B" w:rsidRDefault="00E37477">
      <w:pPr>
        <w:spacing w:before="240" w:after="480"/>
        <w:rPr>
          <w:b/>
          <w:szCs w:val="22"/>
        </w:rPr>
      </w:pPr>
      <w:r w:rsidRPr="00F4427B">
        <w:rPr>
          <w:b/>
          <w:szCs w:val="22"/>
        </w:rPr>
        <w:t>ORDEN FORAL</w:t>
      </w:r>
    </w:p>
    <w:p w14:paraId="2C477A84" w14:textId="071C9F95" w:rsidR="00E37477" w:rsidRPr="00F4427B" w:rsidRDefault="00E37477">
      <w:pPr>
        <w:tabs>
          <w:tab w:val="right" w:pos="8789"/>
        </w:tabs>
        <w:spacing w:after="480"/>
        <w:jc w:val="left"/>
        <w:rPr>
          <w:szCs w:val="22"/>
          <w:lang w:val="es-ES_tradnl"/>
        </w:rPr>
      </w:pPr>
      <w:r w:rsidRPr="00F4427B">
        <w:rPr>
          <w:szCs w:val="22"/>
          <w:lang w:val="es-ES_tradnl"/>
        </w:rPr>
        <w:t>Servicio de Normativa Tributaria</w:t>
      </w:r>
      <w:r w:rsidRPr="00F4427B">
        <w:rPr>
          <w:szCs w:val="22"/>
          <w:lang w:val="es-ES_tradnl"/>
        </w:rPr>
        <w:br/>
        <w:t xml:space="preserve">Nº Expte.: </w:t>
      </w:r>
      <w:r w:rsidR="00F4427B" w:rsidRPr="00F4427B">
        <w:rPr>
          <w:szCs w:val="22"/>
          <w:lang w:val="es-ES_tradnl"/>
        </w:rPr>
        <w:t>65/2026</w:t>
      </w:r>
    </w:p>
    <w:p w14:paraId="5F6401AF" w14:textId="3DC96F92" w:rsidR="00F4427B" w:rsidRPr="00F4427B" w:rsidRDefault="00F4427B" w:rsidP="007C5288">
      <w:pPr>
        <w:rPr>
          <w:b/>
          <w:szCs w:val="22"/>
        </w:rPr>
      </w:pPr>
      <w:r w:rsidRPr="00CE488F">
        <w:rPr>
          <w:b/>
          <w:szCs w:val="22"/>
        </w:rPr>
        <w:t>Aproba</w:t>
      </w:r>
      <w:r w:rsidR="00CE488F" w:rsidRPr="00CE488F">
        <w:rPr>
          <w:b/>
          <w:szCs w:val="22"/>
        </w:rPr>
        <w:t>r</w:t>
      </w:r>
      <w:r w:rsidRPr="00F4427B">
        <w:rPr>
          <w:b/>
          <w:szCs w:val="22"/>
        </w:rPr>
        <w:t xml:space="preserve"> los documentos notariales electrónicos timbrados de Álava.</w:t>
      </w:r>
    </w:p>
    <w:p w14:paraId="1AA18BC4" w14:textId="77777777" w:rsidR="00F4427B" w:rsidRPr="00F4427B" w:rsidRDefault="00F4427B" w:rsidP="007C5288">
      <w:pPr>
        <w:rPr>
          <w:szCs w:val="22"/>
        </w:rPr>
      </w:pPr>
      <w:r w:rsidRPr="00F4427B">
        <w:rPr>
          <w:szCs w:val="22"/>
        </w:rPr>
        <w:t>La Ley 11/2023, de 8 de mayo, de trasposición de Directivas de la Unión Europea en materia de accesibilidad de determinados productos y servicios, migración de personas altamente cualificadas, tributaria y digitalización de actuaciones notariales y registrales; y por la que se modifica la Ley 12/2011, de 27 de mayo, sobre responsabilidad civil por daños nucleares o producidos por materiales radiactivos, crea dos nuevos tipos de documentos notariales electrónicos, constituidos por el folio de matriz electrónica y el folio de copia autorizada electrónica con destino a tercero.</w:t>
      </w:r>
    </w:p>
    <w:p w14:paraId="427B94FA" w14:textId="77777777" w:rsidR="00F4427B" w:rsidRPr="00F4427B" w:rsidRDefault="00F4427B" w:rsidP="007C5288">
      <w:pPr>
        <w:rPr>
          <w:szCs w:val="22"/>
        </w:rPr>
      </w:pPr>
      <w:r w:rsidRPr="00F4427B">
        <w:rPr>
          <w:szCs w:val="22"/>
        </w:rPr>
        <w:t>Estos nuevos documentos, de conformidad con la Norma Foral 11/2003, de 31 de marzo, del Impuesto sobre Transmisiones Patrimoniales y Actos Jurídicos Documentados, están sujetos al impuesto en su modalidad de Actos Jurídicos Documentados, documentos notariales y, por tanto, a la llamada cuota fija de esta modalidad impositiva.</w:t>
      </w:r>
    </w:p>
    <w:p w14:paraId="1A0F0C32" w14:textId="77777777" w:rsidR="00F4427B" w:rsidRDefault="00F4427B" w:rsidP="007C5288">
      <w:pPr>
        <w:rPr>
          <w:szCs w:val="22"/>
        </w:rPr>
      </w:pPr>
      <w:r w:rsidRPr="00F4427B">
        <w:rPr>
          <w:szCs w:val="22"/>
        </w:rPr>
        <w:t>En la distribución y recaudación del impuesto devengado por la utilización de estos nuevos documentos, surge un nuevo sujeto con la capacidad necesaria para centralizar la información y aportar el grado de detalle necesario para la correcta imputación y liquidación, en su caso, a los distintos entes públicos titulares de su rendimiento.</w:t>
      </w:r>
    </w:p>
    <w:p w14:paraId="7EB95173" w14:textId="44A2AA52" w:rsidR="007241B1" w:rsidRPr="00F4427B" w:rsidRDefault="007241B1" w:rsidP="007C5288">
      <w:pPr>
        <w:rPr>
          <w:szCs w:val="22"/>
        </w:rPr>
      </w:pPr>
      <w:r w:rsidRPr="007241B1">
        <w:rPr>
          <w:szCs w:val="22"/>
        </w:rPr>
        <w:t>Este nuevo sujeto es el Consejo General del Notariado, que intervendrá en el procedimiento de ingreso en la Diputación Foral de Álava del rendimiento del impuesto correspondiente a la utilización de documentos electrónicos, así como en la remisión de la información necesaria para su correcta imputación, de manera análoga al procedimiento previsto para los documentos físicos.</w:t>
      </w:r>
    </w:p>
    <w:p w14:paraId="77EECCEB" w14:textId="77777777" w:rsidR="00F4427B" w:rsidRPr="00F4427B" w:rsidRDefault="00F4427B" w:rsidP="007C5288">
      <w:pPr>
        <w:rPr>
          <w:szCs w:val="22"/>
        </w:rPr>
      </w:pPr>
      <w:r w:rsidRPr="00F4427B">
        <w:rPr>
          <w:szCs w:val="22"/>
        </w:rPr>
        <w:t>El artículo 29 del Decreto Foral 48/1994, de 10 de mayo de 1994, del Consejo de Diputados de Álava, por el que se aprueba el Reglamento General de Recaudación del Territorio Histórico de Álava, establece que el papel timbrado de la Diputación Foral de Álava tiene la consideración de efecto timbrado y que la creación y modificación de efectos timbrados se hará por Orden Foral del Diputado Foral de Hacienda, Finanzas y Presupuestos.</w:t>
      </w:r>
    </w:p>
    <w:p w14:paraId="1F3843FE" w14:textId="00713DFF" w:rsidR="00F4427B" w:rsidRPr="00F4427B" w:rsidRDefault="00F4427B" w:rsidP="007C5288">
      <w:pPr>
        <w:rPr>
          <w:szCs w:val="22"/>
        </w:rPr>
      </w:pPr>
      <w:r w:rsidRPr="00F4427B">
        <w:rPr>
          <w:szCs w:val="22"/>
        </w:rPr>
        <w:t xml:space="preserve">El artículo 62 de la Norma Foral 11/2003, de 31 de marzo, del Impuesto sobre Transmisiones Patrimoniales y Actos Jurídicos Documentados, establece que </w:t>
      </w:r>
      <w:r w:rsidR="00E525E2">
        <w:rPr>
          <w:szCs w:val="22"/>
        </w:rPr>
        <w:t>el</w:t>
      </w:r>
      <w:r w:rsidRPr="00F4427B">
        <w:rPr>
          <w:szCs w:val="22"/>
        </w:rPr>
        <w:t xml:space="preserve"> diputad</w:t>
      </w:r>
      <w:r w:rsidR="00E525E2">
        <w:rPr>
          <w:szCs w:val="22"/>
        </w:rPr>
        <w:t>o</w:t>
      </w:r>
      <w:r w:rsidRPr="00F4427B">
        <w:rPr>
          <w:szCs w:val="22"/>
        </w:rPr>
        <w:t xml:space="preserve"> de Hacienda, Finanzas y Presupuestos establecerá, mediante orden foral, la forma, estampación, especie, características y numeración de los efectos timbrados, los casos y el procedimiento de obtener su timbrado directo.</w:t>
      </w:r>
    </w:p>
    <w:p w14:paraId="4C951B0C" w14:textId="7CD80401" w:rsidR="00F4427B" w:rsidRPr="00F4427B" w:rsidRDefault="00F4427B" w:rsidP="007C5288">
      <w:pPr>
        <w:rPr>
          <w:szCs w:val="22"/>
        </w:rPr>
      </w:pPr>
      <w:r w:rsidRPr="00F4427B">
        <w:rPr>
          <w:szCs w:val="22"/>
        </w:rPr>
        <w:t>En consecuencia, es necesario proceder a la aprobación mediante esta Orden Foral de las especificaciones técnicas que deben observar los nuevos tipos de folios notariales electrónicos timbrados de Álava, así como la forma en que se efectuará su contabilización y el ingreso de la cuota fija del Impuesto de Transmisiones Patrimoniales y Actos Jurídicos Documentados</w:t>
      </w:r>
      <w:r w:rsidR="007241B1">
        <w:rPr>
          <w:szCs w:val="22"/>
        </w:rPr>
        <w:t>.</w:t>
      </w:r>
    </w:p>
    <w:p w14:paraId="5908F9D9" w14:textId="52D933A9" w:rsidR="00E37477" w:rsidRPr="00F4427B" w:rsidRDefault="00E37477" w:rsidP="007C5288">
      <w:pPr>
        <w:rPr>
          <w:szCs w:val="22"/>
        </w:rPr>
      </w:pPr>
      <w:r w:rsidRPr="00F4427B">
        <w:rPr>
          <w:szCs w:val="22"/>
        </w:rPr>
        <w:lastRenderedPageBreak/>
        <w:t>Visto el informe emitido al respecto por el Servicio de Normativa Tributaria.</w:t>
      </w:r>
    </w:p>
    <w:p w14:paraId="282485C1" w14:textId="1C2C008D" w:rsidR="00E11FD3" w:rsidRPr="00F4427B" w:rsidRDefault="00E37477" w:rsidP="00E11FD3">
      <w:pPr>
        <w:spacing w:after="480"/>
        <w:rPr>
          <w:szCs w:val="22"/>
        </w:rPr>
      </w:pPr>
      <w:r w:rsidRPr="00F4427B">
        <w:rPr>
          <w:szCs w:val="22"/>
        </w:rPr>
        <w:t>En su virtud, haciendo uso de las facultades que me competen,</w:t>
      </w:r>
    </w:p>
    <w:p w14:paraId="0605F8B2" w14:textId="77777777" w:rsidR="00E37477" w:rsidRPr="00F4427B" w:rsidRDefault="00E37477" w:rsidP="00E11FD3">
      <w:pPr>
        <w:pStyle w:val="Ttulo1"/>
        <w:spacing w:before="0"/>
        <w:rPr>
          <w:rFonts w:ascii="Times New Roman" w:hAnsi="Times New Roman"/>
        </w:rPr>
      </w:pPr>
      <w:r w:rsidRPr="00F4427B">
        <w:rPr>
          <w:rFonts w:ascii="Times New Roman" w:hAnsi="Times New Roman"/>
        </w:rPr>
        <w:t>DISPONGO</w:t>
      </w:r>
    </w:p>
    <w:p w14:paraId="7FF9FED1" w14:textId="5EC8D631" w:rsidR="00F4427B" w:rsidRPr="00F4427B" w:rsidRDefault="00F4427B" w:rsidP="007C5288">
      <w:pPr>
        <w:rPr>
          <w:rFonts w:eastAsia="Calibri"/>
          <w:b/>
          <w:bCs/>
          <w:szCs w:val="22"/>
          <w:lang w:eastAsia="en-US"/>
        </w:rPr>
      </w:pPr>
      <w:r w:rsidRPr="00F4427B">
        <w:rPr>
          <w:rFonts w:eastAsia="Calibri"/>
          <w:b/>
          <w:bCs/>
          <w:szCs w:val="22"/>
          <w:lang w:eastAsia="en-US"/>
        </w:rPr>
        <w:t>Artículo 1. Especificaciones técnicas de los documentos notariales electrónicos timbrados</w:t>
      </w:r>
      <w:r w:rsidR="009B35F8">
        <w:rPr>
          <w:rFonts w:eastAsia="Calibri"/>
          <w:b/>
          <w:bCs/>
          <w:szCs w:val="22"/>
          <w:lang w:eastAsia="en-US"/>
        </w:rPr>
        <w:t>.</w:t>
      </w:r>
    </w:p>
    <w:p w14:paraId="34B195E2" w14:textId="77777777" w:rsidR="00F4427B" w:rsidRPr="00F4427B" w:rsidRDefault="00F4427B" w:rsidP="007C5288">
      <w:pPr>
        <w:rPr>
          <w:rFonts w:eastAsia="Calibri"/>
          <w:szCs w:val="22"/>
          <w:lang w:eastAsia="en-US"/>
        </w:rPr>
      </w:pPr>
      <w:r w:rsidRPr="00F4427B">
        <w:rPr>
          <w:rFonts w:eastAsia="Calibri"/>
          <w:szCs w:val="22"/>
        </w:rPr>
        <w:t>Se aprueban las especificaciones técnicas del folio de matriz electrónica timbrado y del folio de copia autorizada electrónica timbrado con destino a tercero, que figuran en el anexo de la presente Orden Foral.</w:t>
      </w:r>
    </w:p>
    <w:p w14:paraId="1BCFBF9E" w14:textId="59CE0D9C" w:rsidR="00F4427B" w:rsidRPr="00F4427B" w:rsidRDefault="00F4427B" w:rsidP="007C5288">
      <w:pPr>
        <w:rPr>
          <w:rFonts w:eastAsia="Calibri"/>
          <w:b/>
          <w:bCs/>
          <w:szCs w:val="22"/>
          <w:lang w:eastAsia="en-US"/>
        </w:rPr>
      </w:pPr>
      <w:r w:rsidRPr="00F4427B">
        <w:rPr>
          <w:rFonts w:eastAsia="Calibri"/>
          <w:b/>
          <w:bCs/>
          <w:szCs w:val="22"/>
          <w:lang w:eastAsia="en-US"/>
        </w:rPr>
        <w:t>Artículo 2. Recaudación e ingreso en la Diputación Foral de Álava</w:t>
      </w:r>
      <w:r w:rsidR="009B35F8">
        <w:rPr>
          <w:rFonts w:eastAsia="Calibri"/>
          <w:b/>
          <w:bCs/>
          <w:szCs w:val="22"/>
          <w:lang w:eastAsia="en-US"/>
        </w:rPr>
        <w:t>.</w:t>
      </w:r>
    </w:p>
    <w:p w14:paraId="0BF6D2F0" w14:textId="17D19175" w:rsidR="00F4427B" w:rsidRDefault="00F4427B" w:rsidP="007C5288">
      <w:pPr>
        <w:rPr>
          <w:rFonts w:eastAsia="Calibri"/>
          <w:szCs w:val="22"/>
          <w:lang w:eastAsia="en-US"/>
        </w:rPr>
      </w:pPr>
      <w:r w:rsidRPr="00F4427B">
        <w:rPr>
          <w:rFonts w:eastAsia="Calibri"/>
          <w:szCs w:val="22"/>
          <w:lang w:eastAsia="en-US"/>
        </w:rPr>
        <w:t xml:space="preserve">El Consejo General del Notariado </w:t>
      </w:r>
      <w:r w:rsidR="000F3D40">
        <w:rPr>
          <w:rFonts w:eastAsia="Calibri"/>
          <w:szCs w:val="22"/>
          <w:lang w:eastAsia="en-US"/>
        </w:rPr>
        <w:t>presentará</w:t>
      </w:r>
      <w:r w:rsidRPr="00F4427B">
        <w:rPr>
          <w:rFonts w:eastAsia="Calibri"/>
          <w:szCs w:val="22"/>
          <w:lang w:eastAsia="en-US"/>
        </w:rPr>
        <w:t>, antes del día veinticinco de cada mes y a través de la sede electrónica de la Diputación Foral de Álava, una autoliquidación comprensiva del número de folios con timbre electrónico de Álava utilizados en el mes inmediatamente anterior, así como el cálculo de la cuota tributaria que corresponde ingresar por ellos, por aplicación de la cuota fija que afecta a los folios notariales y que se contempla en la Norma Foral del Impuesto de Transmisiones Patrimoniales y Actos Jurídicos Documentados.</w:t>
      </w:r>
    </w:p>
    <w:p w14:paraId="5ED7D6FD" w14:textId="6418AE7B" w:rsidR="00F4427B" w:rsidRPr="00F4427B" w:rsidRDefault="00F4427B" w:rsidP="007C5288">
      <w:pPr>
        <w:rPr>
          <w:rFonts w:eastAsia="Calibri"/>
          <w:szCs w:val="22"/>
          <w:lang w:eastAsia="en-US"/>
        </w:rPr>
      </w:pPr>
      <w:r w:rsidRPr="00F4427B">
        <w:rPr>
          <w:rFonts w:eastAsia="Calibri"/>
          <w:szCs w:val="22"/>
          <w:lang w:eastAsia="en-US"/>
        </w:rPr>
        <w:t xml:space="preserve">El pago de la deuda tributaria se efectuará mediante transferencia en la cuenta de la Diputación Foral de Álava o a través de cualquiera de las formas de pago admitidas por la sede electrónica </w:t>
      </w:r>
      <w:r w:rsidR="007241B1" w:rsidRPr="007241B1">
        <w:rPr>
          <w:rFonts w:eastAsia="Calibri"/>
          <w:szCs w:val="22"/>
          <w:lang w:eastAsia="en-US"/>
        </w:rPr>
        <w:t>de la Diputación Foral de Álava</w:t>
      </w:r>
      <w:r w:rsidRPr="00F4427B">
        <w:rPr>
          <w:rFonts w:eastAsia="Calibri"/>
          <w:szCs w:val="22"/>
          <w:lang w:eastAsia="en-US"/>
        </w:rPr>
        <w:t>.</w:t>
      </w:r>
    </w:p>
    <w:p w14:paraId="71A04050" w14:textId="369FFA39" w:rsidR="00105807" w:rsidRPr="00F4427B" w:rsidRDefault="00105807" w:rsidP="007C5288">
      <w:pPr>
        <w:rPr>
          <w:b/>
          <w:szCs w:val="22"/>
        </w:rPr>
      </w:pPr>
      <w:r w:rsidRPr="00F4427B">
        <w:rPr>
          <w:b/>
          <w:szCs w:val="22"/>
        </w:rPr>
        <w:t>DISPOSICIÓN FINAL</w:t>
      </w:r>
      <w:r w:rsidR="00F4427B" w:rsidRPr="00F4427B">
        <w:rPr>
          <w:b/>
          <w:szCs w:val="22"/>
        </w:rPr>
        <w:t>. Entrada en vigor.</w:t>
      </w:r>
    </w:p>
    <w:p w14:paraId="6F804360" w14:textId="7179F1DD" w:rsidR="00E37477" w:rsidRDefault="00F4427B" w:rsidP="007C5288">
      <w:pPr>
        <w:rPr>
          <w:rFonts w:eastAsia="Calibri"/>
          <w:szCs w:val="22"/>
          <w:lang w:eastAsia="en-US"/>
        </w:rPr>
      </w:pPr>
      <w:r w:rsidRPr="00F4427B">
        <w:rPr>
          <w:rFonts w:eastAsia="Calibri"/>
          <w:szCs w:val="22"/>
          <w:lang w:eastAsia="en-US"/>
        </w:rPr>
        <w:t>La presente Orden Foral entrará en vigor el mismo día de su publicación en el Boletín Oficial de Álava y producirá efectos a partir del 1 de junio de 2026.</w:t>
      </w:r>
    </w:p>
    <w:p w14:paraId="04ED5700" w14:textId="77777777" w:rsidR="00E11FD3" w:rsidRPr="00F4427B" w:rsidRDefault="00E11FD3" w:rsidP="007C5288">
      <w:pPr>
        <w:rPr>
          <w:rFonts w:eastAsia="Calibri"/>
          <w:szCs w:val="22"/>
          <w:lang w:eastAsia="en-US"/>
        </w:rPr>
      </w:pPr>
    </w:p>
    <w:p w14:paraId="26A5AA1F" w14:textId="77777777" w:rsidR="00E37477" w:rsidRPr="00F4427B" w:rsidRDefault="00E37477" w:rsidP="00F4427B">
      <w:pPr>
        <w:rPr>
          <w:szCs w:val="22"/>
        </w:rPr>
      </w:pPr>
      <w:r w:rsidRPr="00F4427B">
        <w:rPr>
          <w:szCs w:val="22"/>
        </w:rPr>
        <w:t>Vitoria-Gasteiz.</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E37477" w:rsidRPr="00F4427B" w14:paraId="7AF61122" w14:textId="77777777">
        <w:trPr>
          <w:trHeight w:val="1541"/>
        </w:trPr>
        <w:tc>
          <w:tcPr>
            <w:tcW w:w="4605" w:type="dxa"/>
          </w:tcPr>
          <w:p w14:paraId="46704D09" w14:textId="77777777" w:rsidR="00EE516B" w:rsidRPr="00F4427B" w:rsidRDefault="00EE516B" w:rsidP="00EE516B">
            <w:pPr>
              <w:autoSpaceDE w:val="0"/>
              <w:autoSpaceDN w:val="0"/>
              <w:adjustRightInd w:val="0"/>
              <w:spacing w:after="0"/>
              <w:jc w:val="left"/>
              <w:rPr>
                <w:b/>
                <w:bCs/>
                <w:szCs w:val="22"/>
              </w:rPr>
            </w:pPr>
          </w:p>
          <w:p w14:paraId="369A0B48" w14:textId="77777777" w:rsidR="00EE516B" w:rsidRPr="00F4427B" w:rsidRDefault="00EE516B" w:rsidP="00EE516B">
            <w:pPr>
              <w:autoSpaceDE w:val="0"/>
              <w:autoSpaceDN w:val="0"/>
              <w:adjustRightInd w:val="0"/>
              <w:spacing w:after="0"/>
              <w:jc w:val="left"/>
              <w:rPr>
                <w:b/>
                <w:bCs/>
                <w:szCs w:val="22"/>
              </w:rPr>
            </w:pPr>
          </w:p>
          <w:p w14:paraId="4285C863" w14:textId="77777777" w:rsidR="00EE516B" w:rsidRPr="00F4427B" w:rsidRDefault="00EE516B" w:rsidP="00EE516B">
            <w:pPr>
              <w:autoSpaceDE w:val="0"/>
              <w:autoSpaceDN w:val="0"/>
              <w:adjustRightInd w:val="0"/>
              <w:spacing w:after="0"/>
              <w:jc w:val="left"/>
              <w:rPr>
                <w:b/>
                <w:bCs/>
                <w:szCs w:val="22"/>
              </w:rPr>
            </w:pPr>
          </w:p>
          <w:p w14:paraId="481CE90D" w14:textId="77777777" w:rsidR="00EE516B" w:rsidRPr="00F4427B" w:rsidRDefault="00EE516B" w:rsidP="00EE516B">
            <w:pPr>
              <w:autoSpaceDE w:val="0"/>
              <w:autoSpaceDN w:val="0"/>
              <w:adjustRightInd w:val="0"/>
              <w:spacing w:after="0"/>
              <w:jc w:val="left"/>
              <w:rPr>
                <w:b/>
                <w:bCs/>
                <w:szCs w:val="22"/>
              </w:rPr>
            </w:pPr>
          </w:p>
          <w:p w14:paraId="6F34D679" w14:textId="77777777" w:rsidR="00EE516B" w:rsidRPr="00F4427B" w:rsidRDefault="00EE516B" w:rsidP="00EE516B">
            <w:pPr>
              <w:autoSpaceDE w:val="0"/>
              <w:autoSpaceDN w:val="0"/>
              <w:adjustRightInd w:val="0"/>
              <w:spacing w:after="0"/>
              <w:jc w:val="left"/>
              <w:rPr>
                <w:b/>
                <w:bCs/>
                <w:szCs w:val="22"/>
              </w:rPr>
            </w:pPr>
          </w:p>
          <w:p w14:paraId="10447E17" w14:textId="77777777" w:rsidR="00EE516B" w:rsidRPr="00F4427B" w:rsidRDefault="00EE516B" w:rsidP="00EE516B">
            <w:pPr>
              <w:autoSpaceDE w:val="0"/>
              <w:autoSpaceDN w:val="0"/>
              <w:adjustRightInd w:val="0"/>
              <w:spacing w:after="0"/>
              <w:jc w:val="left"/>
              <w:rPr>
                <w:b/>
                <w:bCs/>
                <w:szCs w:val="22"/>
              </w:rPr>
            </w:pPr>
          </w:p>
          <w:p w14:paraId="70BCC572" w14:textId="5914DBE3" w:rsidR="00EE516B" w:rsidRPr="00F4427B" w:rsidRDefault="00EE516B" w:rsidP="00EE516B">
            <w:pPr>
              <w:autoSpaceDE w:val="0"/>
              <w:autoSpaceDN w:val="0"/>
              <w:adjustRightInd w:val="0"/>
              <w:spacing w:after="0"/>
              <w:jc w:val="left"/>
              <w:rPr>
                <w:b/>
                <w:bCs/>
                <w:szCs w:val="22"/>
              </w:rPr>
            </w:pPr>
            <w:r w:rsidRPr="00F4427B">
              <w:rPr>
                <w:b/>
                <w:bCs/>
                <w:szCs w:val="22"/>
              </w:rPr>
              <w:t>Itziar Gonzalo de Zuazo</w:t>
            </w:r>
          </w:p>
          <w:p w14:paraId="14EF89C6" w14:textId="77777777" w:rsidR="00EE516B" w:rsidRPr="00F4427B" w:rsidRDefault="00EE516B" w:rsidP="00EE516B">
            <w:pPr>
              <w:autoSpaceDE w:val="0"/>
              <w:autoSpaceDN w:val="0"/>
              <w:adjustRightInd w:val="0"/>
              <w:spacing w:after="0"/>
              <w:jc w:val="left"/>
              <w:rPr>
                <w:szCs w:val="22"/>
              </w:rPr>
            </w:pPr>
            <w:r w:rsidRPr="00F4427B">
              <w:rPr>
                <w:szCs w:val="22"/>
              </w:rPr>
              <w:t>Bigarren diputatu nagusiorde eta Ogasun, Finantza eta Aurrekontu Saileko foru diputatua</w:t>
            </w:r>
          </w:p>
          <w:p w14:paraId="0AC4B3D7" w14:textId="50ED0485" w:rsidR="00E37477" w:rsidRPr="00F4427B" w:rsidRDefault="00EE516B" w:rsidP="009B35F8">
            <w:pPr>
              <w:spacing w:after="0"/>
              <w:jc w:val="left"/>
              <w:rPr>
                <w:szCs w:val="22"/>
                <w:lang w:val="es-ES_tradnl" w:bidi="or-IN"/>
              </w:rPr>
            </w:pPr>
            <w:r w:rsidRPr="00F4427B">
              <w:rPr>
                <w:szCs w:val="22"/>
              </w:rPr>
              <w:t>Segunda teniente de Diputado General y Diputada Foral del Departamento de Hacienda, Finanzas y Presupuestos</w:t>
            </w:r>
          </w:p>
        </w:tc>
        <w:tc>
          <w:tcPr>
            <w:tcW w:w="4605" w:type="dxa"/>
          </w:tcPr>
          <w:p w14:paraId="3733F8BA" w14:textId="77777777" w:rsidR="00E37477" w:rsidRPr="00F4427B" w:rsidRDefault="007B4621">
            <w:pPr>
              <w:spacing w:before="1560" w:after="60" w:line="240" w:lineRule="exact"/>
              <w:rPr>
                <w:b/>
                <w:szCs w:val="22"/>
              </w:rPr>
            </w:pPr>
            <w:r w:rsidRPr="00F4427B">
              <w:rPr>
                <w:b/>
                <w:szCs w:val="22"/>
              </w:rPr>
              <w:t>María José Perea Urteaga</w:t>
            </w:r>
          </w:p>
          <w:p w14:paraId="5FD9C532" w14:textId="77777777" w:rsidR="00E37477" w:rsidRPr="00F4427B" w:rsidRDefault="00E37477">
            <w:pPr>
              <w:spacing w:after="20" w:line="240" w:lineRule="exact"/>
              <w:rPr>
                <w:szCs w:val="22"/>
              </w:rPr>
            </w:pPr>
            <w:r w:rsidRPr="00F4427B">
              <w:rPr>
                <w:szCs w:val="22"/>
              </w:rPr>
              <w:t xml:space="preserve">Ogasun zuzendaria </w:t>
            </w:r>
          </w:p>
          <w:p w14:paraId="406EEFE6" w14:textId="77777777" w:rsidR="00E37477" w:rsidRPr="00F4427B" w:rsidRDefault="00E37477">
            <w:pPr>
              <w:spacing w:after="20" w:line="240" w:lineRule="exact"/>
              <w:rPr>
                <w:szCs w:val="22"/>
              </w:rPr>
            </w:pPr>
            <w:r w:rsidRPr="00F4427B">
              <w:rPr>
                <w:szCs w:val="22"/>
              </w:rPr>
              <w:t>Director</w:t>
            </w:r>
            <w:r w:rsidR="00E8649D" w:rsidRPr="00F4427B">
              <w:rPr>
                <w:szCs w:val="22"/>
              </w:rPr>
              <w:t>a</w:t>
            </w:r>
            <w:r w:rsidRPr="00F4427B">
              <w:rPr>
                <w:szCs w:val="22"/>
              </w:rPr>
              <w:t xml:space="preserve"> de Hacienda </w:t>
            </w:r>
          </w:p>
        </w:tc>
      </w:tr>
    </w:tbl>
    <w:p w14:paraId="67123309" w14:textId="001C499B" w:rsidR="00384DA5" w:rsidRDefault="00384DA5" w:rsidP="006C2216"/>
    <w:p w14:paraId="53210C92" w14:textId="77777777" w:rsidR="00F9482D" w:rsidRDefault="00F9482D" w:rsidP="006C2216"/>
    <w:p w14:paraId="5BD8B1EF" w14:textId="77777777" w:rsidR="00F9482D" w:rsidRPr="00137605" w:rsidRDefault="00F9482D" w:rsidP="00F9482D">
      <w:pPr>
        <w:jc w:val="center"/>
        <w:rPr>
          <w:b/>
          <w:bCs/>
        </w:rPr>
      </w:pPr>
      <w:r w:rsidRPr="00137605">
        <w:rPr>
          <w:b/>
          <w:bCs/>
        </w:rPr>
        <w:t>ANEXO</w:t>
      </w:r>
    </w:p>
    <w:p w14:paraId="5B44CD69" w14:textId="7D9887BB" w:rsidR="00F9482D" w:rsidRDefault="00F9482D" w:rsidP="004B4788">
      <w:pPr>
        <w:jc w:val="center"/>
        <w:rPr>
          <w:b/>
          <w:bCs/>
        </w:rPr>
      </w:pPr>
      <w:r w:rsidRPr="00137605">
        <w:rPr>
          <w:b/>
          <w:bCs/>
        </w:rPr>
        <w:tab/>
        <w:t>Especificaciones técnicas de los documentos notariales electrónicos timbrados</w:t>
      </w:r>
    </w:p>
    <w:p w14:paraId="02F0CA88" w14:textId="77777777" w:rsidR="004B4788" w:rsidRPr="00137605" w:rsidRDefault="004B4788" w:rsidP="004B4788">
      <w:pPr>
        <w:jc w:val="center"/>
        <w:rPr>
          <w:b/>
          <w:bCs/>
        </w:rPr>
      </w:pPr>
    </w:p>
    <w:p w14:paraId="79892D40" w14:textId="77777777" w:rsidR="00F9482D" w:rsidRPr="00137605" w:rsidRDefault="00F9482D" w:rsidP="00F9482D">
      <w:r w:rsidRPr="00137605">
        <w:t>Soporte en formato electrónico según el estándar ISO 19005. Cada folio constituye un timbre móvil que incorpora la siguiente información:</w:t>
      </w:r>
    </w:p>
    <w:p w14:paraId="1E99F6F9" w14:textId="77777777" w:rsidR="00F9482D" w:rsidRPr="00137605" w:rsidRDefault="00F9482D" w:rsidP="00F9482D">
      <w:pPr>
        <w:pStyle w:val="Prrafodelista"/>
        <w:numPr>
          <w:ilvl w:val="0"/>
          <w:numId w:val="1"/>
        </w:numPr>
        <w:spacing w:after="240" w:line="240" w:lineRule="auto"/>
        <w:ind w:left="284" w:hanging="284"/>
        <w:contextualSpacing w:val="0"/>
        <w:jc w:val="both"/>
        <w:rPr>
          <w:rFonts w:ascii="Times New Roman" w:hAnsi="Times New Roman"/>
        </w:rPr>
      </w:pPr>
      <w:r w:rsidRPr="00137605">
        <w:rPr>
          <w:rFonts w:ascii="Times New Roman" w:hAnsi="Times New Roman"/>
        </w:rPr>
        <w:t>Mes y año de generación del soporte, en color negro</w:t>
      </w:r>
      <w:r>
        <w:rPr>
          <w:rFonts w:ascii="Times New Roman" w:hAnsi="Times New Roman"/>
        </w:rPr>
        <w:t>.</w:t>
      </w:r>
    </w:p>
    <w:p w14:paraId="13A478B7" w14:textId="77777777" w:rsidR="00F9482D" w:rsidRPr="00137605" w:rsidRDefault="00F9482D" w:rsidP="00F9482D">
      <w:pPr>
        <w:pStyle w:val="Prrafodelista"/>
        <w:numPr>
          <w:ilvl w:val="0"/>
          <w:numId w:val="1"/>
        </w:numPr>
        <w:spacing w:after="240" w:line="240" w:lineRule="auto"/>
        <w:ind w:left="284" w:hanging="284"/>
        <w:contextualSpacing w:val="0"/>
        <w:jc w:val="both"/>
        <w:rPr>
          <w:rFonts w:ascii="Times New Roman" w:hAnsi="Times New Roman"/>
        </w:rPr>
      </w:pPr>
      <w:r w:rsidRPr="00137605">
        <w:rPr>
          <w:rFonts w:ascii="Times New Roman" w:hAnsi="Times New Roman"/>
        </w:rPr>
        <w:t>Identificador único del timbre en formato texto alfanumérico, en color negro.</w:t>
      </w:r>
    </w:p>
    <w:p w14:paraId="27B7B82F" w14:textId="77777777" w:rsidR="00F9482D" w:rsidRPr="00137605" w:rsidRDefault="00F9482D" w:rsidP="00F9482D">
      <w:pPr>
        <w:pStyle w:val="Prrafodelista"/>
        <w:numPr>
          <w:ilvl w:val="0"/>
          <w:numId w:val="1"/>
        </w:numPr>
        <w:spacing w:after="240" w:line="240" w:lineRule="auto"/>
        <w:ind w:left="284" w:hanging="284"/>
        <w:contextualSpacing w:val="0"/>
        <w:jc w:val="both"/>
        <w:rPr>
          <w:rFonts w:ascii="Times New Roman" w:hAnsi="Times New Roman"/>
        </w:rPr>
      </w:pPr>
      <w:r w:rsidRPr="00137605">
        <w:rPr>
          <w:rFonts w:ascii="Times New Roman" w:hAnsi="Times New Roman"/>
        </w:rPr>
        <w:t>Código 2D que incluye el identificador único, en color negro.</w:t>
      </w:r>
    </w:p>
    <w:p w14:paraId="4E21A34A" w14:textId="77777777" w:rsidR="00F9482D" w:rsidRPr="00137605" w:rsidRDefault="00F9482D" w:rsidP="00F9482D">
      <w:pPr>
        <w:pStyle w:val="Prrafodelista"/>
        <w:numPr>
          <w:ilvl w:val="0"/>
          <w:numId w:val="1"/>
        </w:numPr>
        <w:spacing w:after="240" w:line="240" w:lineRule="auto"/>
        <w:ind w:left="284" w:hanging="284"/>
        <w:contextualSpacing w:val="0"/>
        <w:jc w:val="both"/>
        <w:rPr>
          <w:rFonts w:ascii="Times New Roman" w:hAnsi="Times New Roman"/>
        </w:rPr>
      </w:pPr>
      <w:r w:rsidRPr="00137605">
        <w:rPr>
          <w:rFonts w:ascii="Times New Roman" w:hAnsi="Times New Roman"/>
        </w:rPr>
        <w:t>Imagen del Timbre Foral, en color similar a ROJO Pantone 485.</w:t>
      </w:r>
    </w:p>
    <w:p w14:paraId="7B821AE8" w14:textId="77777777" w:rsidR="00F9482D" w:rsidRPr="00137605" w:rsidRDefault="00F9482D" w:rsidP="00F9482D">
      <w:pPr>
        <w:pStyle w:val="Prrafodelista"/>
        <w:numPr>
          <w:ilvl w:val="0"/>
          <w:numId w:val="1"/>
        </w:numPr>
        <w:spacing w:after="240" w:line="240" w:lineRule="auto"/>
        <w:ind w:left="284" w:hanging="284"/>
        <w:contextualSpacing w:val="0"/>
        <w:jc w:val="both"/>
        <w:rPr>
          <w:rFonts w:ascii="Times New Roman" w:hAnsi="Times New Roman"/>
        </w:rPr>
      </w:pPr>
      <w:r w:rsidRPr="00137605">
        <w:rPr>
          <w:rFonts w:ascii="Times New Roman" w:hAnsi="Times New Roman"/>
        </w:rPr>
        <w:t xml:space="preserve">Valor del soporte con el logotipo de la Diputación Foral de </w:t>
      </w:r>
      <w:r>
        <w:rPr>
          <w:rFonts w:ascii="Times New Roman" w:hAnsi="Times New Roman"/>
        </w:rPr>
        <w:t>Álava</w:t>
      </w:r>
      <w:r w:rsidRPr="00137605">
        <w:rPr>
          <w:rFonts w:ascii="Times New Roman" w:hAnsi="Times New Roman"/>
        </w:rPr>
        <w:t>, en color similar a ROJO Pantone 485.</w:t>
      </w:r>
    </w:p>
    <w:p w14:paraId="494F2BFE" w14:textId="77777777" w:rsidR="00F9482D" w:rsidRPr="00137605" w:rsidRDefault="00F9482D" w:rsidP="00F9482D">
      <w:pPr>
        <w:pStyle w:val="Prrafodelista"/>
        <w:numPr>
          <w:ilvl w:val="0"/>
          <w:numId w:val="1"/>
        </w:numPr>
        <w:spacing w:after="240" w:line="240" w:lineRule="auto"/>
        <w:ind w:left="284" w:hanging="284"/>
        <w:contextualSpacing w:val="0"/>
        <w:jc w:val="both"/>
        <w:rPr>
          <w:rFonts w:ascii="Times New Roman" w:hAnsi="Times New Roman"/>
        </w:rPr>
      </w:pPr>
      <w:r w:rsidRPr="00137605">
        <w:rPr>
          <w:rFonts w:ascii="Times New Roman" w:hAnsi="Times New Roman"/>
        </w:rPr>
        <w:t>Número de timbre, que incluye codificado el identificador de Colegio Notarial, en color negro.</w:t>
      </w:r>
    </w:p>
    <w:p w14:paraId="7D5796E5" w14:textId="77777777" w:rsidR="00F9482D" w:rsidRPr="00137605" w:rsidRDefault="00F9482D" w:rsidP="00F9482D"/>
    <w:p w14:paraId="3FBD4A50" w14:textId="77777777" w:rsidR="00F9482D" w:rsidRPr="00137605" w:rsidRDefault="00F9482D" w:rsidP="006C2216"/>
    <w:p w14:paraId="2EBD50BB" w14:textId="77777777" w:rsidR="00384DA5" w:rsidRPr="00F4427B" w:rsidRDefault="00384DA5">
      <w:pPr>
        <w:rPr>
          <w:szCs w:val="22"/>
        </w:rPr>
      </w:pPr>
    </w:p>
    <w:sectPr w:rsidR="00384DA5" w:rsidRPr="00F4427B" w:rsidSect="00E12EA6">
      <w:headerReference w:type="even" r:id="rId7"/>
      <w:headerReference w:type="default" r:id="rId8"/>
      <w:footerReference w:type="even" r:id="rId9"/>
      <w:footerReference w:type="default" r:id="rId10"/>
      <w:headerReference w:type="first" r:id="rId11"/>
      <w:footerReference w:type="first" r:id="rId12"/>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75A8" w14:textId="77777777" w:rsidR="00AA0414" w:rsidRDefault="00AA0414">
      <w:r>
        <w:separator/>
      </w:r>
    </w:p>
  </w:endnote>
  <w:endnote w:type="continuationSeparator" w:id="0">
    <w:p w14:paraId="5CC83E42" w14:textId="77777777" w:rsidR="00AA0414" w:rsidRDefault="00AA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6A0" w14:textId="77777777" w:rsidR="002F0698" w:rsidRDefault="002F06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21EF" w14:textId="77777777" w:rsidR="00E37477" w:rsidRDefault="00E37477">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2F0698">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2F0698">
      <w:rPr>
        <w:rStyle w:val="Nmerodepgina"/>
        <w:noProof/>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3F1B" w14:textId="77777777" w:rsidR="00E37477" w:rsidRDefault="00E37477">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2F0698">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2F0698">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635A" w14:textId="77777777" w:rsidR="00AA0414" w:rsidRDefault="00AA0414">
      <w:r>
        <w:separator/>
      </w:r>
    </w:p>
  </w:footnote>
  <w:footnote w:type="continuationSeparator" w:id="0">
    <w:p w14:paraId="09DADC38" w14:textId="77777777" w:rsidR="00AA0414" w:rsidRDefault="00AA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E563" w14:textId="77777777" w:rsidR="002F0698" w:rsidRDefault="002F06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E37477" w14:paraId="35B49123" w14:textId="77777777">
      <w:trPr>
        <w:cantSplit/>
        <w:trHeight w:val="338"/>
      </w:trPr>
      <w:tc>
        <w:tcPr>
          <w:tcW w:w="3856" w:type="dxa"/>
        </w:tcPr>
        <w:p w14:paraId="0E7D37F0" w14:textId="77777777" w:rsidR="00E37477" w:rsidRDefault="00E37477">
          <w:pPr>
            <w:pStyle w:val="Encabezado"/>
          </w:pPr>
        </w:p>
      </w:tc>
      <w:tc>
        <w:tcPr>
          <w:tcW w:w="1361" w:type="dxa"/>
          <w:vMerge w:val="restart"/>
        </w:tcPr>
        <w:p w14:paraId="74D7BBD7" w14:textId="77777777" w:rsidR="00E37477" w:rsidRDefault="00E11FD3">
          <w:pPr>
            <w:pStyle w:val="Encabezado"/>
            <w:jc w:val="center"/>
          </w:pPr>
          <w:r>
            <w:pict w14:anchorId="37CCF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3.75pt" fillcolor="window">
                <v:imagedata r:id="rId1" o:title="S MBOLO 12 X 12"/>
              </v:shape>
            </w:pict>
          </w:r>
        </w:p>
      </w:tc>
      <w:tc>
        <w:tcPr>
          <w:tcW w:w="3856" w:type="dxa"/>
        </w:tcPr>
        <w:p w14:paraId="134E1627" w14:textId="77777777" w:rsidR="00E37477" w:rsidRDefault="00E37477">
          <w:pPr>
            <w:pStyle w:val="Encabezado"/>
          </w:pPr>
        </w:p>
      </w:tc>
    </w:tr>
    <w:tr w:rsidR="00E37477" w14:paraId="3211122D" w14:textId="77777777">
      <w:trPr>
        <w:cantSplit/>
        <w:trHeight w:val="337"/>
      </w:trPr>
      <w:tc>
        <w:tcPr>
          <w:tcW w:w="3856" w:type="dxa"/>
        </w:tcPr>
        <w:p w14:paraId="6B30C3AE" w14:textId="77777777" w:rsidR="00E37477" w:rsidRDefault="00E37477">
          <w:pPr>
            <w:pStyle w:val="Encabezado"/>
          </w:pPr>
        </w:p>
      </w:tc>
      <w:tc>
        <w:tcPr>
          <w:tcW w:w="1361" w:type="dxa"/>
          <w:vMerge/>
        </w:tcPr>
        <w:p w14:paraId="48CFCD7E" w14:textId="77777777" w:rsidR="00E37477" w:rsidRDefault="00E37477">
          <w:pPr>
            <w:pStyle w:val="Encabezado"/>
            <w:jc w:val="center"/>
          </w:pPr>
        </w:p>
      </w:tc>
      <w:tc>
        <w:tcPr>
          <w:tcW w:w="3856" w:type="dxa"/>
        </w:tcPr>
        <w:p w14:paraId="670B282C" w14:textId="77777777" w:rsidR="00E37477" w:rsidRDefault="00E37477">
          <w:pPr>
            <w:pStyle w:val="Encabezado"/>
          </w:pPr>
        </w:p>
      </w:tc>
    </w:tr>
  </w:tbl>
  <w:p w14:paraId="53F31B4B" w14:textId="77777777" w:rsidR="00E37477" w:rsidRDefault="00E374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E37477" w14:paraId="281D92B3" w14:textId="77777777">
      <w:tc>
        <w:tcPr>
          <w:tcW w:w="6804" w:type="dxa"/>
        </w:tcPr>
        <w:p w14:paraId="31D350E0" w14:textId="77777777" w:rsidR="00E37477" w:rsidRDefault="00E37477">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4D4D1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6.25pt" fillcolor="window">
                <v:imagedata r:id="rId1" o:title=""/>
              </v:shape>
              <o:OLEObject Type="Embed" ProgID="Word.Picture.8" ShapeID="_x0000_i1026" DrawAspect="Content" ObjectID="_1840610994" r:id="rId2"/>
            </w:object>
          </w:r>
        </w:p>
        <w:p w14:paraId="12D2662A" w14:textId="77777777" w:rsidR="00E37477" w:rsidRDefault="00E37477">
          <w:pPr>
            <w:pStyle w:val="Encabezado"/>
            <w:spacing w:after="0"/>
            <w:ind w:left="1066"/>
            <w:rPr>
              <w:rFonts w:ascii="Arial" w:hAnsi="Arial"/>
              <w:noProof/>
              <w:sz w:val="16"/>
            </w:rPr>
          </w:pPr>
        </w:p>
      </w:tc>
      <w:tc>
        <w:tcPr>
          <w:tcW w:w="3402" w:type="dxa"/>
        </w:tcPr>
        <w:p w14:paraId="2CA602FF" w14:textId="77777777" w:rsidR="00E37477" w:rsidRDefault="00E37477">
          <w:pPr>
            <w:pStyle w:val="Encabezado"/>
            <w:tabs>
              <w:tab w:val="clear" w:pos="4252"/>
            </w:tabs>
            <w:spacing w:after="40" w:line="240" w:lineRule="exact"/>
            <w:ind w:left="-68"/>
            <w:jc w:val="left"/>
            <w:rPr>
              <w:rFonts w:ascii="Arial" w:hAnsi="Arial"/>
              <w:b/>
              <w:noProof/>
              <w:sz w:val="18"/>
            </w:rPr>
          </w:pPr>
          <w:r>
            <w:rPr>
              <w:rFonts w:ascii="Arial" w:hAnsi="Arial"/>
              <w:b/>
              <w:noProof/>
              <w:sz w:val="18"/>
            </w:rPr>
            <w:t>Ogasun, Finantza</w:t>
          </w:r>
          <w:r>
            <w:rPr>
              <w:rFonts w:ascii="Arial" w:hAnsi="Arial"/>
              <w:b/>
              <w:noProof/>
              <w:sz w:val="18"/>
            </w:rPr>
            <w:br/>
            <w:t>eta Aurrekontu Saila</w:t>
          </w:r>
        </w:p>
        <w:p w14:paraId="77CDAAC7" w14:textId="77777777" w:rsidR="00E37477" w:rsidRDefault="00E37477">
          <w:pPr>
            <w:pStyle w:val="Encabezado"/>
            <w:tabs>
              <w:tab w:val="clear" w:pos="4252"/>
            </w:tabs>
            <w:spacing w:line="240" w:lineRule="exact"/>
            <w:ind w:left="-68"/>
            <w:jc w:val="left"/>
            <w:rPr>
              <w:rFonts w:ascii="Arial" w:hAnsi="Arial"/>
              <w:noProof/>
              <w:sz w:val="18"/>
            </w:rPr>
          </w:pPr>
          <w:r>
            <w:rPr>
              <w:rFonts w:ascii="Arial" w:hAnsi="Arial"/>
              <w:b/>
              <w:noProof/>
              <w:sz w:val="18"/>
            </w:rPr>
            <w:t>Departamento de Hacienda,</w:t>
          </w:r>
          <w:r>
            <w:rPr>
              <w:rFonts w:ascii="Arial" w:hAnsi="Arial"/>
              <w:b/>
              <w:noProof/>
              <w:sz w:val="18"/>
            </w:rPr>
            <w:br/>
            <w:t>Finanzas y Presupuestos</w:t>
          </w:r>
          <w:r>
            <w:rPr>
              <w:rFonts w:ascii="Arial" w:hAnsi="Arial"/>
              <w:b/>
              <w:noProof/>
              <w:sz w:val="18"/>
            </w:rPr>
            <w:br/>
          </w:r>
        </w:p>
      </w:tc>
    </w:tr>
  </w:tbl>
  <w:p w14:paraId="1191A0FE" w14:textId="77777777" w:rsidR="00E37477" w:rsidRDefault="00E37477">
    <w:pPr>
      <w:pStyle w:val="Encabezado"/>
      <w:pBdr>
        <w:top w:val="single" w:sz="4" w:space="1" w:color="auto"/>
      </w:pBdr>
      <w:tabs>
        <w:tab w:val="clear" w:pos="4252"/>
        <w:tab w:val="clear" w:pos="8504"/>
      </w:tabs>
      <w:spacing w:after="0"/>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30E88"/>
    <w:multiLevelType w:val="hybridMultilevel"/>
    <w:tmpl w:val="47A85756"/>
    <w:lvl w:ilvl="0" w:tplc="C8063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503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s-ES" w:vendorID="9" w:dllVersion="512" w:checkStyle="1"/>
  <w:attachedTemplate r:id="rId1"/>
  <w:doNotTrackMoves/>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174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2458"/>
    <w:rsid w:val="000579AF"/>
    <w:rsid w:val="000F3D40"/>
    <w:rsid w:val="000F78C9"/>
    <w:rsid w:val="00105807"/>
    <w:rsid w:val="00117EA9"/>
    <w:rsid w:val="00130236"/>
    <w:rsid w:val="001502C8"/>
    <w:rsid w:val="00190839"/>
    <w:rsid w:val="001E3305"/>
    <w:rsid w:val="002F0698"/>
    <w:rsid w:val="002F3678"/>
    <w:rsid w:val="00357064"/>
    <w:rsid w:val="00374AB6"/>
    <w:rsid w:val="00375F15"/>
    <w:rsid w:val="00376E83"/>
    <w:rsid w:val="00384DA5"/>
    <w:rsid w:val="003906B1"/>
    <w:rsid w:val="003C32D1"/>
    <w:rsid w:val="004271A8"/>
    <w:rsid w:val="00460CA6"/>
    <w:rsid w:val="004B4788"/>
    <w:rsid w:val="00537479"/>
    <w:rsid w:val="00540C1D"/>
    <w:rsid w:val="00682B21"/>
    <w:rsid w:val="006C2216"/>
    <w:rsid w:val="006C23C0"/>
    <w:rsid w:val="007241B1"/>
    <w:rsid w:val="00791C4C"/>
    <w:rsid w:val="007B4621"/>
    <w:rsid w:val="007C5288"/>
    <w:rsid w:val="007E2458"/>
    <w:rsid w:val="007E5147"/>
    <w:rsid w:val="008028D8"/>
    <w:rsid w:val="008C5790"/>
    <w:rsid w:val="00903BB9"/>
    <w:rsid w:val="009B35F8"/>
    <w:rsid w:val="009C70D6"/>
    <w:rsid w:val="00A0161B"/>
    <w:rsid w:val="00A05B99"/>
    <w:rsid w:val="00A14A45"/>
    <w:rsid w:val="00A35D53"/>
    <w:rsid w:val="00AA0414"/>
    <w:rsid w:val="00AB45F2"/>
    <w:rsid w:val="00AE2FA8"/>
    <w:rsid w:val="00C540F2"/>
    <w:rsid w:val="00CE185B"/>
    <w:rsid w:val="00CE488F"/>
    <w:rsid w:val="00CF2DF7"/>
    <w:rsid w:val="00D2595A"/>
    <w:rsid w:val="00D54EB7"/>
    <w:rsid w:val="00DA466E"/>
    <w:rsid w:val="00E11FD3"/>
    <w:rsid w:val="00E12EA6"/>
    <w:rsid w:val="00E37477"/>
    <w:rsid w:val="00E525E2"/>
    <w:rsid w:val="00E8649D"/>
    <w:rsid w:val="00E91DE8"/>
    <w:rsid w:val="00EE516B"/>
    <w:rsid w:val="00EE5945"/>
    <w:rsid w:val="00F42CD1"/>
    <w:rsid w:val="00F4427B"/>
    <w:rsid w:val="00F45C76"/>
    <w:rsid w:val="00F51D85"/>
    <w:rsid w:val="00F765F3"/>
    <w:rsid w:val="00F9482D"/>
    <w:rsid w:val="00FA4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14:docId w14:val="1831F914"/>
  <w15:chartTrackingRefBased/>
  <w15:docId w15:val="{E86BFF77-2B1E-4DCC-A827-556191C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pPr>
    <w:rPr>
      <w:rFonts w:ascii="Arial" w:hAnsi="Arial"/>
      <w:b/>
      <w:bCs/>
      <w:color w:val="FF0000"/>
      <w:sz w:val="24"/>
      <w:szCs w:val="24"/>
    </w:rPr>
  </w:style>
  <w:style w:type="character" w:styleId="Nmerodepgina">
    <w:name w:val="page number"/>
    <w:basedOn w:val="Fuentedeprrafopredeter"/>
    <w:semiHidden/>
  </w:style>
  <w:style w:type="paragraph" w:styleId="Prrafodelista">
    <w:name w:val="List Paragraph"/>
    <w:basedOn w:val="Normal"/>
    <w:uiPriority w:val="34"/>
    <w:qFormat/>
    <w:rsid w:val="00384DA5"/>
    <w:pPr>
      <w:spacing w:after="160" w:line="259" w:lineRule="auto"/>
      <w:ind w:left="720"/>
      <w:contextualSpacing/>
      <w:jc w:val="left"/>
    </w:pPr>
    <w:rPr>
      <w:rFonts w:ascii="Calibri" w:eastAsia="Aptos" w:hAnsi="Calibri"/>
      <w:kern w:val="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7430">
      <w:bodyDiv w:val="1"/>
      <w:marLeft w:val="0"/>
      <w:marRight w:val="0"/>
      <w:marTop w:val="0"/>
      <w:marBottom w:val="0"/>
      <w:divBdr>
        <w:top w:val="none" w:sz="0" w:space="0" w:color="auto"/>
        <w:left w:val="none" w:sz="0" w:space="0" w:color="auto"/>
        <w:bottom w:val="none" w:sz="0" w:space="0" w:color="auto"/>
        <w:right w:val="none" w:sz="0" w:space="0" w:color="auto"/>
      </w:divBdr>
    </w:div>
    <w:div w:id="468324882">
      <w:bodyDiv w:val="1"/>
      <w:marLeft w:val="0"/>
      <w:marRight w:val="0"/>
      <w:marTop w:val="0"/>
      <w:marBottom w:val="0"/>
      <w:divBdr>
        <w:top w:val="none" w:sz="0" w:space="0" w:color="auto"/>
        <w:left w:val="none" w:sz="0" w:space="0" w:color="auto"/>
        <w:bottom w:val="none" w:sz="0" w:space="0" w:color="auto"/>
        <w:right w:val="none" w:sz="0" w:space="0" w:color="auto"/>
      </w:divBdr>
    </w:div>
    <w:div w:id="97066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OS%20NUEVO%20LOGOTIPO\Modelo%20Orden%20Fo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Orden Foral.dot</Template>
  <TotalTime>46</TotalTime>
  <Pages>3</Pages>
  <Words>833</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Plantilla de Orden Foral</vt:lpstr>
    </vt:vector>
  </TitlesOfParts>
  <Company>DFA-AFA</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subject/>
  <dc:creator>HALARREA_ANA</dc:creator>
  <cp:keywords/>
  <cp:lastModifiedBy>Peral Diez, Elena</cp:lastModifiedBy>
  <cp:revision>21</cp:revision>
  <cp:lastPrinted>2026-05-14T10:54:00Z</cp:lastPrinted>
  <dcterms:created xsi:type="dcterms:W3CDTF">2021-03-30T06:38:00Z</dcterms:created>
  <dcterms:modified xsi:type="dcterms:W3CDTF">2026-05-18T10:04:00Z</dcterms:modified>
</cp:coreProperties>
</file>