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1DCCC" w14:textId="77777777" w:rsidR="001D49CA" w:rsidRDefault="001D49CA" w:rsidP="005418A8">
      <w:pPr>
        <w:spacing w:after="0" w:line="240" w:lineRule="auto"/>
        <w:ind w:left="0" w:firstLine="0"/>
        <w:jc w:val="center"/>
        <w:rPr>
          <w:rFonts w:ascii="Times New Roman" w:eastAsia="Times New Roman" w:hAnsi="Times New Roman" w:cs="Arial"/>
          <w:bCs/>
          <w:color w:val="auto"/>
          <w:sz w:val="22"/>
          <w:lang w:val="eu-ES" w:bidi="or-IN"/>
        </w:rPr>
      </w:pPr>
    </w:p>
    <w:p w14:paraId="6D506A9A" w14:textId="77777777" w:rsidR="00F61A36" w:rsidRDefault="00F61A36" w:rsidP="005418A8">
      <w:pPr>
        <w:spacing w:after="0" w:line="240" w:lineRule="auto"/>
        <w:ind w:left="0" w:firstLine="0"/>
        <w:jc w:val="center"/>
        <w:rPr>
          <w:rFonts w:ascii="Times New Roman" w:eastAsia="Times New Roman" w:hAnsi="Times New Roman" w:cs="Arial"/>
          <w:bCs/>
          <w:color w:val="auto"/>
          <w:sz w:val="22"/>
          <w:lang w:val="eu-ES" w:bidi="or-IN"/>
        </w:rPr>
      </w:pPr>
    </w:p>
    <w:p w14:paraId="411696BF" w14:textId="77777777" w:rsidR="005418A8" w:rsidRPr="005418A8" w:rsidRDefault="00D3119F" w:rsidP="005418A8">
      <w:pPr>
        <w:spacing w:after="0" w:line="240" w:lineRule="auto"/>
        <w:ind w:left="0" w:firstLine="0"/>
        <w:jc w:val="center"/>
        <w:rPr>
          <w:rFonts w:ascii="Times New Roman" w:eastAsia="Times New Roman" w:hAnsi="Times New Roman" w:cs="Arial"/>
          <w:bCs/>
          <w:color w:val="auto"/>
          <w:sz w:val="22"/>
          <w:lang w:val="es-ES_tradnl" w:bidi="or-IN"/>
        </w:rPr>
      </w:pPr>
      <w:r>
        <w:rPr>
          <w:rFonts w:ascii="Times New Roman" w:eastAsia="Times New Roman" w:hAnsi="Times New Roman" w:cs="Arial"/>
          <w:bCs/>
          <w:color w:val="auto"/>
          <w:sz w:val="22"/>
          <w:lang w:val="eu-ES" w:bidi="or-IN"/>
        </w:rPr>
        <w:t>ERANSKINA</w:t>
      </w:r>
    </w:p>
    <w:p w14:paraId="1AA20085" w14:textId="77777777" w:rsidR="005418A8" w:rsidRPr="005418A8" w:rsidRDefault="005418A8" w:rsidP="005418A8">
      <w:pPr>
        <w:spacing w:after="0" w:line="240" w:lineRule="auto"/>
        <w:ind w:left="0" w:firstLine="0"/>
        <w:jc w:val="both"/>
        <w:rPr>
          <w:rFonts w:ascii="Times New Roman" w:eastAsia="Times New Roman" w:hAnsi="Times New Roman" w:cs="Arial"/>
          <w:b w:val="0"/>
          <w:color w:val="auto"/>
          <w:sz w:val="22"/>
          <w:lang w:val="es-ES_tradnl" w:bidi="or-IN"/>
        </w:rPr>
      </w:pPr>
    </w:p>
    <w:p w14:paraId="53FAADB4" w14:textId="77777777" w:rsidR="005418A8" w:rsidRPr="005418A8" w:rsidRDefault="005418A8" w:rsidP="005418A8">
      <w:pPr>
        <w:autoSpaceDE w:val="0"/>
        <w:autoSpaceDN w:val="0"/>
        <w:adjustRightInd w:val="0"/>
        <w:spacing w:after="0" w:line="240" w:lineRule="auto"/>
        <w:ind w:left="0" w:firstLine="0"/>
        <w:rPr>
          <w:rFonts w:ascii="Times New Roman" w:eastAsia="Times New Roman" w:hAnsi="Times New Roman" w:cs="Times New Roman"/>
          <w:b w:val="0"/>
          <w:sz w:val="22"/>
        </w:rPr>
      </w:pPr>
    </w:p>
    <w:p w14:paraId="52E6C5DB" w14:textId="77777777" w:rsidR="005418A8" w:rsidRPr="005418A8" w:rsidRDefault="00A03C4A" w:rsidP="005418A8">
      <w:pPr>
        <w:spacing w:after="0" w:line="240" w:lineRule="auto"/>
        <w:ind w:left="0" w:firstLine="0"/>
        <w:jc w:val="both"/>
        <w:rPr>
          <w:rFonts w:ascii="Times New Roman" w:eastAsia="Times New Roman" w:hAnsi="Times New Roman" w:cs="Arial"/>
          <w:bCs/>
          <w:color w:val="auto"/>
          <w:sz w:val="22"/>
          <w:lang w:val="es-ES_tradnl" w:bidi="or-IN"/>
        </w:rPr>
      </w:pPr>
      <w:r>
        <w:rPr>
          <w:rFonts w:ascii="Times New Roman" w:eastAsia="Times New Roman" w:hAnsi="Times New Roman" w:cs="Arial"/>
          <w:bCs/>
          <w:color w:val="auto"/>
          <w:sz w:val="22"/>
          <w:lang w:val="eu-ES" w:bidi="or-IN"/>
        </w:rPr>
        <w:t>VITORIA-GASTEIZKO TRANBIA ZABALGANARA LUZATZEA FINANTZATZEKO KONPROMISO KREDITUA SORTZEKO FORU ARAU PROIEKTUA</w:t>
      </w:r>
    </w:p>
    <w:p w14:paraId="7A4138DF" w14:textId="77777777" w:rsidR="005418A8" w:rsidRPr="005418A8" w:rsidRDefault="005418A8" w:rsidP="005418A8">
      <w:pPr>
        <w:spacing w:after="0" w:line="240" w:lineRule="auto"/>
        <w:ind w:left="0" w:firstLine="0"/>
        <w:jc w:val="both"/>
        <w:rPr>
          <w:rFonts w:ascii="Times New Roman" w:eastAsia="Times New Roman" w:hAnsi="Times New Roman" w:cs="Arial"/>
          <w:bCs/>
          <w:color w:val="auto"/>
          <w:sz w:val="22"/>
          <w:lang w:val="es-ES_tradnl" w:bidi="or-IN"/>
        </w:rPr>
      </w:pPr>
    </w:p>
    <w:p w14:paraId="332FCCCE" w14:textId="77777777" w:rsidR="005418A8" w:rsidRPr="005418A8" w:rsidRDefault="005418A8" w:rsidP="005418A8">
      <w:pPr>
        <w:spacing w:after="0" w:line="240" w:lineRule="auto"/>
        <w:ind w:left="0" w:firstLine="0"/>
        <w:jc w:val="both"/>
        <w:rPr>
          <w:rFonts w:ascii="Times New Roman" w:eastAsia="Times New Roman" w:hAnsi="Times New Roman" w:cs="Arial"/>
          <w:bCs/>
          <w:color w:val="auto"/>
          <w:sz w:val="22"/>
          <w:lang w:val="es-ES_tradnl" w:bidi="or-IN"/>
        </w:rPr>
      </w:pPr>
    </w:p>
    <w:p w14:paraId="4BD0D62C" w14:textId="77777777" w:rsidR="005418A8" w:rsidRPr="005418A8" w:rsidRDefault="00A03C4A" w:rsidP="005418A8">
      <w:pPr>
        <w:spacing w:after="120" w:line="240" w:lineRule="auto"/>
        <w:ind w:left="0" w:firstLine="0"/>
        <w:jc w:val="center"/>
        <w:rPr>
          <w:rFonts w:ascii="Times New Roman" w:eastAsia="Times New Roman" w:hAnsi="Times New Roman" w:cs="Arial"/>
          <w:bCs/>
          <w:color w:val="auto"/>
          <w:sz w:val="22"/>
          <w:lang w:val="es-ES_tradnl" w:bidi="or-IN"/>
        </w:rPr>
      </w:pPr>
      <w:r>
        <w:rPr>
          <w:rFonts w:ascii="Times New Roman" w:eastAsia="Times New Roman" w:hAnsi="Times New Roman" w:cs="Arial"/>
          <w:bCs/>
          <w:color w:val="auto"/>
          <w:sz w:val="22"/>
          <w:lang w:val="eu-ES" w:bidi="or-IN"/>
        </w:rPr>
        <w:t>ZIOEN AZALPENA</w:t>
      </w:r>
    </w:p>
    <w:p w14:paraId="25B53FEF" w14:textId="77777777" w:rsidR="005418A8" w:rsidRPr="005418A8" w:rsidRDefault="005418A8" w:rsidP="005418A8">
      <w:pPr>
        <w:spacing w:after="0" w:line="240" w:lineRule="auto"/>
        <w:ind w:left="0" w:firstLine="0"/>
        <w:jc w:val="both"/>
        <w:rPr>
          <w:rFonts w:ascii="Times New Roman" w:eastAsia="Times New Roman" w:hAnsi="Times New Roman" w:cs="Arial"/>
          <w:bCs/>
          <w:color w:val="auto"/>
          <w:sz w:val="22"/>
          <w:lang w:val="es-ES_tradnl" w:bidi="or-IN"/>
        </w:rPr>
      </w:pPr>
    </w:p>
    <w:p w14:paraId="35628785" w14:textId="77777777" w:rsidR="005418A8" w:rsidRPr="005418A8" w:rsidRDefault="00A03C4A" w:rsidP="005418A8">
      <w:pPr>
        <w:spacing w:after="240" w:line="240" w:lineRule="auto"/>
        <w:ind w:left="0" w:firstLine="0"/>
        <w:jc w:val="both"/>
        <w:rPr>
          <w:rFonts w:ascii="Times New Roman" w:eastAsia="Times New Roman" w:hAnsi="Times New Roman" w:cs="Times New Roman"/>
          <w:b w:val="0"/>
          <w:color w:val="auto"/>
          <w:sz w:val="22"/>
          <w:szCs w:val="20"/>
          <w:lang w:val="es-ES_tradnl" w:bidi="or-IN"/>
        </w:rPr>
      </w:pPr>
      <w:r>
        <w:rPr>
          <w:rFonts w:ascii="Times New Roman" w:eastAsia="Times New Roman" w:hAnsi="Times New Roman" w:cs="Times New Roman"/>
          <w:b w:val="0"/>
          <w:bCs/>
          <w:color w:val="auto"/>
          <w:sz w:val="22"/>
          <w:lang w:val="eu-ES" w:bidi="or-IN"/>
        </w:rPr>
        <w:t xml:space="preserve">2016ko ekainaren 1ean, Euskal Autonomia Erkidegoko Administrazio Orokorrak, Arabako Foru Aldundiak eta Vitoria-Gasteizko Udalak lankidetza hitzarmena sinatu zuten Gasteizko hiriko garraio publikoaren eskaintza egokitzeko eraikuntza proiektu batzuk idazteko; garraio publikoa egokitzea da xedea, garraiobide publiko kolektibo eta “azken miliakoaren” sistema multimodal integratu eta erabat elektrifikatu bat sortuz.  </w:t>
      </w:r>
    </w:p>
    <w:p w14:paraId="1FF5CF09" w14:textId="77777777" w:rsidR="005418A8" w:rsidRPr="005418A8" w:rsidRDefault="00A03C4A" w:rsidP="005418A8">
      <w:pPr>
        <w:spacing w:after="240" w:line="240" w:lineRule="auto"/>
        <w:ind w:left="0" w:firstLine="0"/>
        <w:jc w:val="both"/>
        <w:rPr>
          <w:rFonts w:ascii="Times New Roman" w:eastAsia="Times New Roman" w:hAnsi="Times New Roman" w:cs="Times New Roman"/>
          <w:color w:val="auto"/>
          <w:sz w:val="22"/>
          <w:szCs w:val="20"/>
          <w:lang w:val="es-ES_tradnl" w:bidi="or-IN"/>
        </w:rPr>
      </w:pPr>
      <w:r>
        <w:rPr>
          <w:rFonts w:ascii="Times New Roman" w:eastAsia="Times New Roman" w:hAnsi="Times New Roman" w:cs="Times New Roman"/>
          <w:b w:val="0"/>
          <w:color w:val="auto"/>
          <w:sz w:val="22"/>
          <w:lang w:val="eu-ES" w:bidi="or-IN"/>
        </w:rPr>
        <w:t>Proiektu horrek Vitoria-Gasteiz osoa hartzen zuen, eta mugikortasun premia publiko eta pribatuak barne hartzen zituen, mugikortasun paradigma berriak definitze aldera: zehazki, udalerriaren ekialde-erdialde-mendebaldeko komunikazio alternatiben azterketa bat jasotzen zuen, Salburua eta Zabalgana auzoetako eta Jundizko industrialdeko premiak estaltzeko, hainbat garraiobideren bidez edo haien konbinazio integratuaren bidez, bai eta hiriko tranbia sistema behar bezala hedatzeari buruzko azterlanak, udaleko garraio lineetan trakzio elektrikoko bitartekoak ezartzea, egon daitezkeen azken miliako mugikortasun arazoak konpontzea eta horretarako beharrezkoak diren mekanismoak, azpiegiturak eta kudeaketa tresnak ezartzea ere, garraio sistema multimodal, osagarri eta integratu bat eratzeko, erabiltzailearentzat eraginkorra, ingurumenaren aldetik efizientea eta ekonomikoki jasangarria izango dena.</w:t>
      </w:r>
    </w:p>
    <w:p w14:paraId="34145E51" w14:textId="77777777" w:rsidR="005418A8" w:rsidRPr="00545CF8" w:rsidRDefault="00A03C4A" w:rsidP="005418A8">
      <w:pPr>
        <w:spacing w:after="240" w:line="240" w:lineRule="auto"/>
        <w:ind w:left="0" w:firstLine="0"/>
        <w:jc w:val="both"/>
        <w:rPr>
          <w:rFonts w:ascii="Times New Roman" w:eastAsia="Times New Roman" w:hAnsi="Times New Roman" w:cs="Times New Roman"/>
          <w:color w:val="auto"/>
          <w:sz w:val="22"/>
          <w:szCs w:val="20"/>
          <w:lang w:val="eu-ES" w:bidi="or-IN"/>
        </w:rPr>
      </w:pPr>
      <w:r>
        <w:rPr>
          <w:rFonts w:ascii="Times New Roman" w:eastAsia="Times New Roman" w:hAnsi="Times New Roman" w:cs="Times New Roman"/>
          <w:b w:val="0"/>
          <w:bCs/>
          <w:color w:val="auto"/>
          <w:sz w:val="22"/>
          <w:lang w:val="eu-ES" w:bidi="or-IN"/>
        </w:rPr>
        <w:t>Euskal Autonomia Erkidegoko Administrazioak, maiatzaren 21eko 6/2004 Legearen bidez, Red Ferroviaria Vasca – Euskal Trenbide Sarea ente publikoa sortzea erabaki zuen, trenbide garraioko azpiegiturak eraiki, zaindu, kudeatu eta administratzeko. Horretarako, zenbait ondasun atxiki zitzaizkion, ekainaren 6ko 118/2006 Dekretuaren bidez, Eusko Trenbideak – Ferrocarriles Vascos sozietate publikoaren kapitala murriztearen ondorioz. Atxikitako ondasun eta eskubideen artean daude Euskal Autonomia Erkidegoko trenbide jabari publikoko ondasun batzuk, abuztuaren 25eko 2488/1978 Dekretuaren eta abenduaren 18ko 3/1979 Lege Organikoaren bidez transferitutako trenbide lineak osatzen dituztenak, bai eta Zumarragatik Zumaiarako trenbidea eta Bilboko eta Vitoria-Gasteizko tranbia lineak ere.</w:t>
      </w:r>
    </w:p>
    <w:p w14:paraId="0C731F4C" w14:textId="77777777" w:rsidR="005418A8" w:rsidRPr="00545CF8" w:rsidRDefault="00A03C4A" w:rsidP="005418A8">
      <w:pPr>
        <w:spacing w:after="240" w:line="240" w:lineRule="auto"/>
        <w:ind w:left="0" w:firstLine="0"/>
        <w:jc w:val="both"/>
        <w:rPr>
          <w:rFonts w:ascii="Times New Roman" w:eastAsia="Times New Roman" w:hAnsi="Times New Roman" w:cs="Times New Roman"/>
          <w:b w:val="0"/>
          <w:bCs/>
          <w:color w:val="auto"/>
          <w:sz w:val="22"/>
          <w:szCs w:val="20"/>
          <w:lang w:val="eu-ES" w:bidi="or-IN"/>
        </w:rPr>
      </w:pPr>
      <w:r>
        <w:rPr>
          <w:rFonts w:ascii="Times New Roman" w:eastAsia="Times New Roman" w:hAnsi="Times New Roman" w:cs="Times New Roman"/>
          <w:b w:val="0"/>
          <w:bCs/>
          <w:color w:val="auto"/>
          <w:sz w:val="22"/>
          <w:lang w:val="eu-ES" w:bidi="or-IN"/>
        </w:rPr>
        <w:t>Bestalde, Vitoria-Gasteizko Udalaren Mugikortasun Jasangarriaren Planak planteatzen du gaitasun handiko garraio publikoko sare bat sartzea (tranbia korridorea), udalerria ekialdetik mendebaldera zeharkatu eta lotzeko, Zabalgana eta Salburua auzoak lotuta eta BEI eta egungo tranbia sarea osatuta.</w:t>
      </w:r>
    </w:p>
    <w:p w14:paraId="3784603B" w14:textId="77777777" w:rsidR="005418A8" w:rsidRPr="00545CF8" w:rsidRDefault="00A03C4A" w:rsidP="005418A8">
      <w:pPr>
        <w:spacing w:after="240" w:line="240" w:lineRule="auto"/>
        <w:ind w:left="0" w:firstLine="0"/>
        <w:jc w:val="both"/>
        <w:rPr>
          <w:rFonts w:ascii="Times New Roman" w:eastAsia="Times New Roman" w:hAnsi="Times New Roman" w:cs="Times New Roman"/>
          <w:b w:val="0"/>
          <w:bCs/>
          <w:color w:val="auto"/>
          <w:sz w:val="22"/>
          <w:szCs w:val="20"/>
          <w:lang w:val="eu-ES" w:bidi="or-IN"/>
        </w:rPr>
      </w:pPr>
      <w:r>
        <w:rPr>
          <w:rFonts w:ascii="Times New Roman" w:eastAsia="Times New Roman" w:hAnsi="Times New Roman" w:cs="Times New Roman"/>
          <w:b w:val="0"/>
          <w:bCs/>
          <w:color w:val="auto"/>
          <w:sz w:val="22"/>
          <w:lang w:val="eu-ES" w:bidi="or-IN"/>
        </w:rPr>
        <w:t>"Vitoria-Gasteizko tranbia Zabalganara luzatzeko eraikuntza proiektua" onetsi aurreko legezko izapideak bete ondoren, une honetan Red Ferroviaria Vasca – Euskal Trenbide Sarea ente publikoaren, Arabako Foru Aldundiaren eta Vitoria-Gasteizko Udalaren artean hitzarmen bat sinatu nahi da, Vitoria-Gasteizko tranbia Zabalganara eta Betoñoko kotxetegietara luzatzeko proiektua finantzatzen eta eraikitzen laguntzeko (Salburua eta kotxetegiak ere barne hartuta). Hitzarmen horren aurrekontua 120.720.000 euro ingurukoa da (BEZik gabe).</w:t>
      </w:r>
    </w:p>
    <w:p w14:paraId="6C6C850F" w14:textId="77777777" w:rsidR="001D49CA" w:rsidRDefault="001D49CA" w:rsidP="005418A8">
      <w:pPr>
        <w:spacing w:after="240" w:line="240" w:lineRule="auto"/>
        <w:ind w:left="0" w:firstLine="0"/>
        <w:jc w:val="both"/>
        <w:rPr>
          <w:rFonts w:ascii="Times New Roman" w:eastAsia="Times New Roman" w:hAnsi="Times New Roman" w:cs="Times New Roman"/>
          <w:b w:val="0"/>
          <w:bCs/>
          <w:color w:val="auto"/>
          <w:sz w:val="22"/>
          <w:lang w:val="eu-ES" w:bidi="or-IN"/>
        </w:rPr>
      </w:pPr>
    </w:p>
    <w:p w14:paraId="1A39712F" w14:textId="77777777" w:rsidR="001D49CA" w:rsidRDefault="001D49CA" w:rsidP="005418A8">
      <w:pPr>
        <w:spacing w:after="240" w:line="240" w:lineRule="auto"/>
        <w:ind w:left="0" w:firstLine="0"/>
        <w:jc w:val="both"/>
        <w:rPr>
          <w:rFonts w:ascii="Times New Roman" w:eastAsia="Times New Roman" w:hAnsi="Times New Roman" w:cs="Times New Roman"/>
          <w:b w:val="0"/>
          <w:bCs/>
          <w:color w:val="auto"/>
          <w:sz w:val="22"/>
          <w:lang w:val="eu-ES" w:bidi="or-IN"/>
        </w:rPr>
      </w:pPr>
    </w:p>
    <w:p w14:paraId="28B7DEBC" w14:textId="77777777" w:rsidR="001D49CA" w:rsidRDefault="001D49CA" w:rsidP="005418A8">
      <w:pPr>
        <w:spacing w:after="240" w:line="240" w:lineRule="auto"/>
        <w:ind w:left="0" w:firstLine="0"/>
        <w:jc w:val="both"/>
        <w:rPr>
          <w:rFonts w:ascii="Times New Roman" w:eastAsia="Times New Roman" w:hAnsi="Times New Roman" w:cs="Times New Roman"/>
          <w:b w:val="0"/>
          <w:bCs/>
          <w:color w:val="auto"/>
          <w:sz w:val="22"/>
          <w:lang w:val="eu-ES" w:bidi="or-IN"/>
        </w:rPr>
      </w:pPr>
    </w:p>
    <w:p w14:paraId="30E890CA" w14:textId="77777777" w:rsidR="005418A8" w:rsidRPr="001D49CA" w:rsidRDefault="00A03C4A" w:rsidP="005418A8">
      <w:pPr>
        <w:spacing w:after="240" w:line="240" w:lineRule="auto"/>
        <w:ind w:left="0" w:firstLine="0"/>
        <w:jc w:val="both"/>
        <w:rPr>
          <w:rFonts w:ascii="Times New Roman" w:eastAsia="Times New Roman" w:hAnsi="Times New Roman" w:cs="Times New Roman"/>
          <w:b w:val="0"/>
          <w:bCs/>
          <w:color w:val="auto"/>
          <w:sz w:val="22"/>
          <w:szCs w:val="20"/>
          <w:lang w:val="eu-ES" w:bidi="or-IN"/>
        </w:rPr>
      </w:pPr>
      <w:r>
        <w:rPr>
          <w:rFonts w:ascii="Times New Roman" w:eastAsia="Times New Roman" w:hAnsi="Times New Roman" w:cs="Times New Roman"/>
          <w:b w:val="0"/>
          <w:bCs/>
          <w:color w:val="auto"/>
          <w:sz w:val="22"/>
          <w:lang w:val="eu-ES" w:bidi="or-IN"/>
        </w:rPr>
        <w:t>Hitzarmen horren hirugarren klausulan ezartzen denez, Arabako Foru Aldundiak hitzematen du Vitoria-Gasteizko tranbia Zabalganara luzatzeko jarduketen aurrekontuaren % 17,5 jarriko duela (BEZik gabe), obren zuzendaritzarako behar diren obrak eta laguntza zerbitzuak kontratatzeko kalkulatutako kostuaren zati bat finantzatzeko. Aurrekontu hori 16.142.000,00 eurokoa da, eta honela banatuko da urteka:</w:t>
      </w:r>
    </w:p>
    <w:tbl>
      <w:tblPr>
        <w:tblW w:w="0" w:type="auto"/>
        <w:tblInd w:w="2905" w:type="dxa"/>
        <w:tblBorders>
          <w:top w:val="single" w:sz="4" w:space="0" w:color="auto"/>
          <w:bottom w:val="single" w:sz="4" w:space="0" w:color="auto"/>
          <w:insideH w:val="dotted" w:sz="2" w:space="0" w:color="auto"/>
        </w:tblBorders>
        <w:tblLayout w:type="fixed"/>
        <w:tblCellMar>
          <w:left w:w="70" w:type="dxa"/>
          <w:right w:w="70" w:type="dxa"/>
        </w:tblCellMar>
        <w:tblLook w:val="0000" w:firstRow="0" w:lastRow="0" w:firstColumn="0" w:lastColumn="0" w:noHBand="0" w:noVBand="0"/>
      </w:tblPr>
      <w:tblGrid>
        <w:gridCol w:w="1276"/>
        <w:gridCol w:w="1701"/>
      </w:tblGrid>
      <w:tr w:rsidR="00A03C4A" w14:paraId="623E9646" w14:textId="77777777" w:rsidTr="00F76C83">
        <w:trPr>
          <w:cantSplit/>
        </w:trPr>
        <w:tc>
          <w:tcPr>
            <w:tcW w:w="1276" w:type="dxa"/>
            <w:tcBorders>
              <w:top w:val="nil"/>
              <w:bottom w:val="single" w:sz="4" w:space="0" w:color="auto"/>
            </w:tcBorders>
          </w:tcPr>
          <w:p w14:paraId="65075B97" w14:textId="77777777" w:rsidR="005418A8" w:rsidRPr="005418A8" w:rsidRDefault="00A03C4A" w:rsidP="005418A8">
            <w:pPr>
              <w:spacing w:after="0" w:line="240" w:lineRule="auto"/>
              <w:ind w:left="-70" w:firstLine="0"/>
              <w:jc w:val="center"/>
              <w:rPr>
                <w:rFonts w:ascii="Times New Roman" w:eastAsia="Times New Roman" w:hAnsi="Times New Roman" w:cs="Times New Roman"/>
                <w:b w:val="0"/>
                <w:bCs/>
                <w:color w:val="auto"/>
                <w:sz w:val="22"/>
                <w:szCs w:val="20"/>
                <w:lang w:val="es-ES_tradnl" w:bidi="or-IN"/>
              </w:rPr>
            </w:pPr>
            <w:r>
              <w:rPr>
                <w:rFonts w:ascii="Times New Roman" w:eastAsia="Times New Roman" w:hAnsi="Times New Roman" w:cs="Times New Roman"/>
                <w:b w:val="0"/>
                <w:bCs/>
                <w:color w:val="auto"/>
                <w:sz w:val="22"/>
                <w:lang w:val="eu-ES" w:bidi="or-IN"/>
              </w:rPr>
              <w:t>Urtea</w:t>
            </w:r>
          </w:p>
        </w:tc>
        <w:tc>
          <w:tcPr>
            <w:tcW w:w="1701" w:type="dxa"/>
            <w:tcBorders>
              <w:top w:val="nil"/>
              <w:bottom w:val="single" w:sz="4" w:space="0" w:color="auto"/>
            </w:tcBorders>
          </w:tcPr>
          <w:p w14:paraId="66519143" w14:textId="77777777" w:rsidR="005418A8" w:rsidRPr="005418A8" w:rsidRDefault="00A03C4A" w:rsidP="005418A8">
            <w:pPr>
              <w:spacing w:after="0" w:line="240" w:lineRule="auto"/>
              <w:ind w:left="213" w:right="356" w:firstLine="0"/>
              <w:jc w:val="right"/>
              <w:rPr>
                <w:rFonts w:ascii="Times New Roman" w:eastAsia="Times New Roman" w:hAnsi="Times New Roman" w:cs="Times New Roman"/>
                <w:b w:val="0"/>
                <w:bCs/>
                <w:color w:val="auto"/>
                <w:sz w:val="22"/>
                <w:szCs w:val="20"/>
                <w:lang w:val="es-ES_tradnl" w:bidi="or-IN"/>
              </w:rPr>
            </w:pPr>
            <w:r>
              <w:rPr>
                <w:rFonts w:ascii="Times New Roman" w:eastAsia="Times New Roman" w:hAnsi="Times New Roman" w:cs="Times New Roman"/>
                <w:b w:val="0"/>
                <w:bCs/>
                <w:color w:val="auto"/>
                <w:sz w:val="22"/>
                <w:lang w:val="eu-ES" w:bidi="or-IN"/>
              </w:rPr>
              <w:t>Euroak</w:t>
            </w:r>
          </w:p>
        </w:tc>
      </w:tr>
      <w:tr w:rsidR="00A03C4A" w14:paraId="54014F49" w14:textId="77777777" w:rsidTr="00F76C83">
        <w:trPr>
          <w:cantSplit/>
        </w:trPr>
        <w:tc>
          <w:tcPr>
            <w:tcW w:w="1276" w:type="dxa"/>
          </w:tcPr>
          <w:p w14:paraId="1617DA97" w14:textId="77777777" w:rsidR="005418A8" w:rsidRPr="005418A8" w:rsidRDefault="00A03C4A" w:rsidP="005418A8">
            <w:pPr>
              <w:widowControl w:val="0"/>
              <w:spacing w:after="0" w:line="240" w:lineRule="auto"/>
              <w:ind w:left="-70" w:right="-70" w:firstLine="0"/>
              <w:jc w:val="center"/>
              <w:rPr>
                <w:rFonts w:ascii="Times New Roman" w:eastAsia="Times New Roman" w:hAnsi="Times New Roman" w:cs="Times New Roman"/>
                <w:b w:val="0"/>
                <w:bCs/>
                <w:color w:val="auto"/>
                <w:sz w:val="22"/>
                <w:szCs w:val="20"/>
                <w:lang w:val="es-ES_tradnl" w:bidi="or-IN"/>
              </w:rPr>
            </w:pPr>
            <w:r>
              <w:rPr>
                <w:rFonts w:ascii="Times New Roman" w:eastAsia="Times New Roman" w:hAnsi="Times New Roman" w:cs="Times New Roman"/>
                <w:b w:val="0"/>
                <w:bCs/>
                <w:noProof/>
                <w:color w:val="auto"/>
                <w:sz w:val="22"/>
                <w:lang w:val="eu-ES" w:bidi="or-IN"/>
              </w:rPr>
              <w:t>2026</w:t>
            </w:r>
          </w:p>
        </w:tc>
        <w:tc>
          <w:tcPr>
            <w:tcW w:w="1701" w:type="dxa"/>
          </w:tcPr>
          <w:p w14:paraId="2C29A08F" w14:textId="77777777" w:rsidR="005418A8" w:rsidRPr="005418A8" w:rsidRDefault="00A03C4A" w:rsidP="005418A8">
            <w:pPr>
              <w:widowControl w:val="0"/>
              <w:spacing w:after="0" w:line="240" w:lineRule="auto"/>
              <w:ind w:left="0" w:right="72" w:firstLine="0"/>
              <w:jc w:val="right"/>
              <w:rPr>
                <w:rFonts w:ascii="Times New Roman" w:eastAsia="Times New Roman" w:hAnsi="Times New Roman" w:cs="Times New Roman"/>
                <w:b w:val="0"/>
                <w:bCs/>
                <w:color w:val="auto"/>
                <w:sz w:val="22"/>
                <w:szCs w:val="20"/>
                <w:highlight w:val="lightGray"/>
                <w:lang w:val="es-ES_tradnl" w:bidi="or-IN"/>
              </w:rPr>
            </w:pPr>
            <w:r>
              <w:rPr>
                <w:rFonts w:ascii="Times New Roman" w:eastAsia="Times New Roman" w:hAnsi="Times New Roman" w:cs="Times New Roman"/>
                <w:b w:val="0"/>
                <w:bCs/>
                <w:noProof/>
                <w:color w:val="auto"/>
                <w:sz w:val="22"/>
                <w:lang w:val="eu-ES" w:bidi="or-IN"/>
              </w:rPr>
              <w:t xml:space="preserve">378.000,00 </w:t>
            </w:r>
            <w:r w:rsidR="001D49CA">
              <w:rPr>
                <w:rFonts w:ascii="Times New Roman" w:eastAsia="Times New Roman" w:hAnsi="Times New Roman" w:cs="Times New Roman"/>
                <w:b w:val="0"/>
                <w:bCs/>
                <w:noProof/>
                <w:color w:val="auto"/>
                <w:sz w:val="22"/>
                <w:lang w:val="eu-ES" w:bidi="or-IN"/>
              </w:rPr>
              <w:t>€</w:t>
            </w:r>
          </w:p>
        </w:tc>
      </w:tr>
      <w:tr w:rsidR="00A03C4A" w14:paraId="604DA03D" w14:textId="77777777" w:rsidTr="00F76C83">
        <w:trPr>
          <w:cantSplit/>
        </w:trPr>
        <w:tc>
          <w:tcPr>
            <w:tcW w:w="1276" w:type="dxa"/>
          </w:tcPr>
          <w:p w14:paraId="514B8C58" w14:textId="77777777" w:rsidR="005418A8" w:rsidRPr="005418A8" w:rsidRDefault="00A03C4A" w:rsidP="005418A8">
            <w:pPr>
              <w:widowControl w:val="0"/>
              <w:spacing w:after="0" w:line="240" w:lineRule="auto"/>
              <w:ind w:left="-70" w:right="-70" w:firstLine="0"/>
              <w:jc w:val="center"/>
              <w:rPr>
                <w:rFonts w:ascii="Times New Roman" w:eastAsia="Times New Roman" w:hAnsi="Times New Roman" w:cs="Times New Roman"/>
                <w:b w:val="0"/>
                <w:bCs/>
                <w:noProof/>
                <w:color w:val="auto"/>
                <w:sz w:val="22"/>
                <w:szCs w:val="20"/>
                <w:lang w:val="es-ES_tradnl" w:bidi="or-IN"/>
              </w:rPr>
            </w:pPr>
            <w:r>
              <w:rPr>
                <w:rFonts w:ascii="Times New Roman" w:eastAsia="Times New Roman" w:hAnsi="Times New Roman" w:cs="Times New Roman"/>
                <w:b w:val="0"/>
                <w:bCs/>
                <w:noProof/>
                <w:color w:val="auto"/>
                <w:sz w:val="22"/>
                <w:lang w:val="eu-ES" w:bidi="or-IN"/>
              </w:rPr>
              <w:t>2027</w:t>
            </w:r>
          </w:p>
        </w:tc>
        <w:tc>
          <w:tcPr>
            <w:tcW w:w="1701" w:type="dxa"/>
          </w:tcPr>
          <w:p w14:paraId="5A53EA3A" w14:textId="77777777" w:rsidR="005418A8" w:rsidRPr="005418A8" w:rsidRDefault="00A03C4A" w:rsidP="005418A8">
            <w:pPr>
              <w:widowControl w:val="0"/>
              <w:spacing w:after="0" w:line="240" w:lineRule="auto"/>
              <w:ind w:left="0" w:right="72" w:firstLine="0"/>
              <w:jc w:val="right"/>
              <w:rPr>
                <w:rFonts w:ascii="Times New Roman" w:eastAsia="Times New Roman" w:hAnsi="Times New Roman" w:cs="Times New Roman"/>
                <w:b w:val="0"/>
                <w:bCs/>
                <w:noProof/>
                <w:color w:val="auto"/>
                <w:sz w:val="22"/>
                <w:szCs w:val="20"/>
                <w:lang w:val="es-ES_tradnl" w:bidi="or-IN"/>
              </w:rPr>
            </w:pPr>
            <w:r>
              <w:rPr>
                <w:rFonts w:ascii="Times New Roman" w:eastAsia="Times New Roman" w:hAnsi="Times New Roman" w:cs="Times New Roman"/>
                <w:b w:val="0"/>
                <w:bCs/>
                <w:noProof/>
                <w:color w:val="auto"/>
                <w:sz w:val="22"/>
                <w:lang w:val="eu-ES" w:bidi="or-IN"/>
              </w:rPr>
              <w:t xml:space="preserve">4.351.000,00 </w:t>
            </w:r>
            <w:r w:rsidR="001D49CA">
              <w:rPr>
                <w:rFonts w:ascii="Times New Roman" w:eastAsia="Times New Roman" w:hAnsi="Times New Roman" w:cs="Times New Roman"/>
                <w:b w:val="0"/>
                <w:bCs/>
                <w:noProof/>
                <w:color w:val="auto"/>
                <w:sz w:val="22"/>
                <w:lang w:val="eu-ES" w:bidi="or-IN"/>
              </w:rPr>
              <w:t>€</w:t>
            </w:r>
          </w:p>
        </w:tc>
      </w:tr>
      <w:tr w:rsidR="00A03C4A" w14:paraId="30BAD877" w14:textId="77777777" w:rsidTr="00F76C83">
        <w:trPr>
          <w:cantSplit/>
        </w:trPr>
        <w:tc>
          <w:tcPr>
            <w:tcW w:w="1276" w:type="dxa"/>
          </w:tcPr>
          <w:p w14:paraId="1D0936F4" w14:textId="77777777" w:rsidR="005418A8" w:rsidRPr="005418A8" w:rsidRDefault="00A03C4A" w:rsidP="005418A8">
            <w:pPr>
              <w:widowControl w:val="0"/>
              <w:spacing w:after="0" w:line="240" w:lineRule="auto"/>
              <w:ind w:left="-70" w:right="-70" w:firstLine="0"/>
              <w:jc w:val="center"/>
              <w:rPr>
                <w:rFonts w:ascii="Times New Roman" w:eastAsia="Times New Roman" w:hAnsi="Times New Roman" w:cs="Times New Roman"/>
                <w:b w:val="0"/>
                <w:bCs/>
                <w:noProof/>
                <w:color w:val="auto"/>
                <w:sz w:val="22"/>
                <w:szCs w:val="20"/>
                <w:lang w:val="es-ES_tradnl" w:bidi="or-IN"/>
              </w:rPr>
            </w:pPr>
            <w:r>
              <w:rPr>
                <w:rFonts w:ascii="Times New Roman" w:eastAsia="Times New Roman" w:hAnsi="Times New Roman" w:cs="Times New Roman"/>
                <w:b w:val="0"/>
                <w:bCs/>
                <w:noProof/>
                <w:color w:val="auto"/>
                <w:sz w:val="22"/>
                <w:lang w:val="eu-ES" w:bidi="or-IN"/>
              </w:rPr>
              <w:t>2028</w:t>
            </w:r>
          </w:p>
        </w:tc>
        <w:tc>
          <w:tcPr>
            <w:tcW w:w="1701" w:type="dxa"/>
          </w:tcPr>
          <w:p w14:paraId="058DEC9C" w14:textId="77777777" w:rsidR="005418A8" w:rsidRPr="005418A8" w:rsidRDefault="00A03C4A" w:rsidP="005418A8">
            <w:pPr>
              <w:widowControl w:val="0"/>
              <w:spacing w:after="0" w:line="240" w:lineRule="auto"/>
              <w:ind w:left="0" w:right="72" w:firstLine="0"/>
              <w:jc w:val="right"/>
              <w:rPr>
                <w:rFonts w:ascii="Times New Roman" w:eastAsia="Times New Roman" w:hAnsi="Times New Roman" w:cs="Times New Roman"/>
                <w:b w:val="0"/>
                <w:bCs/>
                <w:noProof/>
                <w:color w:val="auto"/>
                <w:sz w:val="22"/>
                <w:szCs w:val="20"/>
                <w:lang w:val="es-ES_tradnl" w:bidi="or-IN"/>
              </w:rPr>
            </w:pPr>
            <w:r>
              <w:rPr>
                <w:rFonts w:ascii="Times New Roman" w:eastAsia="Times New Roman" w:hAnsi="Times New Roman" w:cs="Times New Roman"/>
                <w:b w:val="0"/>
                <w:bCs/>
                <w:noProof/>
                <w:color w:val="auto"/>
                <w:sz w:val="22"/>
                <w:lang w:val="eu-ES" w:bidi="or-IN"/>
              </w:rPr>
              <w:t xml:space="preserve">5.618.000,00 </w:t>
            </w:r>
            <w:r w:rsidR="001D49CA">
              <w:rPr>
                <w:rFonts w:ascii="Times New Roman" w:eastAsia="Times New Roman" w:hAnsi="Times New Roman" w:cs="Times New Roman"/>
                <w:b w:val="0"/>
                <w:bCs/>
                <w:noProof/>
                <w:color w:val="auto"/>
                <w:sz w:val="22"/>
                <w:lang w:val="eu-ES" w:bidi="or-IN"/>
              </w:rPr>
              <w:t>€</w:t>
            </w:r>
          </w:p>
        </w:tc>
      </w:tr>
      <w:tr w:rsidR="00A03C4A" w14:paraId="01D9C2DB" w14:textId="77777777" w:rsidTr="00F76C83">
        <w:trPr>
          <w:cantSplit/>
        </w:trPr>
        <w:tc>
          <w:tcPr>
            <w:tcW w:w="1276" w:type="dxa"/>
          </w:tcPr>
          <w:p w14:paraId="0B0F2520" w14:textId="77777777" w:rsidR="005418A8" w:rsidRPr="005418A8" w:rsidRDefault="00A03C4A" w:rsidP="005418A8">
            <w:pPr>
              <w:widowControl w:val="0"/>
              <w:spacing w:after="0" w:line="240" w:lineRule="auto"/>
              <w:ind w:left="-70" w:right="-70" w:firstLine="0"/>
              <w:jc w:val="center"/>
              <w:rPr>
                <w:rFonts w:ascii="Times New Roman" w:eastAsia="Times New Roman" w:hAnsi="Times New Roman" w:cs="Times New Roman"/>
                <w:b w:val="0"/>
                <w:bCs/>
                <w:noProof/>
                <w:color w:val="auto"/>
                <w:sz w:val="22"/>
                <w:szCs w:val="20"/>
                <w:lang w:val="es-ES_tradnl" w:bidi="or-IN"/>
              </w:rPr>
            </w:pPr>
            <w:r>
              <w:rPr>
                <w:rFonts w:ascii="Times New Roman" w:eastAsia="Times New Roman" w:hAnsi="Times New Roman" w:cs="Times New Roman"/>
                <w:b w:val="0"/>
                <w:bCs/>
                <w:noProof/>
                <w:color w:val="auto"/>
                <w:sz w:val="22"/>
                <w:lang w:val="eu-ES" w:bidi="or-IN"/>
              </w:rPr>
              <w:t>2029</w:t>
            </w:r>
          </w:p>
        </w:tc>
        <w:tc>
          <w:tcPr>
            <w:tcW w:w="1701" w:type="dxa"/>
          </w:tcPr>
          <w:p w14:paraId="5F0FF292" w14:textId="77777777" w:rsidR="005418A8" w:rsidRPr="005418A8" w:rsidRDefault="00A03C4A" w:rsidP="005418A8">
            <w:pPr>
              <w:widowControl w:val="0"/>
              <w:spacing w:after="0" w:line="240" w:lineRule="auto"/>
              <w:ind w:left="0" w:right="72" w:firstLine="0"/>
              <w:jc w:val="right"/>
              <w:rPr>
                <w:rFonts w:ascii="Times New Roman" w:eastAsia="Times New Roman" w:hAnsi="Times New Roman" w:cs="Times New Roman"/>
                <w:b w:val="0"/>
                <w:bCs/>
                <w:noProof/>
                <w:color w:val="auto"/>
                <w:sz w:val="22"/>
                <w:szCs w:val="20"/>
                <w:lang w:val="es-ES_tradnl" w:bidi="or-IN"/>
              </w:rPr>
            </w:pPr>
            <w:r>
              <w:rPr>
                <w:rFonts w:ascii="Times New Roman" w:eastAsia="Times New Roman" w:hAnsi="Times New Roman" w:cs="Times New Roman"/>
                <w:b w:val="0"/>
                <w:bCs/>
                <w:noProof/>
                <w:color w:val="auto"/>
                <w:sz w:val="22"/>
                <w:lang w:val="eu-ES" w:bidi="or-IN"/>
              </w:rPr>
              <w:t xml:space="preserve">5.795.000,00 </w:t>
            </w:r>
            <w:r w:rsidR="001D49CA">
              <w:rPr>
                <w:rFonts w:ascii="Times New Roman" w:eastAsia="Times New Roman" w:hAnsi="Times New Roman" w:cs="Times New Roman"/>
                <w:b w:val="0"/>
                <w:bCs/>
                <w:noProof/>
                <w:color w:val="auto"/>
                <w:sz w:val="22"/>
                <w:lang w:val="eu-ES" w:bidi="or-IN"/>
              </w:rPr>
              <w:t>€</w:t>
            </w:r>
          </w:p>
        </w:tc>
      </w:tr>
      <w:tr w:rsidR="00A03C4A" w14:paraId="00EDA41C" w14:textId="77777777" w:rsidTr="00F76C83">
        <w:trPr>
          <w:cantSplit/>
        </w:trPr>
        <w:tc>
          <w:tcPr>
            <w:tcW w:w="1276" w:type="dxa"/>
          </w:tcPr>
          <w:p w14:paraId="1A14E9AF" w14:textId="77777777" w:rsidR="005418A8" w:rsidRPr="005418A8" w:rsidRDefault="00A03C4A" w:rsidP="005418A8">
            <w:pPr>
              <w:widowControl w:val="0"/>
              <w:spacing w:after="0" w:line="240" w:lineRule="auto"/>
              <w:ind w:left="-70" w:right="-70" w:firstLine="0"/>
              <w:jc w:val="center"/>
              <w:rPr>
                <w:rFonts w:ascii="Times New Roman" w:eastAsia="Times New Roman" w:hAnsi="Times New Roman" w:cs="Times New Roman"/>
                <w:noProof/>
                <w:color w:val="auto"/>
                <w:sz w:val="22"/>
                <w:szCs w:val="20"/>
                <w:lang w:val="es-ES_tradnl" w:bidi="or-IN"/>
              </w:rPr>
            </w:pPr>
            <w:r>
              <w:rPr>
                <w:rFonts w:ascii="Times New Roman" w:eastAsia="Times New Roman" w:hAnsi="Times New Roman" w:cs="Times New Roman"/>
                <w:bCs/>
                <w:noProof/>
                <w:color w:val="auto"/>
                <w:sz w:val="22"/>
                <w:lang w:val="eu-ES" w:bidi="or-IN"/>
              </w:rPr>
              <w:t>Guztira</w:t>
            </w:r>
          </w:p>
        </w:tc>
        <w:tc>
          <w:tcPr>
            <w:tcW w:w="1701" w:type="dxa"/>
          </w:tcPr>
          <w:p w14:paraId="2F5592CE" w14:textId="77777777" w:rsidR="005418A8" w:rsidRPr="005418A8" w:rsidRDefault="00A03C4A" w:rsidP="005418A8">
            <w:pPr>
              <w:widowControl w:val="0"/>
              <w:spacing w:after="0" w:line="240" w:lineRule="auto"/>
              <w:ind w:left="0" w:right="72" w:firstLine="0"/>
              <w:jc w:val="right"/>
              <w:rPr>
                <w:rFonts w:ascii="Times New Roman" w:eastAsia="Times New Roman" w:hAnsi="Times New Roman" w:cs="Times New Roman"/>
                <w:noProof/>
                <w:color w:val="auto"/>
                <w:sz w:val="22"/>
                <w:szCs w:val="20"/>
                <w:lang w:val="es-ES_tradnl" w:bidi="or-IN"/>
              </w:rPr>
            </w:pPr>
            <w:r>
              <w:rPr>
                <w:rFonts w:ascii="Times New Roman" w:eastAsia="Times New Roman" w:hAnsi="Times New Roman" w:cs="Times New Roman"/>
                <w:bCs/>
                <w:noProof/>
                <w:color w:val="auto"/>
                <w:sz w:val="22"/>
                <w:lang w:val="eu-ES" w:bidi="or-IN"/>
              </w:rPr>
              <w:t xml:space="preserve">16.142.000,00 </w:t>
            </w:r>
            <w:r w:rsidR="001D49CA">
              <w:rPr>
                <w:rFonts w:ascii="Times New Roman" w:eastAsia="Times New Roman" w:hAnsi="Times New Roman" w:cs="Times New Roman"/>
                <w:bCs/>
                <w:noProof/>
                <w:color w:val="auto"/>
                <w:sz w:val="22"/>
                <w:lang w:val="eu-ES" w:bidi="or-IN"/>
              </w:rPr>
              <w:t>€</w:t>
            </w:r>
          </w:p>
        </w:tc>
      </w:tr>
    </w:tbl>
    <w:p w14:paraId="37BD6D49" w14:textId="77777777" w:rsidR="005418A8" w:rsidRPr="005418A8" w:rsidRDefault="005418A8" w:rsidP="005418A8">
      <w:pPr>
        <w:spacing w:after="240" w:line="240" w:lineRule="auto"/>
        <w:ind w:left="0" w:firstLine="0"/>
        <w:jc w:val="both"/>
        <w:rPr>
          <w:rFonts w:ascii="Times New Roman" w:eastAsia="Times New Roman" w:hAnsi="Times New Roman" w:cs="Times New Roman"/>
          <w:b w:val="0"/>
          <w:bCs/>
          <w:color w:val="auto"/>
          <w:sz w:val="22"/>
          <w:szCs w:val="20"/>
          <w:lang w:val="es-ES_tradnl" w:bidi="or-IN"/>
        </w:rPr>
      </w:pPr>
    </w:p>
    <w:p w14:paraId="79165C50" w14:textId="77777777" w:rsidR="005418A8" w:rsidRPr="005418A8" w:rsidRDefault="00A03C4A" w:rsidP="005418A8">
      <w:pPr>
        <w:spacing w:after="240" w:line="240" w:lineRule="auto"/>
        <w:ind w:left="0" w:firstLine="0"/>
        <w:jc w:val="both"/>
        <w:rPr>
          <w:rFonts w:ascii="Times New Roman" w:eastAsia="Times New Roman" w:hAnsi="Times New Roman" w:cs="Times New Roman"/>
          <w:b w:val="0"/>
          <w:bCs/>
          <w:color w:val="auto"/>
          <w:sz w:val="22"/>
          <w:szCs w:val="20"/>
          <w:lang w:val="es-ES_tradnl" w:bidi="or-IN"/>
        </w:rPr>
      </w:pPr>
      <w:r>
        <w:rPr>
          <w:rFonts w:ascii="Times New Roman" w:eastAsia="Times New Roman" w:hAnsi="Times New Roman" w:cs="Times New Roman"/>
          <w:b w:val="0"/>
          <w:bCs/>
          <w:color w:val="auto"/>
          <w:sz w:val="22"/>
          <w:lang w:val="eu-ES" w:bidi="or-IN"/>
        </w:rPr>
        <w:t xml:space="preserve">Gastu hori ez dago jasota Arabako Foru Aldundiaren 2025eko ekitaldirako onetsitako aurrekontuan, eta ez dago soberakinik etorkizuneko urterokoetan horretarako. Hori dela eta, Mugikortasun Jasangarriaren eta Bide Azpiegituren Sailaren aurrekontuko gastuen egoeran kasuan kasuko konpromiso kreditua sortu behar da, sortu berri den partida honetan: “50201.G/441500/75300501 Euskal Trenbide Sarea: tranbia Zabalganara”. </w:t>
      </w:r>
    </w:p>
    <w:p w14:paraId="69E069B6" w14:textId="77777777" w:rsidR="005418A8" w:rsidRPr="005418A8" w:rsidRDefault="00A03C4A" w:rsidP="005418A8">
      <w:pPr>
        <w:spacing w:after="240" w:line="240" w:lineRule="auto"/>
        <w:ind w:left="0" w:firstLine="0"/>
        <w:jc w:val="both"/>
        <w:rPr>
          <w:rFonts w:ascii="Times New Roman" w:eastAsia="Times New Roman" w:hAnsi="Times New Roman" w:cs="Times New Roman"/>
          <w:b w:val="0"/>
          <w:bCs/>
          <w:color w:val="auto"/>
          <w:sz w:val="22"/>
          <w:szCs w:val="20"/>
          <w:lang w:val="es-ES_tradnl" w:bidi="or-IN"/>
        </w:rPr>
      </w:pPr>
      <w:r>
        <w:rPr>
          <w:rFonts w:ascii="Times New Roman" w:eastAsia="Times New Roman" w:hAnsi="Times New Roman" w:cs="Times New Roman"/>
          <w:b w:val="0"/>
          <w:bCs/>
          <w:color w:val="auto"/>
          <w:sz w:val="22"/>
          <w:lang w:val="eu-ES" w:bidi="or-IN"/>
        </w:rPr>
        <w:t>Horretarako, Aurrekontuei buruzko urtarrilaren 25eko 3/2023 Foru Arau Orokorrak honako hau ezartzen du 59.7 artikuluan:</w:t>
      </w:r>
    </w:p>
    <w:p w14:paraId="614466AC" w14:textId="77777777" w:rsidR="005418A8" w:rsidRPr="005418A8" w:rsidRDefault="00A03C4A" w:rsidP="005418A8">
      <w:pPr>
        <w:spacing w:after="240" w:line="240" w:lineRule="auto"/>
        <w:ind w:left="0" w:firstLine="0"/>
        <w:jc w:val="both"/>
        <w:rPr>
          <w:rFonts w:ascii="Times New Roman" w:eastAsia="Times New Roman" w:hAnsi="Times New Roman" w:cs="Times New Roman"/>
          <w:b w:val="0"/>
          <w:bCs/>
          <w:i/>
          <w:iCs/>
          <w:color w:val="auto"/>
          <w:sz w:val="22"/>
          <w:szCs w:val="20"/>
          <w:lang w:val="es-ES_tradnl" w:bidi="or-IN"/>
        </w:rPr>
      </w:pPr>
      <w:r>
        <w:rPr>
          <w:rFonts w:ascii="Times New Roman" w:eastAsia="Times New Roman" w:hAnsi="Times New Roman" w:cs="Times New Roman"/>
          <w:b w:val="0"/>
          <w:bCs/>
          <w:i/>
          <w:iCs/>
          <w:color w:val="auto"/>
          <w:sz w:val="22"/>
          <w:lang w:val="eu-ES" w:bidi="or-IN"/>
        </w:rPr>
        <w:t>"Foru Gobernu Kontseiluak konpromiso kredituen egoera handitu ahal izango du, kreditu berriak onartuz edo baimendutakoen zenbatekoa handituz, ekitaldiko aurrekontua betearazteko foru arauak ezartzen duen mugaraino.</w:t>
      </w:r>
    </w:p>
    <w:p w14:paraId="1823C27B" w14:textId="77777777" w:rsidR="005418A8" w:rsidRPr="005418A8" w:rsidRDefault="00A03C4A" w:rsidP="005418A8">
      <w:pPr>
        <w:spacing w:after="240" w:line="240" w:lineRule="auto"/>
        <w:ind w:left="0" w:firstLine="0"/>
        <w:jc w:val="both"/>
        <w:rPr>
          <w:rFonts w:ascii="Times New Roman" w:eastAsia="Times New Roman" w:hAnsi="Times New Roman" w:cs="Times New Roman"/>
          <w:b w:val="0"/>
          <w:bCs/>
          <w:i/>
          <w:iCs/>
          <w:color w:val="auto"/>
          <w:sz w:val="22"/>
          <w:szCs w:val="20"/>
          <w:lang w:val="es-ES_tradnl" w:bidi="or-IN"/>
        </w:rPr>
      </w:pPr>
      <w:r>
        <w:rPr>
          <w:rFonts w:ascii="Times New Roman" w:eastAsia="Times New Roman" w:hAnsi="Times New Roman" w:cs="Times New Roman"/>
          <w:b w:val="0"/>
          <w:bCs/>
          <w:i/>
          <w:iCs/>
          <w:color w:val="auto"/>
          <w:sz w:val="22"/>
          <w:lang w:val="eu-ES" w:bidi="or-IN"/>
        </w:rPr>
        <w:t>Batzar Nagusiei dagokie konpromiso kredituen egoera handitzea, kreditu berriak onartuz edo baimendutakoen zenbatekoa handituz, aurreko zenbakian aurreikusitako muga gainditzen denean</w:t>
      </w:r>
      <w:r>
        <w:rPr>
          <w:rFonts w:ascii="Times New Roman" w:eastAsia="Times New Roman" w:hAnsi="Times New Roman" w:cs="Times New Roman"/>
          <w:b w:val="0"/>
          <w:bCs/>
          <w:color w:val="auto"/>
          <w:sz w:val="22"/>
          <w:lang w:val="eu-ES" w:bidi="or-IN"/>
        </w:rPr>
        <w:t>."</w:t>
      </w:r>
    </w:p>
    <w:p w14:paraId="2EE8B509" w14:textId="77777777" w:rsidR="005418A8" w:rsidRPr="005418A8" w:rsidRDefault="00A03C4A" w:rsidP="005418A8">
      <w:pPr>
        <w:spacing w:after="240" w:line="240" w:lineRule="auto"/>
        <w:ind w:left="0" w:firstLine="0"/>
        <w:jc w:val="both"/>
        <w:rPr>
          <w:rFonts w:ascii="Times New Roman" w:eastAsia="Times New Roman" w:hAnsi="Times New Roman" w:cs="Times New Roman"/>
          <w:b w:val="0"/>
          <w:bCs/>
          <w:color w:val="auto"/>
          <w:sz w:val="22"/>
          <w:szCs w:val="20"/>
          <w:lang w:val="es-ES_tradnl" w:bidi="or-IN"/>
        </w:rPr>
      </w:pPr>
      <w:r>
        <w:rPr>
          <w:rFonts w:ascii="Times New Roman" w:eastAsia="Times New Roman" w:hAnsi="Times New Roman" w:cs="Times New Roman"/>
          <w:b w:val="0"/>
          <w:bCs/>
          <w:color w:val="auto"/>
          <w:sz w:val="22"/>
          <w:lang w:val="eu-ES" w:bidi="or-IN"/>
        </w:rPr>
        <w:t>Arabako Lurralde Historikoaren 2025erako aurrekontua gauzatzeko abenduaren 17ko 18/2024 Foru Arauak honako hau xedatzen du bere 9. artikuluko lehenengo apartatuan:</w:t>
      </w:r>
    </w:p>
    <w:p w14:paraId="3075F7A2" w14:textId="77777777" w:rsidR="005418A8" w:rsidRPr="005418A8" w:rsidRDefault="00A03C4A" w:rsidP="005418A8">
      <w:pPr>
        <w:spacing w:after="240" w:line="240" w:lineRule="auto"/>
        <w:ind w:left="0" w:firstLine="0"/>
        <w:jc w:val="both"/>
        <w:rPr>
          <w:rFonts w:ascii="Times New Roman" w:eastAsia="Times New Roman" w:hAnsi="Times New Roman" w:cs="Times New Roman"/>
          <w:b w:val="0"/>
          <w:bCs/>
          <w:i/>
          <w:iCs/>
          <w:color w:val="auto"/>
          <w:sz w:val="22"/>
          <w:szCs w:val="20"/>
          <w:lang w:val="es-ES_tradnl" w:bidi="or-IN"/>
        </w:rPr>
      </w:pPr>
      <w:r>
        <w:rPr>
          <w:rFonts w:ascii="Times New Roman" w:eastAsia="Times New Roman" w:hAnsi="Times New Roman" w:cs="Times New Roman"/>
          <w:b w:val="0"/>
          <w:bCs/>
          <w:i/>
          <w:iCs/>
          <w:color w:val="auto"/>
          <w:sz w:val="22"/>
          <w:lang w:val="eu-ES" w:bidi="or-IN"/>
        </w:rPr>
        <w:t>"Foru Gobernu Kontseiluak konpromiso kredituen egoera orria handitu ahal izango du, kreditu berriak onartuz edo baimendutakoen zenbatekoa handituz; gehienez ere Arabako Lurralde Historikoko administrazioko foru sektore publikoko erakundeen aurrekontuetan onartutako konpromiso kredituen zenbateko osoaren ehuneko 10era arte."</w:t>
      </w:r>
    </w:p>
    <w:p w14:paraId="38A9C1C4" w14:textId="77777777" w:rsidR="005418A8" w:rsidRPr="005418A8" w:rsidRDefault="00A03C4A" w:rsidP="005418A8">
      <w:pPr>
        <w:spacing w:after="360" w:line="240" w:lineRule="auto"/>
        <w:ind w:left="0" w:firstLine="0"/>
        <w:jc w:val="both"/>
        <w:rPr>
          <w:rFonts w:ascii="Times New Roman" w:eastAsia="Times New Roman" w:hAnsi="Times New Roman" w:cs="Arial"/>
          <w:b w:val="0"/>
          <w:bCs/>
          <w:color w:val="auto"/>
          <w:sz w:val="22"/>
          <w:szCs w:val="20"/>
          <w:lang w:val="es-ES_tradnl" w:bidi="or-IN"/>
        </w:rPr>
      </w:pPr>
      <w:r>
        <w:rPr>
          <w:rFonts w:ascii="Times New Roman" w:eastAsia="Times New Roman" w:hAnsi="Times New Roman" w:cs="Arial"/>
          <w:b w:val="0"/>
          <w:bCs/>
          <w:color w:val="auto"/>
          <w:sz w:val="22"/>
          <w:lang w:val="eu-ES" w:bidi="or-IN"/>
        </w:rPr>
        <w:t>Konpromiso kreditu hau sortuta muga hori gaindituko litzatekeenez, Batzar Nagusien onespena behar da hura izapidetzeko.</w:t>
      </w:r>
    </w:p>
    <w:p w14:paraId="637B53B8" w14:textId="77777777" w:rsidR="005418A8" w:rsidRPr="005418A8" w:rsidRDefault="00A03C4A" w:rsidP="005418A8">
      <w:pPr>
        <w:spacing w:after="120" w:line="240" w:lineRule="auto"/>
        <w:ind w:left="0" w:firstLine="0"/>
        <w:jc w:val="both"/>
        <w:rPr>
          <w:rFonts w:ascii="Times New Roman" w:eastAsia="Times New Roman" w:hAnsi="Times New Roman" w:cs="Arial"/>
          <w:b w:val="0"/>
          <w:color w:val="auto"/>
          <w:sz w:val="22"/>
          <w:lang w:val="es-ES_tradnl" w:bidi="or-IN"/>
        </w:rPr>
      </w:pPr>
      <w:r>
        <w:rPr>
          <w:rFonts w:ascii="Times New Roman" w:eastAsia="Times New Roman" w:hAnsi="Times New Roman" w:cs="Arial"/>
          <w:bCs/>
          <w:color w:val="auto"/>
          <w:sz w:val="22"/>
          <w:lang w:val="eu-ES" w:bidi="or-IN"/>
        </w:rPr>
        <w:t>Artikulu bakarra.</w:t>
      </w:r>
      <w:r>
        <w:rPr>
          <w:rFonts w:ascii="Times New Roman" w:eastAsia="Times New Roman" w:hAnsi="Times New Roman" w:cs="Arial"/>
          <w:b w:val="0"/>
          <w:color w:val="auto"/>
          <w:sz w:val="22"/>
          <w:lang w:val="eu-ES" w:bidi="or-IN"/>
        </w:rPr>
        <w:t>Onespena ematen zaio Arabako Lurralde Historikoaren 2025eko ekitaldirako Aurrekontuko gastuen egoeraren “50201.G/441500/75300501 Euskal Trenbide Sarea: tranbia Zabalganara” partida sortu berrian 16.142.000,00 euroko M_S04/2025/0000000012 konpromiso kreditua sortzeko espedienteari. Zenbateko horretatik, 378.000,00 euro 2026. urteari dagozkio, 4.351.000,00 euro 2027. urteari, 5.618.000,00 euro 2028. urteari eta 5.795.000,00 euro 2029. urteari.</w:t>
      </w:r>
    </w:p>
    <w:p w14:paraId="0D4799AE" w14:textId="77777777" w:rsidR="005418A8" w:rsidRPr="005418A8" w:rsidRDefault="005418A8" w:rsidP="005418A8">
      <w:pPr>
        <w:spacing w:after="120" w:line="240" w:lineRule="auto"/>
        <w:ind w:left="0" w:firstLine="0"/>
        <w:jc w:val="both"/>
        <w:rPr>
          <w:rFonts w:ascii="Times New Roman" w:eastAsia="Times New Roman" w:hAnsi="Times New Roman" w:cs="Arial"/>
          <w:b w:val="0"/>
          <w:color w:val="auto"/>
          <w:sz w:val="22"/>
          <w:lang w:val="es-ES_tradnl" w:bidi="or-IN"/>
        </w:rPr>
      </w:pPr>
    </w:p>
    <w:p w14:paraId="0EDF67E7" w14:textId="77777777" w:rsidR="001D49CA" w:rsidRDefault="001D49CA" w:rsidP="005418A8">
      <w:pPr>
        <w:spacing w:after="120" w:line="240" w:lineRule="auto"/>
        <w:ind w:left="0" w:firstLine="0"/>
        <w:jc w:val="both"/>
        <w:rPr>
          <w:rFonts w:ascii="Times New Roman" w:eastAsia="Times New Roman" w:hAnsi="Times New Roman" w:cs="Arial"/>
          <w:bCs/>
          <w:color w:val="auto"/>
          <w:sz w:val="22"/>
          <w:lang w:val="eu-ES" w:bidi="or-IN"/>
        </w:rPr>
      </w:pPr>
    </w:p>
    <w:p w14:paraId="2BA1CB88" w14:textId="77777777" w:rsidR="001D49CA" w:rsidRDefault="001D49CA" w:rsidP="005418A8">
      <w:pPr>
        <w:spacing w:after="120" w:line="240" w:lineRule="auto"/>
        <w:ind w:left="0" w:firstLine="0"/>
        <w:jc w:val="both"/>
        <w:rPr>
          <w:rFonts w:ascii="Times New Roman" w:eastAsia="Times New Roman" w:hAnsi="Times New Roman" w:cs="Arial"/>
          <w:bCs/>
          <w:color w:val="auto"/>
          <w:sz w:val="22"/>
          <w:lang w:val="eu-ES" w:bidi="or-IN"/>
        </w:rPr>
      </w:pPr>
    </w:p>
    <w:p w14:paraId="7909E63C" w14:textId="77777777" w:rsidR="001D49CA" w:rsidRDefault="001D49CA" w:rsidP="005418A8">
      <w:pPr>
        <w:spacing w:after="120" w:line="240" w:lineRule="auto"/>
        <w:ind w:left="0" w:firstLine="0"/>
        <w:jc w:val="both"/>
        <w:rPr>
          <w:rFonts w:ascii="Times New Roman" w:eastAsia="Times New Roman" w:hAnsi="Times New Roman" w:cs="Arial"/>
          <w:bCs/>
          <w:color w:val="auto"/>
          <w:sz w:val="22"/>
          <w:lang w:val="eu-ES" w:bidi="or-IN"/>
        </w:rPr>
      </w:pPr>
    </w:p>
    <w:p w14:paraId="0BD29718" w14:textId="77777777" w:rsidR="005418A8" w:rsidRPr="005418A8" w:rsidRDefault="00A03C4A" w:rsidP="005418A8">
      <w:pPr>
        <w:spacing w:after="120" w:line="240" w:lineRule="auto"/>
        <w:ind w:left="0" w:firstLine="0"/>
        <w:jc w:val="both"/>
        <w:rPr>
          <w:rFonts w:ascii="Times New Roman" w:eastAsia="Times New Roman" w:hAnsi="Times New Roman" w:cs="Arial"/>
          <w:bCs/>
          <w:color w:val="auto"/>
          <w:sz w:val="22"/>
          <w:lang w:val="es-ES_tradnl" w:bidi="or-IN"/>
        </w:rPr>
      </w:pPr>
      <w:r>
        <w:rPr>
          <w:rFonts w:ascii="Times New Roman" w:eastAsia="Times New Roman" w:hAnsi="Times New Roman" w:cs="Arial"/>
          <w:bCs/>
          <w:color w:val="auto"/>
          <w:sz w:val="22"/>
          <w:lang w:val="eu-ES" w:bidi="or-IN"/>
        </w:rPr>
        <w:t>AZKEN XEDAPENA. Indarrean sartzea.</w:t>
      </w:r>
    </w:p>
    <w:p w14:paraId="28FB1A9C" w14:textId="77777777" w:rsidR="005418A8" w:rsidRPr="005418A8" w:rsidRDefault="00A03C4A" w:rsidP="005418A8">
      <w:pPr>
        <w:spacing w:after="120" w:line="240" w:lineRule="auto"/>
        <w:ind w:left="0" w:firstLine="0"/>
        <w:jc w:val="both"/>
        <w:rPr>
          <w:rFonts w:ascii="Times New Roman" w:eastAsia="Times New Roman" w:hAnsi="Times New Roman" w:cs="Arial"/>
          <w:b w:val="0"/>
          <w:color w:val="auto"/>
          <w:sz w:val="22"/>
          <w:lang w:val="es-ES_tradnl" w:bidi="or-IN"/>
        </w:rPr>
      </w:pPr>
      <w:r>
        <w:rPr>
          <w:rFonts w:ascii="Times New Roman" w:eastAsia="Times New Roman" w:hAnsi="Times New Roman" w:cs="Arial"/>
          <w:b w:val="0"/>
          <w:color w:val="auto"/>
          <w:sz w:val="22"/>
          <w:lang w:val="eu-ES" w:bidi="or-IN"/>
        </w:rPr>
        <w:t>Foru arau hau Arabako Lurralde Historikoaren Aldizkari Ofizialean argitaratu eta hurrengo egunean jarriko da indarrean.</w:t>
      </w:r>
    </w:p>
    <w:p w14:paraId="44389090" w14:textId="77777777" w:rsidR="005418A8" w:rsidRPr="005418A8" w:rsidRDefault="005418A8" w:rsidP="005418A8">
      <w:pPr>
        <w:tabs>
          <w:tab w:val="left" w:pos="8647"/>
        </w:tabs>
        <w:spacing w:after="0" w:line="240" w:lineRule="auto"/>
        <w:ind w:left="0" w:firstLine="0"/>
        <w:rPr>
          <w:rFonts w:ascii="Times New Roman" w:eastAsia="Times New Roman" w:hAnsi="Times New Roman" w:cs="Arial"/>
          <w:b w:val="0"/>
          <w:color w:val="auto"/>
          <w:sz w:val="20"/>
          <w:szCs w:val="20"/>
          <w:lang w:val="es-ES_tradnl" w:bidi="or-IN"/>
        </w:rPr>
      </w:pPr>
    </w:p>
    <w:p w14:paraId="490EBF80" w14:textId="77777777" w:rsidR="005418A8" w:rsidRPr="005418A8" w:rsidRDefault="005418A8" w:rsidP="004C207E">
      <w:pPr>
        <w:spacing w:after="240" w:line="240" w:lineRule="auto"/>
        <w:ind w:left="0" w:firstLine="0"/>
        <w:jc w:val="both"/>
        <w:rPr>
          <w:rFonts w:ascii="Times New Roman" w:hAnsi="Times New Roman" w:cs="Times New Roman"/>
          <w:b w:val="0"/>
          <w:sz w:val="22"/>
          <w:lang w:val="es-ES_tradnl"/>
        </w:rPr>
      </w:pPr>
    </w:p>
    <w:p w14:paraId="55D56D83" w14:textId="77777777" w:rsidR="005418A8" w:rsidRPr="004C207E" w:rsidRDefault="005418A8" w:rsidP="004C207E">
      <w:pPr>
        <w:spacing w:after="240" w:line="240" w:lineRule="auto"/>
        <w:ind w:left="0" w:firstLine="0"/>
        <w:jc w:val="both"/>
        <w:rPr>
          <w:rFonts w:ascii="Times New Roman" w:hAnsi="Times New Roman" w:cs="Times New Roman"/>
          <w:b w:val="0"/>
          <w:sz w:val="22"/>
        </w:rPr>
      </w:pPr>
    </w:p>
    <w:sectPr w:rsidR="005418A8" w:rsidRPr="004C207E" w:rsidSect="001D49CA">
      <w:headerReference w:type="default" r:id="rId7"/>
      <w:footerReference w:type="default" r:id="rId8"/>
      <w:headerReference w:type="first" r:id="rId9"/>
      <w:footerReference w:type="first" r:id="rId10"/>
      <w:pgSz w:w="11906" w:h="16838" w:code="9"/>
      <w:pgMar w:top="2127" w:right="1133" w:bottom="1418" w:left="1701" w:header="85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698A1" w14:textId="77777777" w:rsidR="001172E3" w:rsidRDefault="001172E3" w:rsidP="008138D8">
      <w:pPr>
        <w:spacing w:after="0" w:line="240" w:lineRule="auto"/>
      </w:pPr>
      <w:r>
        <w:separator/>
      </w:r>
    </w:p>
  </w:endnote>
  <w:endnote w:type="continuationSeparator" w:id="0">
    <w:p w14:paraId="29663C17" w14:textId="77777777" w:rsidR="001172E3" w:rsidRDefault="001172E3" w:rsidP="00813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15D6E" w14:textId="77777777" w:rsidR="00A33298" w:rsidRPr="00B52A66" w:rsidRDefault="003E5450" w:rsidP="00B52A66">
    <w:pPr>
      <w:pStyle w:val="Piedepgina"/>
      <w:jc w:val="right"/>
      <w:rPr>
        <w:rFonts w:ascii="Times New Roman" w:hAnsi="Times New Roman"/>
        <w:sz w:val="20"/>
        <w:szCs w:val="20"/>
      </w:rPr>
    </w:pPr>
    <w:r>
      <w:tab/>
    </w:r>
    <w:r w:rsidRPr="00530D87">
      <w:rPr>
        <w:rFonts w:ascii="Times New Roman" w:hAnsi="Times New Roman"/>
        <w:sz w:val="20"/>
        <w:szCs w:val="20"/>
      </w:rPr>
      <w:fldChar w:fldCharType="begin"/>
    </w:r>
    <w:r w:rsidRPr="00530D87">
      <w:rPr>
        <w:rFonts w:ascii="Times New Roman" w:hAnsi="Times New Roman"/>
        <w:sz w:val="20"/>
        <w:szCs w:val="20"/>
      </w:rPr>
      <w:instrText>PAGE  \* Arabic  \* MERGEFORMAT</w:instrText>
    </w:r>
    <w:r w:rsidRPr="00530D87">
      <w:rPr>
        <w:rFonts w:ascii="Times New Roman" w:hAnsi="Times New Roman"/>
        <w:sz w:val="20"/>
        <w:szCs w:val="20"/>
      </w:rPr>
      <w:fldChar w:fldCharType="separate"/>
    </w:r>
    <w:r w:rsidR="00CE0383">
      <w:rPr>
        <w:rFonts w:ascii="Times New Roman" w:hAnsi="Times New Roman"/>
        <w:noProof/>
        <w:sz w:val="20"/>
        <w:szCs w:val="20"/>
      </w:rPr>
      <w:t>3</w:t>
    </w:r>
    <w:r w:rsidRPr="00530D87">
      <w:rPr>
        <w:rFonts w:ascii="Times New Roman" w:hAnsi="Times New Roman"/>
        <w:sz w:val="20"/>
        <w:szCs w:val="20"/>
      </w:rPr>
      <w:fldChar w:fldCharType="end"/>
    </w:r>
    <w:r w:rsidRPr="00530D87">
      <w:rPr>
        <w:rFonts w:ascii="Times New Roman" w:hAnsi="Times New Roman"/>
        <w:sz w:val="20"/>
        <w:szCs w:val="20"/>
      </w:rPr>
      <w:t>/</w:t>
    </w:r>
    <w:r w:rsidRPr="00530D87">
      <w:rPr>
        <w:rFonts w:ascii="Times New Roman" w:hAnsi="Times New Roman"/>
        <w:sz w:val="20"/>
        <w:szCs w:val="20"/>
      </w:rPr>
      <w:fldChar w:fldCharType="begin"/>
    </w:r>
    <w:r w:rsidRPr="00530D87">
      <w:rPr>
        <w:rFonts w:ascii="Times New Roman" w:hAnsi="Times New Roman"/>
        <w:sz w:val="20"/>
        <w:szCs w:val="20"/>
      </w:rPr>
      <w:instrText>NUMPAGES  \* Arabic  \* MERGEFORMAT</w:instrText>
    </w:r>
    <w:r w:rsidRPr="00530D87">
      <w:rPr>
        <w:rFonts w:ascii="Times New Roman" w:hAnsi="Times New Roman"/>
        <w:sz w:val="20"/>
        <w:szCs w:val="20"/>
      </w:rPr>
      <w:fldChar w:fldCharType="separate"/>
    </w:r>
    <w:r w:rsidR="00CE0383">
      <w:rPr>
        <w:rFonts w:ascii="Times New Roman" w:hAnsi="Times New Roman"/>
        <w:noProof/>
        <w:sz w:val="20"/>
        <w:szCs w:val="20"/>
      </w:rPr>
      <w:t>3</w:t>
    </w:r>
    <w:r w:rsidRPr="00530D87">
      <w:rP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5CB7E" w14:textId="77777777" w:rsidR="003E5450" w:rsidRPr="00530D87" w:rsidRDefault="003E5450" w:rsidP="00FF2AAF">
    <w:pPr>
      <w:pStyle w:val="Piedepgina"/>
      <w:jc w:val="right"/>
      <w:rPr>
        <w:rFonts w:ascii="Times New Roman" w:hAnsi="Times New Roman"/>
        <w:sz w:val="20"/>
        <w:szCs w:val="20"/>
      </w:rPr>
    </w:pPr>
    <w:r w:rsidRPr="00530D87">
      <w:rPr>
        <w:rFonts w:ascii="Times New Roman" w:hAnsi="Times New Roman"/>
        <w:sz w:val="20"/>
        <w:szCs w:val="20"/>
      </w:rPr>
      <w:t xml:space="preserve"> </w:t>
    </w:r>
    <w:r w:rsidRPr="00530D87">
      <w:rPr>
        <w:rFonts w:ascii="Times New Roman" w:hAnsi="Times New Roman"/>
        <w:sz w:val="20"/>
        <w:szCs w:val="20"/>
      </w:rPr>
      <w:fldChar w:fldCharType="begin"/>
    </w:r>
    <w:r w:rsidRPr="00530D87">
      <w:rPr>
        <w:rFonts w:ascii="Times New Roman" w:hAnsi="Times New Roman"/>
        <w:sz w:val="20"/>
        <w:szCs w:val="20"/>
      </w:rPr>
      <w:instrText>PAGE  \* Arabic  \* MERGEFORMAT</w:instrText>
    </w:r>
    <w:r w:rsidRPr="00530D87">
      <w:rPr>
        <w:rFonts w:ascii="Times New Roman" w:hAnsi="Times New Roman"/>
        <w:sz w:val="20"/>
        <w:szCs w:val="20"/>
      </w:rPr>
      <w:fldChar w:fldCharType="separate"/>
    </w:r>
    <w:r w:rsidR="00CE0383">
      <w:rPr>
        <w:rFonts w:ascii="Times New Roman" w:hAnsi="Times New Roman"/>
        <w:noProof/>
        <w:sz w:val="20"/>
        <w:szCs w:val="20"/>
      </w:rPr>
      <w:t>1</w:t>
    </w:r>
    <w:r w:rsidRPr="00530D87">
      <w:rPr>
        <w:rFonts w:ascii="Times New Roman" w:hAnsi="Times New Roman"/>
        <w:sz w:val="20"/>
        <w:szCs w:val="20"/>
      </w:rPr>
      <w:fldChar w:fldCharType="end"/>
    </w:r>
    <w:r w:rsidRPr="00530D87">
      <w:rPr>
        <w:rFonts w:ascii="Times New Roman" w:hAnsi="Times New Roman"/>
        <w:sz w:val="20"/>
        <w:szCs w:val="20"/>
      </w:rPr>
      <w:t>/</w:t>
    </w:r>
    <w:r w:rsidRPr="00530D87">
      <w:rPr>
        <w:rFonts w:ascii="Times New Roman" w:hAnsi="Times New Roman"/>
        <w:sz w:val="20"/>
        <w:szCs w:val="20"/>
      </w:rPr>
      <w:fldChar w:fldCharType="begin"/>
    </w:r>
    <w:r w:rsidRPr="00530D87">
      <w:rPr>
        <w:rFonts w:ascii="Times New Roman" w:hAnsi="Times New Roman"/>
        <w:sz w:val="20"/>
        <w:szCs w:val="20"/>
      </w:rPr>
      <w:instrText>NUMPAGES  \* Arabic  \* MERGEFORMAT</w:instrText>
    </w:r>
    <w:r w:rsidRPr="00530D87">
      <w:rPr>
        <w:rFonts w:ascii="Times New Roman" w:hAnsi="Times New Roman"/>
        <w:sz w:val="20"/>
        <w:szCs w:val="20"/>
      </w:rPr>
      <w:fldChar w:fldCharType="separate"/>
    </w:r>
    <w:r w:rsidR="00CE0383">
      <w:rPr>
        <w:rFonts w:ascii="Times New Roman" w:hAnsi="Times New Roman"/>
        <w:noProof/>
        <w:sz w:val="20"/>
        <w:szCs w:val="20"/>
      </w:rPr>
      <w:t>1</w:t>
    </w:r>
    <w:r w:rsidRPr="00530D87">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80E04" w14:textId="77777777" w:rsidR="001172E3" w:rsidRDefault="001172E3" w:rsidP="008138D8">
      <w:pPr>
        <w:spacing w:after="0" w:line="240" w:lineRule="auto"/>
      </w:pPr>
      <w:r>
        <w:separator/>
      </w:r>
    </w:p>
  </w:footnote>
  <w:footnote w:type="continuationSeparator" w:id="0">
    <w:p w14:paraId="105F172C" w14:textId="77777777" w:rsidR="001172E3" w:rsidRDefault="001172E3" w:rsidP="008138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A03C4A" w14:paraId="07A70069" w14:textId="77777777" w:rsidTr="002A39DD">
      <w:trPr>
        <w:cantSplit/>
        <w:trHeight w:val="338"/>
      </w:trPr>
      <w:tc>
        <w:tcPr>
          <w:tcW w:w="3856" w:type="dxa"/>
        </w:tcPr>
        <w:p w14:paraId="19A8558C" w14:textId="77777777" w:rsidR="003E5450" w:rsidRPr="00C468CD" w:rsidRDefault="003E5450" w:rsidP="00CC0D83">
          <w:pPr>
            <w:pStyle w:val="Encabezado"/>
          </w:pPr>
          <w:bookmarkStart w:id="0" w:name="_Hlk212554079"/>
        </w:p>
      </w:tc>
      <w:tc>
        <w:tcPr>
          <w:tcW w:w="1361" w:type="dxa"/>
          <w:vMerge w:val="restart"/>
        </w:tcPr>
        <w:p w14:paraId="69E69DB8" w14:textId="63D66BEE" w:rsidR="003E5450" w:rsidRPr="00C468CD" w:rsidRDefault="00B327C6" w:rsidP="00CC0D83">
          <w:pPr>
            <w:pStyle w:val="Encabezado"/>
            <w:jc w:val="center"/>
          </w:pPr>
          <w:r w:rsidRPr="00D26914">
            <w:rPr>
              <w:noProof/>
              <w:lang w:eastAsia="es-ES"/>
            </w:rPr>
            <w:drawing>
              <wp:inline distT="0" distB="0" distL="0" distR="0" wp14:anchorId="155120E5" wp14:editId="02E69B09">
                <wp:extent cx="434340" cy="434340"/>
                <wp:effectExtent l="0" t="0" r="0" b="0"/>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a:ln>
                          <a:noFill/>
                        </a:ln>
                      </pic:spPr>
                    </pic:pic>
                  </a:graphicData>
                </a:graphic>
              </wp:inline>
            </w:drawing>
          </w:r>
        </w:p>
      </w:tc>
      <w:tc>
        <w:tcPr>
          <w:tcW w:w="3856" w:type="dxa"/>
        </w:tcPr>
        <w:p w14:paraId="4F3D8F15" w14:textId="77777777" w:rsidR="003E5450" w:rsidRPr="00C468CD" w:rsidRDefault="003E5450" w:rsidP="00CC0D83">
          <w:pPr>
            <w:pStyle w:val="Encabezado"/>
          </w:pPr>
        </w:p>
      </w:tc>
    </w:tr>
    <w:tr w:rsidR="00A03C4A" w14:paraId="270B0574" w14:textId="77777777" w:rsidTr="002A39DD">
      <w:trPr>
        <w:cantSplit/>
        <w:trHeight w:val="337"/>
      </w:trPr>
      <w:tc>
        <w:tcPr>
          <w:tcW w:w="3856" w:type="dxa"/>
        </w:tcPr>
        <w:p w14:paraId="2CC75F36" w14:textId="77777777" w:rsidR="003E5450" w:rsidRPr="00C468CD" w:rsidRDefault="003E5450" w:rsidP="00CC0D83">
          <w:pPr>
            <w:pStyle w:val="Encabezado"/>
          </w:pPr>
        </w:p>
      </w:tc>
      <w:tc>
        <w:tcPr>
          <w:tcW w:w="1361" w:type="dxa"/>
          <w:vMerge/>
        </w:tcPr>
        <w:p w14:paraId="779C74C1" w14:textId="77777777" w:rsidR="003E5450" w:rsidRPr="00C468CD" w:rsidRDefault="003E5450" w:rsidP="00CC0D83">
          <w:pPr>
            <w:pStyle w:val="Encabezado"/>
            <w:jc w:val="center"/>
          </w:pPr>
        </w:p>
      </w:tc>
      <w:tc>
        <w:tcPr>
          <w:tcW w:w="3856" w:type="dxa"/>
        </w:tcPr>
        <w:p w14:paraId="4837FDA9" w14:textId="77777777" w:rsidR="003E5450" w:rsidRPr="00C468CD" w:rsidRDefault="003E5450" w:rsidP="00CC0D83">
          <w:pPr>
            <w:pStyle w:val="Encabezado"/>
          </w:pPr>
        </w:p>
      </w:tc>
    </w:tr>
    <w:bookmarkEnd w:id="0"/>
  </w:tbl>
  <w:p w14:paraId="6CDCEA6F" w14:textId="77777777" w:rsidR="003E5450" w:rsidRDefault="003E5450" w:rsidP="00CC0D8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F61A36" w14:paraId="536067B8" w14:textId="77777777" w:rsidTr="001172E3">
      <w:trPr>
        <w:cantSplit/>
        <w:trHeight w:val="338"/>
      </w:trPr>
      <w:tc>
        <w:tcPr>
          <w:tcW w:w="3856" w:type="dxa"/>
        </w:tcPr>
        <w:p w14:paraId="148A5946" w14:textId="77777777" w:rsidR="00F61A36" w:rsidRPr="00C468CD" w:rsidRDefault="00F61A36" w:rsidP="00F61A36">
          <w:pPr>
            <w:pStyle w:val="Encabezado"/>
          </w:pPr>
        </w:p>
      </w:tc>
      <w:tc>
        <w:tcPr>
          <w:tcW w:w="1361" w:type="dxa"/>
          <w:vMerge w:val="restart"/>
        </w:tcPr>
        <w:p w14:paraId="1A8F8B9A" w14:textId="4DA97C1E" w:rsidR="00F61A36" w:rsidRPr="00C468CD" w:rsidRDefault="00B327C6" w:rsidP="00F61A36">
          <w:pPr>
            <w:pStyle w:val="Encabezado"/>
            <w:jc w:val="center"/>
          </w:pPr>
          <w:r w:rsidRPr="00D26914">
            <w:rPr>
              <w:noProof/>
              <w:lang w:eastAsia="es-ES"/>
            </w:rPr>
            <w:drawing>
              <wp:inline distT="0" distB="0" distL="0" distR="0" wp14:anchorId="7D78909F" wp14:editId="46412EB4">
                <wp:extent cx="434340" cy="434340"/>
                <wp:effectExtent l="0" t="0" r="0" b="0"/>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a:ln>
                          <a:noFill/>
                        </a:ln>
                      </pic:spPr>
                    </pic:pic>
                  </a:graphicData>
                </a:graphic>
              </wp:inline>
            </w:drawing>
          </w:r>
        </w:p>
      </w:tc>
      <w:tc>
        <w:tcPr>
          <w:tcW w:w="3856" w:type="dxa"/>
        </w:tcPr>
        <w:p w14:paraId="0FEB5D21" w14:textId="77777777" w:rsidR="00F61A36" w:rsidRPr="00C468CD" w:rsidRDefault="00F61A36" w:rsidP="00F61A36">
          <w:pPr>
            <w:pStyle w:val="Encabezado"/>
          </w:pPr>
        </w:p>
      </w:tc>
    </w:tr>
    <w:tr w:rsidR="00F61A36" w14:paraId="5C54A7CA" w14:textId="77777777" w:rsidTr="001172E3">
      <w:trPr>
        <w:cantSplit/>
        <w:trHeight w:val="337"/>
      </w:trPr>
      <w:tc>
        <w:tcPr>
          <w:tcW w:w="3856" w:type="dxa"/>
        </w:tcPr>
        <w:p w14:paraId="3477E88B" w14:textId="77777777" w:rsidR="00F61A36" w:rsidRPr="00C468CD" w:rsidRDefault="00F61A36" w:rsidP="00F61A36">
          <w:pPr>
            <w:pStyle w:val="Encabezado"/>
          </w:pPr>
        </w:p>
      </w:tc>
      <w:tc>
        <w:tcPr>
          <w:tcW w:w="1361" w:type="dxa"/>
          <w:vMerge/>
        </w:tcPr>
        <w:p w14:paraId="7720E925" w14:textId="77777777" w:rsidR="00F61A36" w:rsidRPr="00C468CD" w:rsidRDefault="00F61A36" w:rsidP="00F61A36">
          <w:pPr>
            <w:pStyle w:val="Encabezado"/>
            <w:jc w:val="center"/>
          </w:pPr>
        </w:p>
      </w:tc>
      <w:tc>
        <w:tcPr>
          <w:tcW w:w="3856" w:type="dxa"/>
        </w:tcPr>
        <w:p w14:paraId="449D29AD" w14:textId="77777777" w:rsidR="00F61A36" w:rsidRPr="00C468CD" w:rsidRDefault="00F61A36" w:rsidP="00F61A36">
          <w:pPr>
            <w:pStyle w:val="Encabezado"/>
          </w:pPr>
        </w:p>
      </w:tc>
    </w:tr>
  </w:tbl>
  <w:p w14:paraId="36B5D756" w14:textId="77777777" w:rsidR="003E5450" w:rsidRPr="00F61A36" w:rsidRDefault="003E5450" w:rsidP="00F61A3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174"/>
    <w:rsid w:val="00001151"/>
    <w:rsid w:val="00006468"/>
    <w:rsid w:val="00006586"/>
    <w:rsid w:val="00024266"/>
    <w:rsid w:val="00034153"/>
    <w:rsid w:val="00034E8B"/>
    <w:rsid w:val="00036626"/>
    <w:rsid w:val="000442F5"/>
    <w:rsid w:val="00056181"/>
    <w:rsid w:val="00056C6B"/>
    <w:rsid w:val="00060463"/>
    <w:rsid w:val="00060730"/>
    <w:rsid w:val="000632D7"/>
    <w:rsid w:val="00071FCC"/>
    <w:rsid w:val="00085006"/>
    <w:rsid w:val="00085E28"/>
    <w:rsid w:val="000908B4"/>
    <w:rsid w:val="00097F05"/>
    <w:rsid w:val="000A2FA4"/>
    <w:rsid w:val="000A465F"/>
    <w:rsid w:val="000A4CB5"/>
    <w:rsid w:val="000A7B9C"/>
    <w:rsid w:val="000B226A"/>
    <w:rsid w:val="000B330B"/>
    <w:rsid w:val="000B3CA2"/>
    <w:rsid w:val="000B3EEE"/>
    <w:rsid w:val="000C3C89"/>
    <w:rsid w:val="000C5C74"/>
    <w:rsid w:val="000D203A"/>
    <w:rsid w:val="000D7E1D"/>
    <w:rsid w:val="000E64CA"/>
    <w:rsid w:val="00116E59"/>
    <w:rsid w:val="001172E3"/>
    <w:rsid w:val="00121CC4"/>
    <w:rsid w:val="00141CDB"/>
    <w:rsid w:val="00154616"/>
    <w:rsid w:val="00155A9F"/>
    <w:rsid w:val="00156B4E"/>
    <w:rsid w:val="00163410"/>
    <w:rsid w:val="00164C54"/>
    <w:rsid w:val="001673F4"/>
    <w:rsid w:val="00171340"/>
    <w:rsid w:val="00175B31"/>
    <w:rsid w:val="00184E32"/>
    <w:rsid w:val="0018501E"/>
    <w:rsid w:val="00185241"/>
    <w:rsid w:val="0019001B"/>
    <w:rsid w:val="0019365F"/>
    <w:rsid w:val="00194551"/>
    <w:rsid w:val="00196C1C"/>
    <w:rsid w:val="001B0F3C"/>
    <w:rsid w:val="001B1D66"/>
    <w:rsid w:val="001B5B7C"/>
    <w:rsid w:val="001C25E0"/>
    <w:rsid w:val="001C3748"/>
    <w:rsid w:val="001C496A"/>
    <w:rsid w:val="001C5611"/>
    <w:rsid w:val="001D49CA"/>
    <w:rsid w:val="001D600D"/>
    <w:rsid w:val="001E0A1A"/>
    <w:rsid w:val="001E6FF1"/>
    <w:rsid w:val="001F15E2"/>
    <w:rsid w:val="001F18C5"/>
    <w:rsid w:val="001F1974"/>
    <w:rsid w:val="0020044A"/>
    <w:rsid w:val="00202A88"/>
    <w:rsid w:val="002048A6"/>
    <w:rsid w:val="00204B36"/>
    <w:rsid w:val="00210A3C"/>
    <w:rsid w:val="00211811"/>
    <w:rsid w:val="002130C2"/>
    <w:rsid w:val="002238EA"/>
    <w:rsid w:val="00223C38"/>
    <w:rsid w:val="002268E8"/>
    <w:rsid w:val="00227EA1"/>
    <w:rsid w:val="00230B8A"/>
    <w:rsid w:val="00232D67"/>
    <w:rsid w:val="002435B4"/>
    <w:rsid w:val="00244B9A"/>
    <w:rsid w:val="00245762"/>
    <w:rsid w:val="0025093E"/>
    <w:rsid w:val="002562D4"/>
    <w:rsid w:val="0026302C"/>
    <w:rsid w:val="00267D60"/>
    <w:rsid w:val="00273D0C"/>
    <w:rsid w:val="0027652E"/>
    <w:rsid w:val="002778E5"/>
    <w:rsid w:val="00282DD9"/>
    <w:rsid w:val="0028494C"/>
    <w:rsid w:val="002861B5"/>
    <w:rsid w:val="002940BF"/>
    <w:rsid w:val="00295A30"/>
    <w:rsid w:val="002A3530"/>
    <w:rsid w:val="002A39DD"/>
    <w:rsid w:val="002B2C08"/>
    <w:rsid w:val="002B328D"/>
    <w:rsid w:val="002B6A49"/>
    <w:rsid w:val="002B71FE"/>
    <w:rsid w:val="002D0556"/>
    <w:rsid w:val="002D0EB6"/>
    <w:rsid w:val="002E0A87"/>
    <w:rsid w:val="002E51AC"/>
    <w:rsid w:val="002F54B0"/>
    <w:rsid w:val="002F6635"/>
    <w:rsid w:val="00301837"/>
    <w:rsid w:val="00305F12"/>
    <w:rsid w:val="003071DF"/>
    <w:rsid w:val="00311B26"/>
    <w:rsid w:val="003216AD"/>
    <w:rsid w:val="0032325B"/>
    <w:rsid w:val="00330EAD"/>
    <w:rsid w:val="00331DBB"/>
    <w:rsid w:val="003323A7"/>
    <w:rsid w:val="00334283"/>
    <w:rsid w:val="00342BE7"/>
    <w:rsid w:val="00344B2E"/>
    <w:rsid w:val="00347D7F"/>
    <w:rsid w:val="0035233E"/>
    <w:rsid w:val="003523C6"/>
    <w:rsid w:val="00353032"/>
    <w:rsid w:val="00353C4F"/>
    <w:rsid w:val="00360C0F"/>
    <w:rsid w:val="00361F9C"/>
    <w:rsid w:val="00366169"/>
    <w:rsid w:val="00373908"/>
    <w:rsid w:val="00373FEF"/>
    <w:rsid w:val="00381A2F"/>
    <w:rsid w:val="00383B54"/>
    <w:rsid w:val="003871BA"/>
    <w:rsid w:val="00390928"/>
    <w:rsid w:val="0039203A"/>
    <w:rsid w:val="003A0065"/>
    <w:rsid w:val="003A09E2"/>
    <w:rsid w:val="003A11B6"/>
    <w:rsid w:val="003A2312"/>
    <w:rsid w:val="003A6CFC"/>
    <w:rsid w:val="003D37E2"/>
    <w:rsid w:val="003D4CE8"/>
    <w:rsid w:val="003D6A83"/>
    <w:rsid w:val="003D7685"/>
    <w:rsid w:val="003E12D6"/>
    <w:rsid w:val="003E2F56"/>
    <w:rsid w:val="003E5450"/>
    <w:rsid w:val="003E65A3"/>
    <w:rsid w:val="003E6740"/>
    <w:rsid w:val="003E6B5E"/>
    <w:rsid w:val="003F53DD"/>
    <w:rsid w:val="00404B2E"/>
    <w:rsid w:val="004123F0"/>
    <w:rsid w:val="00415326"/>
    <w:rsid w:val="00415D54"/>
    <w:rsid w:val="004206A5"/>
    <w:rsid w:val="00422ABD"/>
    <w:rsid w:val="0042330D"/>
    <w:rsid w:val="0042547E"/>
    <w:rsid w:val="00431250"/>
    <w:rsid w:val="004439FB"/>
    <w:rsid w:val="00450719"/>
    <w:rsid w:val="00453516"/>
    <w:rsid w:val="00457F02"/>
    <w:rsid w:val="00463F6B"/>
    <w:rsid w:val="004707A0"/>
    <w:rsid w:val="004845D8"/>
    <w:rsid w:val="0048512A"/>
    <w:rsid w:val="00490922"/>
    <w:rsid w:val="00491B3E"/>
    <w:rsid w:val="00492836"/>
    <w:rsid w:val="004964A7"/>
    <w:rsid w:val="00497D10"/>
    <w:rsid w:val="004A3782"/>
    <w:rsid w:val="004B05C9"/>
    <w:rsid w:val="004B38A3"/>
    <w:rsid w:val="004B4A39"/>
    <w:rsid w:val="004B4B6B"/>
    <w:rsid w:val="004B6E6F"/>
    <w:rsid w:val="004C0519"/>
    <w:rsid w:val="004C08C8"/>
    <w:rsid w:val="004C18E0"/>
    <w:rsid w:val="004C207E"/>
    <w:rsid w:val="004E1A5E"/>
    <w:rsid w:val="004E7B64"/>
    <w:rsid w:val="004F1A14"/>
    <w:rsid w:val="004F4177"/>
    <w:rsid w:val="004F50B5"/>
    <w:rsid w:val="004F58C9"/>
    <w:rsid w:val="005017D2"/>
    <w:rsid w:val="00505E5F"/>
    <w:rsid w:val="00512CB1"/>
    <w:rsid w:val="005207A5"/>
    <w:rsid w:val="00522DCA"/>
    <w:rsid w:val="00523203"/>
    <w:rsid w:val="00523726"/>
    <w:rsid w:val="00530D87"/>
    <w:rsid w:val="0054045F"/>
    <w:rsid w:val="005418A8"/>
    <w:rsid w:val="00541C11"/>
    <w:rsid w:val="00545CF8"/>
    <w:rsid w:val="00547F32"/>
    <w:rsid w:val="00554736"/>
    <w:rsid w:val="00564DED"/>
    <w:rsid w:val="00576D68"/>
    <w:rsid w:val="00583A65"/>
    <w:rsid w:val="00587D82"/>
    <w:rsid w:val="005902F2"/>
    <w:rsid w:val="0059289A"/>
    <w:rsid w:val="005964F6"/>
    <w:rsid w:val="00597EDE"/>
    <w:rsid w:val="005A07E3"/>
    <w:rsid w:val="005B23EE"/>
    <w:rsid w:val="005B3174"/>
    <w:rsid w:val="005B4A18"/>
    <w:rsid w:val="005B558E"/>
    <w:rsid w:val="005B7E1D"/>
    <w:rsid w:val="005B7FFA"/>
    <w:rsid w:val="005C1717"/>
    <w:rsid w:val="005C18EB"/>
    <w:rsid w:val="005C2EA6"/>
    <w:rsid w:val="005D0C84"/>
    <w:rsid w:val="005E4045"/>
    <w:rsid w:val="005E6033"/>
    <w:rsid w:val="005F190F"/>
    <w:rsid w:val="005F2AEA"/>
    <w:rsid w:val="005F3BD4"/>
    <w:rsid w:val="005F4E2A"/>
    <w:rsid w:val="005F7595"/>
    <w:rsid w:val="00615947"/>
    <w:rsid w:val="00622FA4"/>
    <w:rsid w:val="00625E8D"/>
    <w:rsid w:val="006372AE"/>
    <w:rsid w:val="0064000E"/>
    <w:rsid w:val="006449B5"/>
    <w:rsid w:val="006464FB"/>
    <w:rsid w:val="006527B6"/>
    <w:rsid w:val="00656E72"/>
    <w:rsid w:val="0067255B"/>
    <w:rsid w:val="00675995"/>
    <w:rsid w:val="00684C30"/>
    <w:rsid w:val="00697424"/>
    <w:rsid w:val="006A06D6"/>
    <w:rsid w:val="006A33F0"/>
    <w:rsid w:val="006B4074"/>
    <w:rsid w:val="006B4E9D"/>
    <w:rsid w:val="006B5C4D"/>
    <w:rsid w:val="006B6913"/>
    <w:rsid w:val="006B7CBD"/>
    <w:rsid w:val="006D1B44"/>
    <w:rsid w:val="006D4E1B"/>
    <w:rsid w:val="006E0893"/>
    <w:rsid w:val="006E7F2A"/>
    <w:rsid w:val="006F0175"/>
    <w:rsid w:val="006F488A"/>
    <w:rsid w:val="00705C5F"/>
    <w:rsid w:val="0070628D"/>
    <w:rsid w:val="007155C8"/>
    <w:rsid w:val="00721F3E"/>
    <w:rsid w:val="007253DA"/>
    <w:rsid w:val="00726A63"/>
    <w:rsid w:val="0073155A"/>
    <w:rsid w:val="0073745E"/>
    <w:rsid w:val="00744ED2"/>
    <w:rsid w:val="00751609"/>
    <w:rsid w:val="00752652"/>
    <w:rsid w:val="0075486B"/>
    <w:rsid w:val="00762F6E"/>
    <w:rsid w:val="00765A62"/>
    <w:rsid w:val="00776266"/>
    <w:rsid w:val="0078139F"/>
    <w:rsid w:val="007820D5"/>
    <w:rsid w:val="007909C6"/>
    <w:rsid w:val="00790D87"/>
    <w:rsid w:val="0079574D"/>
    <w:rsid w:val="00797D6C"/>
    <w:rsid w:val="007B3B61"/>
    <w:rsid w:val="007B607E"/>
    <w:rsid w:val="007C47FE"/>
    <w:rsid w:val="007C788D"/>
    <w:rsid w:val="007D3390"/>
    <w:rsid w:val="007D4644"/>
    <w:rsid w:val="007D4F05"/>
    <w:rsid w:val="007D5F47"/>
    <w:rsid w:val="007E4916"/>
    <w:rsid w:val="007F0C35"/>
    <w:rsid w:val="007F13F0"/>
    <w:rsid w:val="007F60F8"/>
    <w:rsid w:val="007F7D74"/>
    <w:rsid w:val="008053C3"/>
    <w:rsid w:val="008072B2"/>
    <w:rsid w:val="008078AB"/>
    <w:rsid w:val="00810BAC"/>
    <w:rsid w:val="0081147B"/>
    <w:rsid w:val="008138D8"/>
    <w:rsid w:val="00816679"/>
    <w:rsid w:val="00817800"/>
    <w:rsid w:val="008258A2"/>
    <w:rsid w:val="008374DE"/>
    <w:rsid w:val="00840DD5"/>
    <w:rsid w:val="00841A6B"/>
    <w:rsid w:val="008460A0"/>
    <w:rsid w:val="008548A6"/>
    <w:rsid w:val="00857C01"/>
    <w:rsid w:val="00861C51"/>
    <w:rsid w:val="00865DA0"/>
    <w:rsid w:val="008665F6"/>
    <w:rsid w:val="00871852"/>
    <w:rsid w:val="00874863"/>
    <w:rsid w:val="00885BC5"/>
    <w:rsid w:val="008917F8"/>
    <w:rsid w:val="0089243D"/>
    <w:rsid w:val="008A2E5D"/>
    <w:rsid w:val="008C1D06"/>
    <w:rsid w:val="008C3E12"/>
    <w:rsid w:val="008C6851"/>
    <w:rsid w:val="008E0A3D"/>
    <w:rsid w:val="008E504D"/>
    <w:rsid w:val="008F0750"/>
    <w:rsid w:val="008F519A"/>
    <w:rsid w:val="0090170F"/>
    <w:rsid w:val="0090497D"/>
    <w:rsid w:val="0090544B"/>
    <w:rsid w:val="00910E22"/>
    <w:rsid w:val="0091637D"/>
    <w:rsid w:val="009257A1"/>
    <w:rsid w:val="00927692"/>
    <w:rsid w:val="0093093C"/>
    <w:rsid w:val="009342A3"/>
    <w:rsid w:val="00941CC0"/>
    <w:rsid w:val="00944CE0"/>
    <w:rsid w:val="00950AAE"/>
    <w:rsid w:val="00962F0B"/>
    <w:rsid w:val="00967072"/>
    <w:rsid w:val="009700A9"/>
    <w:rsid w:val="00970257"/>
    <w:rsid w:val="00976395"/>
    <w:rsid w:val="00980908"/>
    <w:rsid w:val="00981EE9"/>
    <w:rsid w:val="00983AF7"/>
    <w:rsid w:val="0098531D"/>
    <w:rsid w:val="00992C35"/>
    <w:rsid w:val="00993593"/>
    <w:rsid w:val="00995A61"/>
    <w:rsid w:val="009A21FB"/>
    <w:rsid w:val="009A3FE1"/>
    <w:rsid w:val="009A422F"/>
    <w:rsid w:val="009A6356"/>
    <w:rsid w:val="009A6689"/>
    <w:rsid w:val="009B0DE2"/>
    <w:rsid w:val="009C23C2"/>
    <w:rsid w:val="009C253A"/>
    <w:rsid w:val="009C4690"/>
    <w:rsid w:val="009D7258"/>
    <w:rsid w:val="009E52A0"/>
    <w:rsid w:val="009E631E"/>
    <w:rsid w:val="009F0228"/>
    <w:rsid w:val="009F63FD"/>
    <w:rsid w:val="00A01498"/>
    <w:rsid w:val="00A03C4A"/>
    <w:rsid w:val="00A041DB"/>
    <w:rsid w:val="00A10B86"/>
    <w:rsid w:val="00A12A06"/>
    <w:rsid w:val="00A13CEB"/>
    <w:rsid w:val="00A1512D"/>
    <w:rsid w:val="00A33298"/>
    <w:rsid w:val="00A40C0E"/>
    <w:rsid w:val="00A4174F"/>
    <w:rsid w:val="00A443AF"/>
    <w:rsid w:val="00A47DC2"/>
    <w:rsid w:val="00A534BA"/>
    <w:rsid w:val="00A542A9"/>
    <w:rsid w:val="00A6220C"/>
    <w:rsid w:val="00A62F7D"/>
    <w:rsid w:val="00A664EA"/>
    <w:rsid w:val="00A77763"/>
    <w:rsid w:val="00A83BB8"/>
    <w:rsid w:val="00A939E4"/>
    <w:rsid w:val="00A93AAA"/>
    <w:rsid w:val="00A95D08"/>
    <w:rsid w:val="00AA53A1"/>
    <w:rsid w:val="00AB1143"/>
    <w:rsid w:val="00AC0CAE"/>
    <w:rsid w:val="00AC2377"/>
    <w:rsid w:val="00AC42CA"/>
    <w:rsid w:val="00AC4884"/>
    <w:rsid w:val="00AC5F0F"/>
    <w:rsid w:val="00AC7B15"/>
    <w:rsid w:val="00AE5706"/>
    <w:rsid w:val="00AF0793"/>
    <w:rsid w:val="00AF6D55"/>
    <w:rsid w:val="00B12909"/>
    <w:rsid w:val="00B12D7D"/>
    <w:rsid w:val="00B14C00"/>
    <w:rsid w:val="00B1664B"/>
    <w:rsid w:val="00B22D0F"/>
    <w:rsid w:val="00B23255"/>
    <w:rsid w:val="00B232F2"/>
    <w:rsid w:val="00B2450B"/>
    <w:rsid w:val="00B2501B"/>
    <w:rsid w:val="00B27F85"/>
    <w:rsid w:val="00B3121E"/>
    <w:rsid w:val="00B327C6"/>
    <w:rsid w:val="00B34389"/>
    <w:rsid w:val="00B438A5"/>
    <w:rsid w:val="00B45E76"/>
    <w:rsid w:val="00B4610E"/>
    <w:rsid w:val="00B46272"/>
    <w:rsid w:val="00B52A66"/>
    <w:rsid w:val="00B574B1"/>
    <w:rsid w:val="00B57BC9"/>
    <w:rsid w:val="00B6074D"/>
    <w:rsid w:val="00B658C2"/>
    <w:rsid w:val="00B82040"/>
    <w:rsid w:val="00B85331"/>
    <w:rsid w:val="00B91103"/>
    <w:rsid w:val="00BA1563"/>
    <w:rsid w:val="00BA6E58"/>
    <w:rsid w:val="00BC0C1A"/>
    <w:rsid w:val="00BD23DB"/>
    <w:rsid w:val="00BE7106"/>
    <w:rsid w:val="00BF1144"/>
    <w:rsid w:val="00BF26E2"/>
    <w:rsid w:val="00BF33CE"/>
    <w:rsid w:val="00BF7ABB"/>
    <w:rsid w:val="00C04145"/>
    <w:rsid w:val="00C04F6A"/>
    <w:rsid w:val="00C05A6D"/>
    <w:rsid w:val="00C1375B"/>
    <w:rsid w:val="00C15214"/>
    <w:rsid w:val="00C21ED3"/>
    <w:rsid w:val="00C239A0"/>
    <w:rsid w:val="00C32A20"/>
    <w:rsid w:val="00C33BB3"/>
    <w:rsid w:val="00C458A7"/>
    <w:rsid w:val="00C468CD"/>
    <w:rsid w:val="00C528CA"/>
    <w:rsid w:val="00C55A31"/>
    <w:rsid w:val="00C61BD5"/>
    <w:rsid w:val="00C74A85"/>
    <w:rsid w:val="00C771E8"/>
    <w:rsid w:val="00C77F7A"/>
    <w:rsid w:val="00C8275F"/>
    <w:rsid w:val="00C8413F"/>
    <w:rsid w:val="00C842FB"/>
    <w:rsid w:val="00C874FE"/>
    <w:rsid w:val="00C90AF4"/>
    <w:rsid w:val="00C915C4"/>
    <w:rsid w:val="00CB1780"/>
    <w:rsid w:val="00CB2662"/>
    <w:rsid w:val="00CB2A73"/>
    <w:rsid w:val="00CB4DA7"/>
    <w:rsid w:val="00CC03AC"/>
    <w:rsid w:val="00CC0D83"/>
    <w:rsid w:val="00CC2FF4"/>
    <w:rsid w:val="00CC6928"/>
    <w:rsid w:val="00CC7E42"/>
    <w:rsid w:val="00CD0C4F"/>
    <w:rsid w:val="00CD0FB0"/>
    <w:rsid w:val="00CD525D"/>
    <w:rsid w:val="00CE003B"/>
    <w:rsid w:val="00CE0383"/>
    <w:rsid w:val="00CE4CBC"/>
    <w:rsid w:val="00CF431C"/>
    <w:rsid w:val="00D0106F"/>
    <w:rsid w:val="00D0669E"/>
    <w:rsid w:val="00D11C12"/>
    <w:rsid w:val="00D21554"/>
    <w:rsid w:val="00D22530"/>
    <w:rsid w:val="00D25B52"/>
    <w:rsid w:val="00D26987"/>
    <w:rsid w:val="00D3119F"/>
    <w:rsid w:val="00D33993"/>
    <w:rsid w:val="00D35767"/>
    <w:rsid w:val="00D5287D"/>
    <w:rsid w:val="00D52E52"/>
    <w:rsid w:val="00D53464"/>
    <w:rsid w:val="00D645E3"/>
    <w:rsid w:val="00D648C5"/>
    <w:rsid w:val="00D75C88"/>
    <w:rsid w:val="00D76DF2"/>
    <w:rsid w:val="00D80DD7"/>
    <w:rsid w:val="00D85B0C"/>
    <w:rsid w:val="00D908A0"/>
    <w:rsid w:val="00D936FB"/>
    <w:rsid w:val="00D96482"/>
    <w:rsid w:val="00D965FA"/>
    <w:rsid w:val="00DA42F7"/>
    <w:rsid w:val="00DA5DDA"/>
    <w:rsid w:val="00DA66E7"/>
    <w:rsid w:val="00DB121F"/>
    <w:rsid w:val="00DB1283"/>
    <w:rsid w:val="00DB57BD"/>
    <w:rsid w:val="00DC1EDE"/>
    <w:rsid w:val="00DC27C1"/>
    <w:rsid w:val="00DD0F65"/>
    <w:rsid w:val="00DD477F"/>
    <w:rsid w:val="00DD783B"/>
    <w:rsid w:val="00DE55F3"/>
    <w:rsid w:val="00DF7C5B"/>
    <w:rsid w:val="00E00A65"/>
    <w:rsid w:val="00E01AFE"/>
    <w:rsid w:val="00E17B78"/>
    <w:rsid w:val="00E218C1"/>
    <w:rsid w:val="00E22FF0"/>
    <w:rsid w:val="00E32AC2"/>
    <w:rsid w:val="00E40E2F"/>
    <w:rsid w:val="00E47676"/>
    <w:rsid w:val="00E57289"/>
    <w:rsid w:val="00E62D90"/>
    <w:rsid w:val="00E70163"/>
    <w:rsid w:val="00E735B6"/>
    <w:rsid w:val="00E73653"/>
    <w:rsid w:val="00E76174"/>
    <w:rsid w:val="00E8451E"/>
    <w:rsid w:val="00E84AA8"/>
    <w:rsid w:val="00E86EC7"/>
    <w:rsid w:val="00E9136E"/>
    <w:rsid w:val="00E9331C"/>
    <w:rsid w:val="00E95715"/>
    <w:rsid w:val="00EA7F7F"/>
    <w:rsid w:val="00EB5B8D"/>
    <w:rsid w:val="00EB7927"/>
    <w:rsid w:val="00EC5B7D"/>
    <w:rsid w:val="00EE4E64"/>
    <w:rsid w:val="00EF25D1"/>
    <w:rsid w:val="00EF3411"/>
    <w:rsid w:val="00EF56EA"/>
    <w:rsid w:val="00EF610E"/>
    <w:rsid w:val="00F061C2"/>
    <w:rsid w:val="00F175EC"/>
    <w:rsid w:val="00F17B61"/>
    <w:rsid w:val="00F31977"/>
    <w:rsid w:val="00F31B43"/>
    <w:rsid w:val="00F321E0"/>
    <w:rsid w:val="00F35AC3"/>
    <w:rsid w:val="00F427F2"/>
    <w:rsid w:val="00F5310A"/>
    <w:rsid w:val="00F61A36"/>
    <w:rsid w:val="00F65C41"/>
    <w:rsid w:val="00F72657"/>
    <w:rsid w:val="00F76227"/>
    <w:rsid w:val="00F76C83"/>
    <w:rsid w:val="00F90585"/>
    <w:rsid w:val="00F91229"/>
    <w:rsid w:val="00F9196A"/>
    <w:rsid w:val="00FC7F3D"/>
    <w:rsid w:val="00FD2AF7"/>
    <w:rsid w:val="00FE3C5B"/>
    <w:rsid w:val="00FE3F15"/>
    <w:rsid w:val="00FF2AAF"/>
    <w:rsid w:val="00FF2FC7"/>
    <w:rsid w:val="00FF3960"/>
    <w:rsid w:val="00FF646C"/>
    <w:rsid w:val="00FF66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6AE72D7"/>
  <w15:chartTrackingRefBased/>
  <w15:docId w15:val="{9FE2EF02-FCDB-4DC0-98CE-3A7E7024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8D8"/>
    <w:pPr>
      <w:spacing w:after="64" w:line="259" w:lineRule="auto"/>
      <w:ind w:left="3661" w:hanging="10"/>
    </w:pPr>
    <w:rPr>
      <w:rFonts w:ascii="Courier New" w:eastAsia="Courier New" w:hAnsi="Courier New" w:cs="Courier New"/>
      <w:b/>
      <w:color w:val="000000"/>
      <w:sz w:val="14"/>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B0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8138D8"/>
    <w:pPr>
      <w:tabs>
        <w:tab w:val="center" w:pos="4252"/>
        <w:tab w:val="right" w:pos="8504"/>
      </w:tabs>
      <w:spacing w:after="0" w:line="240" w:lineRule="auto"/>
      <w:ind w:left="0" w:firstLine="0"/>
    </w:pPr>
    <w:rPr>
      <w:rFonts w:ascii="Calibri" w:eastAsia="Calibri" w:hAnsi="Calibri" w:cs="Times New Roman"/>
      <w:b w:val="0"/>
      <w:color w:val="auto"/>
      <w:sz w:val="22"/>
      <w:lang w:eastAsia="en-US"/>
    </w:rPr>
  </w:style>
  <w:style w:type="character" w:customStyle="1" w:styleId="EncabezadoCar">
    <w:name w:val="Encabezado Car"/>
    <w:basedOn w:val="Fuentedeprrafopredeter"/>
    <w:link w:val="Encabezado"/>
    <w:uiPriority w:val="99"/>
    <w:rsid w:val="008138D8"/>
  </w:style>
  <w:style w:type="paragraph" w:styleId="Piedepgina">
    <w:name w:val="footer"/>
    <w:basedOn w:val="Normal"/>
    <w:link w:val="PiedepginaCar"/>
    <w:uiPriority w:val="99"/>
    <w:unhideWhenUsed/>
    <w:rsid w:val="008138D8"/>
    <w:pPr>
      <w:tabs>
        <w:tab w:val="center" w:pos="4252"/>
        <w:tab w:val="right" w:pos="8504"/>
      </w:tabs>
      <w:spacing w:after="0" w:line="240" w:lineRule="auto"/>
      <w:ind w:left="0" w:firstLine="0"/>
    </w:pPr>
    <w:rPr>
      <w:rFonts w:ascii="Calibri" w:eastAsia="Calibri" w:hAnsi="Calibri" w:cs="Times New Roman"/>
      <w:b w:val="0"/>
      <w:color w:val="auto"/>
      <w:sz w:val="22"/>
      <w:lang w:eastAsia="en-US"/>
    </w:rPr>
  </w:style>
  <w:style w:type="character" w:customStyle="1" w:styleId="PiedepginaCar">
    <w:name w:val="Pie de página Car"/>
    <w:basedOn w:val="Fuentedeprrafopredeter"/>
    <w:link w:val="Piedepgina"/>
    <w:uiPriority w:val="99"/>
    <w:rsid w:val="008138D8"/>
  </w:style>
  <w:style w:type="character" w:styleId="Refdecomentario">
    <w:name w:val="annotation reference"/>
    <w:uiPriority w:val="99"/>
    <w:semiHidden/>
    <w:unhideWhenUsed/>
    <w:rsid w:val="008138D8"/>
    <w:rPr>
      <w:sz w:val="16"/>
      <w:szCs w:val="16"/>
    </w:rPr>
  </w:style>
  <w:style w:type="paragraph" w:styleId="Textocomentario">
    <w:name w:val="annotation text"/>
    <w:basedOn w:val="Normal"/>
    <w:link w:val="TextocomentarioCar"/>
    <w:uiPriority w:val="99"/>
    <w:semiHidden/>
    <w:unhideWhenUsed/>
    <w:rsid w:val="008138D8"/>
    <w:pPr>
      <w:spacing w:line="240" w:lineRule="auto"/>
    </w:pPr>
    <w:rPr>
      <w:sz w:val="20"/>
      <w:szCs w:val="20"/>
    </w:rPr>
  </w:style>
  <w:style w:type="character" w:customStyle="1" w:styleId="TextocomentarioCar">
    <w:name w:val="Texto comentario Car"/>
    <w:link w:val="Textocomentario"/>
    <w:uiPriority w:val="99"/>
    <w:semiHidden/>
    <w:rsid w:val="008138D8"/>
    <w:rPr>
      <w:rFonts w:ascii="Courier New" w:eastAsia="Courier New" w:hAnsi="Courier New" w:cs="Courier New"/>
      <w:b/>
      <w:color w:val="000000"/>
      <w:sz w:val="20"/>
      <w:szCs w:val="20"/>
      <w:lang w:eastAsia="es-ES"/>
    </w:rPr>
  </w:style>
  <w:style w:type="paragraph" w:customStyle="1" w:styleId="acuerdo">
    <w:name w:val="acuerdo"/>
    <w:rsid w:val="00D26987"/>
    <w:pPr>
      <w:spacing w:after="240"/>
      <w:jc w:val="both"/>
    </w:pPr>
    <w:rPr>
      <w:rFonts w:ascii="Arial" w:eastAsia="Times New Roman" w:hAnsi="Arial"/>
      <w:noProof/>
      <w:sz w:val="22"/>
    </w:rPr>
  </w:style>
  <w:style w:type="paragraph" w:styleId="Textodeglobo">
    <w:name w:val="Balloon Text"/>
    <w:basedOn w:val="Normal"/>
    <w:link w:val="TextodegloboCar"/>
    <w:uiPriority w:val="99"/>
    <w:semiHidden/>
    <w:unhideWhenUsed/>
    <w:rsid w:val="00AF6D55"/>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AF6D55"/>
    <w:rPr>
      <w:rFonts w:ascii="Tahoma" w:eastAsia="Courier New" w:hAnsi="Tahoma" w:cs="Tahoma"/>
      <w:b/>
      <w:color w:val="000000"/>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876D1-1F4D-4000-A884-D54624D32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887</Words>
  <Characters>4881</Characters>
  <Application>Microsoft Office Word</Application>
  <DocSecurity>0</DocSecurity>
  <Lines>40</Lines>
  <Paragraphs>11</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Escudero Lopez, Alberto</dc:creator>
  <cp:keywords/>
  <dc:description/>
  <cp:lastModifiedBy>Najera Diaz de Arcaya, Carmen</cp:lastModifiedBy>
  <cp:revision>2</cp:revision>
  <cp:lastPrinted>1601-01-01T00:00:00Z</cp:lastPrinted>
  <dcterms:created xsi:type="dcterms:W3CDTF">2025-10-28T13:29:00Z</dcterms:created>
  <dcterms:modified xsi:type="dcterms:W3CDTF">2025-10-28T13:29:00Z</dcterms:modified>
</cp:coreProperties>
</file>