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FD206" w14:textId="77777777" w:rsidR="003D1EE2" w:rsidRPr="00426B3C" w:rsidRDefault="003D1EE2" w:rsidP="00426B3C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</w:rPr>
      </w:pPr>
    </w:p>
    <w:p w14:paraId="24172CA5" w14:textId="77777777" w:rsidR="003D1EE2" w:rsidRDefault="003D1EE2" w:rsidP="00AE38F1">
      <w:pPr>
        <w:pStyle w:val="Heading20"/>
        <w:spacing w:before="240" w:after="480"/>
        <w:jc w:val="left"/>
      </w:pPr>
      <w:bookmarkStart w:id="0" w:name="RESOLUCION"/>
      <w:r w:rsidRPr="00234E28">
        <w:rPr>
          <w:rFonts w:cs="Arial"/>
          <w:sz w:val="24"/>
        </w:rPr>
        <w:t>RESOLUCIÓN</w:t>
      </w:r>
    </w:p>
    <w:p w14:paraId="28187063" w14:textId="77777777" w:rsidR="003D1EE2" w:rsidRDefault="003D1EE2" w:rsidP="00DA630B">
      <w:pPr>
        <w:pStyle w:val="Normal0"/>
        <w:rPr>
          <w:noProof/>
          <w:sz w:val="22"/>
        </w:rPr>
      </w:pPr>
      <w:r>
        <w:rPr>
          <w:noProof/>
          <w:sz w:val="22"/>
        </w:rPr>
        <w:t xml:space="preserve">Servicio de Secretaría Técnica </w:t>
      </w:r>
      <w:r>
        <w:rPr>
          <w:noProof/>
          <w:sz w:val="22"/>
        </w:rPr>
        <w:br/>
        <w:t>Nº Expte.:</w:t>
      </w:r>
      <w:r>
        <w:rPr>
          <w:sz w:val="22"/>
        </w:rPr>
        <w:t xml:space="preserve"> </w:t>
      </w:r>
      <w:r w:rsidRPr="00394578">
        <w:rPr>
          <w:noProof/>
          <w:sz w:val="22"/>
        </w:rPr>
        <w:t>01244-2025/00078</w:t>
      </w:r>
    </w:p>
    <w:p w14:paraId="4C9C5384" w14:textId="77777777" w:rsidR="003D1EE2" w:rsidRDefault="003D1EE2" w:rsidP="00DA630B">
      <w:pPr>
        <w:pStyle w:val="Normal0"/>
        <w:rPr>
          <w:noProof/>
          <w:sz w:val="22"/>
        </w:rPr>
      </w:pPr>
    </w:p>
    <w:p w14:paraId="243CC8B8" w14:textId="0F51B5D1" w:rsidR="003D1EE2" w:rsidRPr="00F04099" w:rsidRDefault="003D1EE2" w:rsidP="00DE3F4D">
      <w:pPr>
        <w:pStyle w:val="Normal0"/>
        <w:spacing w:after="240"/>
        <w:jc w:val="both"/>
        <w:rPr>
          <w:rFonts w:eastAsia="Calibri" w:cs="Times New Roman"/>
          <w:b/>
          <w:bCs/>
          <w:sz w:val="22"/>
          <w:szCs w:val="22"/>
          <w:lang w:val="es-ES" w:eastAsia="en-US"/>
        </w:rPr>
      </w:pPr>
      <w:r w:rsidRPr="00394578">
        <w:rPr>
          <w:b/>
          <w:sz w:val="22"/>
          <w:szCs w:val="22"/>
        </w:rPr>
        <w:t xml:space="preserve">Estimar la solicitud de acceso a la información pública presentada por </w:t>
      </w:r>
      <w:proofErr w:type="spellStart"/>
      <w:r w:rsidRPr="003D1EE2">
        <w:rPr>
          <w:b/>
          <w:sz w:val="22"/>
          <w:szCs w:val="22"/>
          <w:highlight w:val="black"/>
        </w:rPr>
        <w:t>xxxxx</w:t>
      </w:r>
      <w:proofErr w:type="spellEnd"/>
      <w:r>
        <w:rPr>
          <w:b/>
          <w:sz w:val="22"/>
          <w:szCs w:val="22"/>
        </w:rPr>
        <w:t>.</w:t>
      </w:r>
    </w:p>
    <w:p w14:paraId="4AED058C" w14:textId="4A3F9E65" w:rsidR="003D1EE2" w:rsidRPr="00394578" w:rsidRDefault="003D1EE2" w:rsidP="00394578">
      <w:pPr>
        <w:pStyle w:val="BodyText0"/>
        <w:rPr>
          <w:sz w:val="22"/>
          <w:lang w:val="es-ES"/>
        </w:rPr>
      </w:pPr>
      <w:r w:rsidRPr="00394578">
        <w:rPr>
          <w:sz w:val="22"/>
          <w:lang w:val="es-ES"/>
        </w:rPr>
        <w:t xml:space="preserve">Con fecha de entrada 16 de octubre de 2025 </w:t>
      </w:r>
      <w:proofErr w:type="spellStart"/>
      <w:r w:rsidRPr="003D1EE2">
        <w:rPr>
          <w:sz w:val="22"/>
          <w:highlight w:val="black"/>
          <w:lang w:val="es-ES"/>
        </w:rPr>
        <w:t>xxxxx</w:t>
      </w:r>
      <w:proofErr w:type="spellEnd"/>
      <w:r w:rsidRPr="00394578">
        <w:rPr>
          <w:sz w:val="22"/>
          <w:lang w:val="es-ES"/>
        </w:rPr>
        <w:t xml:space="preserve">, con DNI </w:t>
      </w:r>
      <w:proofErr w:type="spellStart"/>
      <w:r w:rsidRPr="003D1EE2">
        <w:rPr>
          <w:sz w:val="22"/>
          <w:highlight w:val="black"/>
          <w:lang w:val="es-ES"/>
        </w:rPr>
        <w:t>xxxxx</w:t>
      </w:r>
      <w:proofErr w:type="spellEnd"/>
      <w:r w:rsidRPr="00394578">
        <w:rPr>
          <w:sz w:val="22"/>
          <w:lang w:val="es-ES"/>
        </w:rPr>
        <w:t>, presentó ante esta institución una solicitud de acceso a información pública, al amparo de la Norma Foral 1/2017, de 8 de febrero, de Transparencia, Participación Ciudadana y Buen Gobierno.</w:t>
      </w:r>
    </w:p>
    <w:p w14:paraId="01FAA960" w14:textId="77777777" w:rsidR="003D1EE2" w:rsidRPr="00394578" w:rsidRDefault="003D1EE2" w:rsidP="00394578">
      <w:pPr>
        <w:pStyle w:val="BodyText0"/>
        <w:rPr>
          <w:sz w:val="22"/>
          <w:lang w:val="es-ES"/>
        </w:rPr>
      </w:pPr>
      <w:r w:rsidRPr="00394578">
        <w:rPr>
          <w:sz w:val="22"/>
          <w:lang w:val="es-ES"/>
        </w:rPr>
        <w:t xml:space="preserve">La información pública a la que desea acceder se refiere a si </w:t>
      </w:r>
      <w:r>
        <w:rPr>
          <w:sz w:val="22"/>
          <w:lang w:val="es-ES"/>
        </w:rPr>
        <w:t>est</w:t>
      </w:r>
      <w:r w:rsidRPr="00394578">
        <w:rPr>
          <w:sz w:val="22"/>
          <w:lang w:val="es-ES"/>
        </w:rPr>
        <w:t>a administración foral ha otorgado subvenciones a personas privadas titulares de bienes materiales integrantes del patrimonio cultural vasco dirigidas a su conservación o restauración, en caso afirmativo cuál es su detalle en los últimos 10 años, y qué otras medidas concretas de fomento está gestionando</w:t>
      </w:r>
      <w:r>
        <w:rPr>
          <w:sz w:val="22"/>
          <w:lang w:val="es-ES"/>
        </w:rPr>
        <w:t xml:space="preserve"> </w:t>
      </w:r>
      <w:r w:rsidRPr="00394578">
        <w:rPr>
          <w:sz w:val="22"/>
          <w:lang w:val="es-ES"/>
        </w:rPr>
        <w:t>para los titulares privados de dichos bienes</w:t>
      </w:r>
      <w:r w:rsidRPr="00394578">
        <w:rPr>
          <w:sz w:val="22"/>
          <w:lang w:val="es-ES"/>
        </w:rPr>
        <w:t>.</w:t>
      </w:r>
    </w:p>
    <w:p w14:paraId="08406F5E" w14:textId="77777777" w:rsidR="003D1EE2" w:rsidRPr="00394578" w:rsidRDefault="003D1EE2" w:rsidP="00394578">
      <w:pPr>
        <w:pStyle w:val="BodyText0"/>
        <w:rPr>
          <w:sz w:val="22"/>
          <w:lang w:val="es-ES"/>
        </w:rPr>
      </w:pPr>
      <w:r w:rsidRPr="00394578">
        <w:rPr>
          <w:sz w:val="22"/>
          <w:lang w:val="es-ES"/>
        </w:rPr>
        <w:t xml:space="preserve">El Departamento de Cultura y </w:t>
      </w:r>
      <w:r w:rsidRPr="00394578">
        <w:rPr>
          <w:sz w:val="22"/>
          <w:lang w:val="es-ES"/>
        </w:rPr>
        <w:t>Deporte de la Diputación Foral de Álava promueve desde el año 2022 convocatorias de subvenciones para realizar intervenciones de conservación y/o restauración del patrimonio cultural inmueble promovidas por particulares.</w:t>
      </w:r>
      <w:r>
        <w:rPr>
          <w:sz w:val="22"/>
          <w:lang w:val="es-ES"/>
        </w:rPr>
        <w:t xml:space="preserve"> </w:t>
      </w:r>
      <w:r w:rsidRPr="00394578">
        <w:rPr>
          <w:sz w:val="22"/>
          <w:lang w:val="es-ES"/>
        </w:rPr>
        <w:t>Con anterioridad a esa fecha no se subvencionaba este tipo de intervenciones. Tampoco se están desarrollando otras medidas de fomento con el este objeto.</w:t>
      </w:r>
    </w:p>
    <w:p w14:paraId="2AFD1210" w14:textId="77777777" w:rsidR="003D1EE2" w:rsidRPr="00394578" w:rsidRDefault="003D1EE2" w:rsidP="00394578">
      <w:pPr>
        <w:pStyle w:val="BodyText0"/>
        <w:rPr>
          <w:sz w:val="22"/>
          <w:lang w:val="es-ES"/>
        </w:rPr>
      </w:pPr>
      <w:r w:rsidRPr="00394578">
        <w:rPr>
          <w:sz w:val="22"/>
          <w:lang w:val="es-ES"/>
        </w:rPr>
        <w:t xml:space="preserve">Según regula el artículo 17 de la Norma Foral 11/2016, de 19 de octubre, de Subvenciones del Territorio Histórico de Álava, los órganos concedentes de las subvenciones deben publicar trimestralmente en el BOTHA las subvenciones concedidas. </w:t>
      </w:r>
    </w:p>
    <w:p w14:paraId="49AAC106" w14:textId="77777777" w:rsidR="003D1EE2" w:rsidRPr="00394578" w:rsidRDefault="003D1EE2" w:rsidP="00394578">
      <w:pPr>
        <w:pStyle w:val="BodyText0"/>
        <w:rPr>
          <w:sz w:val="22"/>
          <w:lang w:val="es-ES"/>
        </w:rPr>
      </w:pPr>
      <w:r w:rsidRPr="00394578">
        <w:rPr>
          <w:sz w:val="22"/>
          <w:lang w:val="es-ES"/>
        </w:rPr>
        <w:t>Según el artículo 36 de la Norma Foral 1/2017, de 8 febrero, de transparencia, participación ciudadana y buen gobierno del sector público del Territorio Histórico de Álava, cuando la información ya haya sido publicada y sea de fácil acceso, la resolución podrá limitarse a indicar cómo puede acceder a ella la persona interesada.</w:t>
      </w:r>
    </w:p>
    <w:p w14:paraId="36BBF03D" w14:textId="77777777" w:rsidR="003D1EE2" w:rsidRPr="00394578" w:rsidRDefault="003D1EE2" w:rsidP="00394578">
      <w:pPr>
        <w:pStyle w:val="BodyText0"/>
        <w:rPr>
          <w:sz w:val="22"/>
          <w:lang w:val="es-ES"/>
        </w:rPr>
      </w:pPr>
      <w:r w:rsidRPr="00394578">
        <w:rPr>
          <w:sz w:val="22"/>
          <w:lang w:val="es-ES"/>
        </w:rPr>
        <w:t>No concurre ninguno de los supuestos de límites del derecho de acceso a la información pública previstos en la normativa de transparencia, en particular, en el caso de existencia de datos de carácter personal.</w:t>
      </w:r>
    </w:p>
    <w:p w14:paraId="62FC2947" w14:textId="77777777" w:rsidR="003D1EE2" w:rsidRPr="00394578" w:rsidRDefault="003D1EE2" w:rsidP="00394578">
      <w:pPr>
        <w:pStyle w:val="BodyText0"/>
        <w:rPr>
          <w:sz w:val="22"/>
          <w:lang w:val="es-ES"/>
        </w:rPr>
      </w:pPr>
      <w:r w:rsidRPr="00394578">
        <w:rPr>
          <w:sz w:val="22"/>
          <w:lang w:val="es-ES"/>
        </w:rPr>
        <w:t>No concurre tampoco ninguno de los casos de causas de inadmisión previstos en la referida normativa.</w:t>
      </w:r>
    </w:p>
    <w:p w14:paraId="7EC86FD1" w14:textId="77777777" w:rsidR="003D1EE2" w:rsidRPr="00394578" w:rsidRDefault="003D1EE2" w:rsidP="00394578">
      <w:pPr>
        <w:pStyle w:val="BodyText0"/>
        <w:rPr>
          <w:sz w:val="22"/>
          <w:lang w:val="es-ES"/>
        </w:rPr>
      </w:pPr>
      <w:r w:rsidRPr="00394578">
        <w:rPr>
          <w:sz w:val="22"/>
          <w:lang w:val="es-ES"/>
        </w:rPr>
        <w:t>En su virtud, haciendo uso de las facultades que me competen a consecuencia de la delegación conferida mediante Orden Foral 72/2020, de 16 de abril, modificada por la Orden Foral 203/2021, de 8 de julio, que delega en la persona titular de la Dirección de Cultura la competencia para resolver las solicitudes en materia de acceso a la información pública,</w:t>
      </w:r>
    </w:p>
    <w:p w14:paraId="6A769BC3" w14:textId="77777777" w:rsidR="003D1EE2" w:rsidRPr="00F04099" w:rsidRDefault="003D1EE2" w:rsidP="00DE3F4D">
      <w:pPr>
        <w:pStyle w:val="Heading20"/>
        <w:spacing w:before="240" w:after="480"/>
        <w:jc w:val="center"/>
        <w:rPr>
          <w:rFonts w:cs="Times New Roman"/>
          <w:szCs w:val="22"/>
        </w:rPr>
      </w:pPr>
      <w:r w:rsidRPr="00F04099">
        <w:rPr>
          <w:rFonts w:cs="Times New Roman"/>
          <w:szCs w:val="22"/>
        </w:rPr>
        <w:t>RESUELVO</w:t>
      </w:r>
    </w:p>
    <w:p w14:paraId="634264F9" w14:textId="3D9A3B8C" w:rsidR="003D1EE2" w:rsidRDefault="003D1EE2" w:rsidP="000B30A1">
      <w:pPr>
        <w:pStyle w:val="Normal0"/>
        <w:tabs>
          <w:tab w:val="left" w:pos="993"/>
        </w:tabs>
        <w:spacing w:after="120"/>
        <w:jc w:val="both"/>
        <w:rPr>
          <w:sz w:val="22"/>
        </w:rPr>
      </w:pPr>
      <w:r w:rsidRPr="000A1D2A">
        <w:rPr>
          <w:sz w:val="22"/>
        </w:rPr>
        <w:t xml:space="preserve">Primero. </w:t>
      </w:r>
      <w:bookmarkStart w:id="1" w:name="_Hlk213842302"/>
      <w:r w:rsidRPr="000A1D2A">
        <w:rPr>
          <w:sz w:val="22"/>
        </w:rPr>
        <w:t xml:space="preserve">Estimar la solicitud de acceso a la información pública de </w:t>
      </w:r>
      <w:r w:rsidRPr="00823864">
        <w:rPr>
          <w:sz w:val="22"/>
        </w:rPr>
        <w:t xml:space="preserve">16 de octubre de 2025 </w:t>
      </w:r>
      <w:r>
        <w:rPr>
          <w:sz w:val="22"/>
        </w:rPr>
        <w:t xml:space="preserve">presentada por </w:t>
      </w:r>
      <w:proofErr w:type="spellStart"/>
      <w:r w:rsidRPr="003D1EE2">
        <w:rPr>
          <w:sz w:val="22"/>
          <w:highlight w:val="black"/>
        </w:rPr>
        <w:t>xxxxx</w:t>
      </w:r>
      <w:proofErr w:type="spellEnd"/>
      <w:r w:rsidRPr="00823864">
        <w:rPr>
          <w:sz w:val="22"/>
        </w:rPr>
        <w:t xml:space="preserve">, </w:t>
      </w:r>
      <w:r w:rsidRPr="000A1D2A">
        <w:rPr>
          <w:sz w:val="22"/>
        </w:rPr>
        <w:t xml:space="preserve">y facilitarle la </w:t>
      </w:r>
      <w:r>
        <w:rPr>
          <w:sz w:val="22"/>
        </w:rPr>
        <w:t xml:space="preserve">siguiente </w:t>
      </w:r>
      <w:r w:rsidRPr="000A1D2A">
        <w:rPr>
          <w:sz w:val="22"/>
        </w:rPr>
        <w:t>información</w:t>
      </w:r>
      <w:r>
        <w:rPr>
          <w:sz w:val="22"/>
        </w:rPr>
        <w:t>:</w:t>
      </w:r>
    </w:p>
    <w:p w14:paraId="05289C32" w14:textId="77777777" w:rsidR="003D1EE2" w:rsidRPr="007F4E4C" w:rsidRDefault="003D1EE2" w:rsidP="007F4E4C">
      <w:pPr>
        <w:pStyle w:val="Normal0"/>
        <w:numPr>
          <w:ilvl w:val="0"/>
          <w:numId w:val="5"/>
        </w:numPr>
        <w:tabs>
          <w:tab w:val="left" w:pos="422"/>
        </w:tabs>
        <w:spacing w:after="120"/>
        <w:ind w:left="422"/>
        <w:jc w:val="both"/>
        <w:rPr>
          <w:sz w:val="22"/>
        </w:rPr>
      </w:pPr>
      <w:r w:rsidRPr="007F4E4C">
        <w:rPr>
          <w:sz w:val="22"/>
        </w:rPr>
        <w:t xml:space="preserve">El Departamento de Cultura y Deporte de la Diputación Foral de Álava promueve desde el año 2022 convocatorias de subvenciones para realizar intervenciones de conservación y/o restauración del patrimonio </w:t>
      </w:r>
      <w:r w:rsidRPr="007F4E4C">
        <w:rPr>
          <w:sz w:val="22"/>
        </w:rPr>
        <w:lastRenderedPageBreak/>
        <w:t>cultural inmueble realizadas por particulares. Con anterioridad a esa fecha no se subvencionaban este tipo de intervenciones.</w:t>
      </w:r>
    </w:p>
    <w:p w14:paraId="01FCE7AF" w14:textId="77777777" w:rsidR="003D1EE2" w:rsidRPr="005365D7" w:rsidRDefault="003D1EE2" w:rsidP="000B30A1">
      <w:pPr>
        <w:pStyle w:val="Normal0"/>
        <w:numPr>
          <w:ilvl w:val="0"/>
          <w:numId w:val="5"/>
        </w:numPr>
        <w:tabs>
          <w:tab w:val="left" w:pos="422"/>
        </w:tabs>
        <w:spacing w:after="120"/>
        <w:ind w:left="422"/>
        <w:jc w:val="both"/>
        <w:rPr>
          <w:sz w:val="22"/>
        </w:rPr>
      </w:pPr>
      <w:r w:rsidRPr="007F4E4C">
        <w:rPr>
          <w:sz w:val="22"/>
        </w:rPr>
        <w:t>El detalle de las subvenciones concedidas a personas privadas para realizar intervenciones de conservación y/o restauración del patrimonio cultural inmueble está publicado en los siguientes números de BOTHA</w:t>
      </w:r>
      <w:r w:rsidRPr="005365D7">
        <w:rPr>
          <w:sz w:val="22"/>
        </w:rPr>
        <w:t>:</w:t>
      </w:r>
    </w:p>
    <w:p w14:paraId="5E50DCEB" w14:textId="77777777" w:rsidR="003D1EE2" w:rsidRDefault="003D1EE2" w:rsidP="000B30A1">
      <w:pPr>
        <w:pStyle w:val="Normal0"/>
        <w:numPr>
          <w:ilvl w:val="0"/>
          <w:numId w:val="6"/>
        </w:numPr>
        <w:tabs>
          <w:tab w:val="left" w:pos="422"/>
        </w:tabs>
        <w:spacing w:after="120"/>
        <w:ind w:left="989"/>
        <w:jc w:val="both"/>
        <w:rPr>
          <w:sz w:val="22"/>
        </w:rPr>
      </w:pPr>
      <w:r w:rsidRPr="005F6D4C">
        <w:rPr>
          <w:sz w:val="22"/>
        </w:rPr>
        <w:t>123</w:t>
      </w:r>
      <w:r>
        <w:rPr>
          <w:sz w:val="22"/>
        </w:rPr>
        <w:t xml:space="preserve">, </w:t>
      </w:r>
      <w:r w:rsidRPr="005F6D4C">
        <w:rPr>
          <w:sz w:val="22"/>
        </w:rPr>
        <w:t>viernes, 28 de octubre de 2022</w:t>
      </w:r>
      <w:r>
        <w:rPr>
          <w:sz w:val="22"/>
        </w:rPr>
        <w:t>.</w:t>
      </w:r>
    </w:p>
    <w:p w14:paraId="5F3813FD" w14:textId="77777777" w:rsidR="003D1EE2" w:rsidRPr="005F6D4C" w:rsidRDefault="003D1EE2" w:rsidP="000B30A1">
      <w:pPr>
        <w:pStyle w:val="Normal0"/>
        <w:numPr>
          <w:ilvl w:val="0"/>
          <w:numId w:val="6"/>
        </w:numPr>
        <w:tabs>
          <w:tab w:val="left" w:pos="422"/>
        </w:tabs>
        <w:spacing w:after="120"/>
        <w:ind w:left="989"/>
        <w:jc w:val="both"/>
        <w:rPr>
          <w:sz w:val="22"/>
        </w:rPr>
      </w:pPr>
      <w:r w:rsidRPr="005F6D4C">
        <w:rPr>
          <w:sz w:val="22"/>
        </w:rPr>
        <w:t>138</w:t>
      </w:r>
      <w:r>
        <w:rPr>
          <w:sz w:val="22"/>
        </w:rPr>
        <w:t xml:space="preserve">, </w:t>
      </w:r>
      <w:r w:rsidRPr="005F6D4C">
        <w:rPr>
          <w:sz w:val="22"/>
        </w:rPr>
        <w:t>viernes, 24 de noviembre de 2023</w:t>
      </w:r>
      <w:r>
        <w:rPr>
          <w:sz w:val="22"/>
        </w:rPr>
        <w:t>.</w:t>
      </w:r>
    </w:p>
    <w:p w14:paraId="0563C1FB" w14:textId="77777777" w:rsidR="003D1EE2" w:rsidRPr="005F6D4C" w:rsidRDefault="003D1EE2" w:rsidP="000B30A1">
      <w:pPr>
        <w:pStyle w:val="Normal0"/>
        <w:numPr>
          <w:ilvl w:val="0"/>
          <w:numId w:val="6"/>
        </w:numPr>
        <w:tabs>
          <w:tab w:val="left" w:pos="422"/>
        </w:tabs>
        <w:spacing w:after="120"/>
        <w:ind w:left="989"/>
        <w:jc w:val="both"/>
        <w:rPr>
          <w:sz w:val="22"/>
        </w:rPr>
      </w:pPr>
      <w:r w:rsidRPr="005F6D4C">
        <w:rPr>
          <w:sz w:val="22"/>
          <w:lang w:val="es-ES"/>
        </w:rPr>
        <w:t>122</w:t>
      </w:r>
      <w:r>
        <w:rPr>
          <w:sz w:val="22"/>
          <w:lang w:val="es-ES"/>
        </w:rPr>
        <w:t xml:space="preserve">, </w:t>
      </w:r>
      <w:r w:rsidRPr="005F6D4C">
        <w:rPr>
          <w:sz w:val="22"/>
          <w:lang w:val="es-ES"/>
        </w:rPr>
        <w:t>lunes, 27 de octubre de 2025</w:t>
      </w:r>
      <w:r>
        <w:rPr>
          <w:sz w:val="22"/>
          <w:lang w:val="es-ES"/>
        </w:rPr>
        <w:t>.</w:t>
      </w:r>
    </w:p>
    <w:p w14:paraId="5F157154" w14:textId="77777777" w:rsidR="003D1EE2" w:rsidRDefault="003D1EE2" w:rsidP="000B30A1">
      <w:pPr>
        <w:pStyle w:val="Normal0"/>
        <w:numPr>
          <w:ilvl w:val="0"/>
          <w:numId w:val="6"/>
        </w:numPr>
        <w:tabs>
          <w:tab w:val="left" w:pos="422"/>
        </w:tabs>
        <w:spacing w:after="120"/>
        <w:ind w:left="989"/>
        <w:jc w:val="both"/>
        <w:rPr>
          <w:sz w:val="22"/>
        </w:rPr>
      </w:pPr>
      <w:r w:rsidRPr="005F6D4C">
        <w:rPr>
          <w:sz w:val="22"/>
        </w:rPr>
        <w:t>121</w:t>
      </w:r>
      <w:r>
        <w:rPr>
          <w:sz w:val="22"/>
        </w:rPr>
        <w:t xml:space="preserve">, </w:t>
      </w:r>
      <w:r w:rsidRPr="005F6D4C">
        <w:rPr>
          <w:sz w:val="22"/>
        </w:rPr>
        <w:t>viernes, 24 de octubre de 2025</w:t>
      </w:r>
      <w:r>
        <w:rPr>
          <w:sz w:val="22"/>
        </w:rPr>
        <w:t>.</w:t>
      </w:r>
    </w:p>
    <w:p w14:paraId="54A997BA" w14:textId="77777777" w:rsidR="003D1EE2" w:rsidRPr="00BC2AC7" w:rsidRDefault="003D1EE2" w:rsidP="000B30A1">
      <w:pPr>
        <w:pStyle w:val="Normal0"/>
        <w:numPr>
          <w:ilvl w:val="0"/>
          <w:numId w:val="5"/>
        </w:numPr>
        <w:tabs>
          <w:tab w:val="left" w:pos="422"/>
        </w:tabs>
        <w:spacing w:after="120"/>
        <w:ind w:left="422"/>
        <w:jc w:val="both"/>
        <w:rPr>
          <w:sz w:val="22"/>
        </w:rPr>
      </w:pPr>
      <w:bookmarkStart w:id="2" w:name="_Hlk213842360"/>
      <w:bookmarkEnd w:id="1"/>
      <w:r>
        <w:rPr>
          <w:sz w:val="22"/>
        </w:rPr>
        <w:t xml:space="preserve">La Diputación Foral de Álava no está gestionando </w:t>
      </w:r>
      <w:r w:rsidRPr="005F6D4C">
        <w:rPr>
          <w:sz w:val="22"/>
        </w:rPr>
        <w:t>otras medidas de fomento para los titulares privados de bienes</w:t>
      </w:r>
      <w:r>
        <w:rPr>
          <w:sz w:val="22"/>
        </w:rPr>
        <w:t xml:space="preserve"> </w:t>
      </w:r>
      <w:r w:rsidRPr="00BC2AC7">
        <w:rPr>
          <w:sz w:val="22"/>
        </w:rPr>
        <w:t>integrantes del patrimonio cultural vasco</w:t>
      </w:r>
      <w:r>
        <w:rPr>
          <w:sz w:val="22"/>
        </w:rPr>
        <w:t xml:space="preserve"> </w:t>
      </w:r>
      <w:r w:rsidRPr="00BC2AC7">
        <w:rPr>
          <w:sz w:val="22"/>
        </w:rPr>
        <w:t>en el Territorio Histórico de Álava.</w:t>
      </w:r>
    </w:p>
    <w:bookmarkEnd w:id="2"/>
    <w:p w14:paraId="092EB036" w14:textId="77777777" w:rsidR="003D1EE2" w:rsidRPr="000B30A1" w:rsidRDefault="003D1EE2" w:rsidP="000B30A1">
      <w:pPr>
        <w:pStyle w:val="Normal0"/>
        <w:tabs>
          <w:tab w:val="left" w:pos="993"/>
        </w:tabs>
        <w:spacing w:after="120"/>
        <w:jc w:val="both"/>
        <w:rPr>
          <w:sz w:val="22"/>
        </w:rPr>
      </w:pPr>
      <w:r w:rsidRPr="000B30A1">
        <w:rPr>
          <w:sz w:val="22"/>
        </w:rPr>
        <w:t xml:space="preserve">Segundo. </w:t>
      </w:r>
      <w:r w:rsidRPr="000B30A1">
        <w:rPr>
          <w:sz w:val="22"/>
        </w:rPr>
        <w:t>Contra la presente resolución que pone fin a la vía administrativa, podrá interponerse recurso contencioso-administrativo en el plazo de dos meses o, previa y potestativamente, reclamación ante el Consejo de Gobierno Foral de Transparencia y Buen Gobierno en el plazo de un mes; en ambos casos, el plazo se contará desde el día siguiente al de la notificación de la presente resolución.</w:t>
      </w:r>
    </w:p>
    <w:p w14:paraId="5F2AC1D6" w14:textId="77777777" w:rsidR="003D1EE2" w:rsidRPr="0024407B" w:rsidRDefault="003D1EE2" w:rsidP="00DE3F4D">
      <w:pPr>
        <w:pStyle w:val="Normal0"/>
        <w:spacing w:before="240"/>
        <w:jc w:val="both"/>
        <w:rPr>
          <w:rFonts w:cs="Times New Roman"/>
          <w:sz w:val="22"/>
          <w:szCs w:val="22"/>
        </w:rPr>
      </w:pPr>
      <w:r w:rsidRPr="0024407B">
        <w:rPr>
          <w:rFonts w:cs="Times New Roman"/>
          <w:sz w:val="22"/>
          <w:szCs w:val="22"/>
        </w:rPr>
        <w:t>Vitoria-Gasteiz</w:t>
      </w:r>
      <w:r w:rsidRPr="0024407B">
        <w:rPr>
          <w:rFonts w:cs="Times New Roman"/>
          <w:sz w:val="22"/>
          <w:szCs w:val="22"/>
        </w:rPr>
        <w:t>.</w:t>
      </w:r>
    </w:p>
    <w:p w14:paraId="065B0DC1" w14:textId="77777777" w:rsidR="003D1EE2" w:rsidRPr="008543B5" w:rsidRDefault="003D1EE2" w:rsidP="000B30A1">
      <w:pPr>
        <w:pStyle w:val="Normal0"/>
        <w:spacing w:before="1440" w:after="60" w:line="240" w:lineRule="exact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María Inmaculada Sánchez Arbe</w:t>
      </w:r>
    </w:p>
    <w:p w14:paraId="6E2B64E0" w14:textId="77777777" w:rsidR="003D1EE2" w:rsidRDefault="003D1EE2" w:rsidP="000B30A1">
      <w:pPr>
        <w:pStyle w:val="Normal0"/>
        <w:spacing w:after="20"/>
      </w:pPr>
      <w:r>
        <w:rPr>
          <w:sz w:val="22"/>
          <w:szCs w:val="22"/>
          <w:lang w:val="es-ES"/>
        </w:rPr>
        <w:t>Directora de Cultura</w:t>
      </w:r>
    </w:p>
    <w:bookmarkEnd w:id="0"/>
    <w:p w14:paraId="11C9D552" w14:textId="77777777" w:rsidR="003D1EE2" w:rsidRDefault="003D1EE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7096CA8" w14:textId="77777777" w:rsidR="003D1EE2" w:rsidRDefault="003D1EE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F9A0F8C" w14:textId="77777777" w:rsidR="003D1EE2" w:rsidRDefault="003D1EE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4532F46" w14:textId="77777777" w:rsidR="003D1EE2" w:rsidRDefault="003D1EE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64959DC" w14:textId="77777777" w:rsidR="003D1EE2" w:rsidRDefault="003D1EE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709270F" w14:textId="77777777" w:rsidR="003D1EE2" w:rsidRDefault="003D1EE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52C57FE" w14:textId="77777777" w:rsidR="003D1EE2" w:rsidRDefault="003D1EE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71389A8A" w14:textId="77777777" w:rsidR="003D1EE2" w:rsidRDefault="003D1EE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38D9639" w14:textId="77777777" w:rsidR="003D1EE2" w:rsidRDefault="003D1EE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9C8C660" w14:textId="77777777" w:rsidR="003D1EE2" w:rsidRDefault="003D1EE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766F1728" w14:textId="77777777" w:rsidR="003D1EE2" w:rsidRDefault="003D1EE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ED841E9" w14:textId="77777777" w:rsidR="003D1EE2" w:rsidRDefault="003D1EE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9653C2B" w14:textId="77777777" w:rsidR="003D1EE2" w:rsidRDefault="003D1EE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BC2241F" w14:textId="77777777" w:rsidR="003D1EE2" w:rsidRDefault="003D1EE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1F0A5B0" w14:textId="77777777" w:rsidR="003D1EE2" w:rsidRDefault="003D1EE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810FE1E" w14:textId="77777777" w:rsidR="003D1EE2" w:rsidRDefault="003D1EE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EF1B30C" w14:textId="77777777" w:rsidR="003D1EE2" w:rsidRDefault="003D1EE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396E8749" w14:textId="77777777" w:rsidR="003D1EE2" w:rsidRDefault="003D1EE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048D0A3" w14:textId="77777777" w:rsidR="003D1EE2" w:rsidRPr="00663BA9" w:rsidRDefault="003D1EE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478E43D" w14:textId="77777777" w:rsidR="003D1EE2" w:rsidRPr="00663BA9" w:rsidRDefault="003D1EE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CD8EF00" w14:textId="77777777" w:rsidR="003D1EE2" w:rsidRPr="00663BA9" w:rsidRDefault="003D1EE2" w:rsidP="00663BA9">
      <w:pPr>
        <w:pStyle w:val="Textoindependiente"/>
        <w:spacing w:after="0"/>
        <w:rPr>
          <w:rFonts w:cs="Arial"/>
          <w:color w:val="4F81BD" w:themeColor="accent1"/>
          <w:sz w:val="16"/>
          <w:szCs w:val="16"/>
          <w:u w:val="single"/>
        </w:rPr>
      </w:pPr>
    </w:p>
    <w:p w14:paraId="5970702A" w14:textId="77777777" w:rsidR="003D1EE2" w:rsidRPr="008C7888" w:rsidRDefault="003D1EE2" w:rsidP="008D43A8">
      <w:pPr>
        <w:pStyle w:val="Textoindependiente"/>
        <w:spacing w:after="0"/>
        <w:rPr>
          <w:rFonts w:cs="Arial"/>
          <w:sz w:val="16"/>
          <w:szCs w:val="16"/>
        </w:rPr>
      </w:pPr>
    </w:p>
    <w:sectPr w:rsidR="00E47DB3" w:rsidRPr="008C7888" w:rsidSect="00E53B8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567" w:left="1134" w:header="284" w:footer="28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66A2F" w14:textId="77777777" w:rsidR="003D1EE2" w:rsidRDefault="003D1EE2">
      <w:r>
        <w:separator/>
      </w:r>
    </w:p>
  </w:endnote>
  <w:endnote w:type="continuationSeparator" w:id="0">
    <w:p w14:paraId="00777328" w14:textId="77777777" w:rsidR="003D1EE2" w:rsidRDefault="003D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4" w:space="0" w:color="808080" w:themeColor="background1" w:themeShade="80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9781"/>
    </w:tblGrid>
    <w:tr w:rsidR="00915DF1" w14:paraId="4DDD15E3" w14:textId="77777777" w:rsidTr="00E47DB3">
      <w:trPr>
        <w:trHeight w:val="567"/>
      </w:trPr>
      <w:tc>
        <w:tcPr>
          <w:tcW w:w="9921" w:type="dxa"/>
        </w:tcPr>
        <w:p w14:paraId="47E596F5" w14:textId="77777777" w:rsidR="003D1EE2" w:rsidRPr="00E47DB3" w:rsidRDefault="003D1EE2" w:rsidP="00E47DB3">
          <w:pPr>
            <w:pStyle w:val="Piedepgina"/>
            <w:jc w:val="right"/>
            <w:rPr>
              <w:rFonts w:ascii="Arial" w:hAnsi="Arial" w:cs="Arial"/>
            </w:rPr>
          </w:pPr>
          <w:r w:rsidRPr="00E47DB3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E47DB3">
            <w:rPr>
              <w:rFonts w:ascii="Arial" w:hAnsi="Arial" w:cs="Arial"/>
              <w:color w:val="808080"/>
              <w:sz w:val="16"/>
            </w:rPr>
            <w:instrText xml:space="preserve"> PAGE </w:instrTex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separate"/>
          </w:r>
          <w:r w:rsidRPr="00E47DB3">
            <w:rPr>
              <w:rFonts w:ascii="Arial" w:hAnsi="Arial" w:cs="Arial"/>
              <w:color w:val="808080"/>
              <w:sz w:val="16"/>
            </w:rPr>
            <w:t>3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end"/>
          </w:r>
          <w:r w:rsidRPr="00E47DB3">
            <w:rPr>
              <w:rFonts w:ascii="Arial" w:hAnsi="Arial" w:cs="Arial"/>
              <w:color w:val="808080"/>
              <w:sz w:val="16"/>
            </w:rPr>
            <w:t xml:space="preserve"> / 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E47DB3">
            <w:rPr>
              <w:rFonts w:ascii="Arial" w:hAnsi="Arial" w:cs="Arial"/>
              <w:color w:val="808080"/>
              <w:sz w:val="16"/>
            </w:rPr>
            <w:instrText xml:space="preserve"> NUMPAGES </w:instrTex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separate"/>
          </w:r>
          <w:r w:rsidRPr="00E47DB3">
            <w:rPr>
              <w:rFonts w:ascii="Arial" w:hAnsi="Arial" w:cs="Arial"/>
              <w:color w:val="808080"/>
              <w:sz w:val="16"/>
            </w:rPr>
            <w:t>3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end"/>
          </w:r>
        </w:p>
      </w:tc>
    </w:tr>
  </w:tbl>
  <w:p w14:paraId="359D79FC" w14:textId="77777777" w:rsidR="003D1EE2" w:rsidRDefault="003D1E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6EA6" w14:textId="77777777" w:rsidR="003D1EE2" w:rsidRPr="0013291F" w:rsidRDefault="003D1EE2" w:rsidP="00BE3C89">
    <w:pPr>
      <w:pBdr>
        <w:bottom w:val="single" w:sz="4" w:space="1" w:color="auto"/>
      </w:pBdr>
      <w:spacing w:line="180" w:lineRule="exact"/>
      <w:rPr>
        <w:sz w:val="22"/>
      </w:rPr>
    </w:pPr>
    <w:r w:rsidRPr="0013291F">
      <w:rPr>
        <w:rFonts w:ascii="Arial" w:hAnsi="Arial"/>
        <w:noProof/>
        <w:color w:val="000000"/>
        <w:sz w:val="14"/>
      </w:rPr>
      <w:t>CORE01</w: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3"/>
      <w:gridCol w:w="3118"/>
      <w:gridCol w:w="2268"/>
    </w:tblGrid>
    <w:tr w:rsidR="00915DF1" w14:paraId="4B3E3DF8" w14:textId="77777777" w:rsidTr="005C6341">
      <w:trPr>
        <w:trHeight w:val="433"/>
      </w:trPr>
      <w:tc>
        <w:tcPr>
          <w:tcW w:w="4323" w:type="dxa"/>
        </w:tcPr>
        <w:p w14:paraId="34A99851" w14:textId="77777777" w:rsidR="003D1EE2" w:rsidRPr="0013291F" w:rsidRDefault="003D1EE2" w:rsidP="005C6341">
          <w:pPr>
            <w:pStyle w:val="Textoindependiente"/>
            <w:spacing w:after="113" w:line="220" w:lineRule="exact"/>
            <w:ind w:left="11"/>
            <w:jc w:val="left"/>
            <w:rPr>
              <w:rFonts w:cs="Arial"/>
              <w:b/>
              <w:sz w:val="16"/>
              <w:szCs w:val="16"/>
            </w:rPr>
          </w:pPr>
          <w:r w:rsidRPr="0013291F">
            <w:rPr>
              <w:rFonts w:cs="Arial"/>
              <w:b/>
              <w:sz w:val="16"/>
              <w:szCs w:val="16"/>
            </w:rPr>
            <w:t>Berdintasun, Euskara eta Gobernantza Saila</w:t>
          </w:r>
        </w:p>
        <w:p w14:paraId="6945363D" w14:textId="77777777" w:rsidR="003D1EE2" w:rsidRPr="0013291F" w:rsidRDefault="003D1EE2" w:rsidP="005C6341">
          <w:pPr>
            <w:pStyle w:val="Textoindependiente"/>
            <w:spacing w:after="113" w:line="220" w:lineRule="exact"/>
            <w:ind w:left="11"/>
            <w:jc w:val="left"/>
            <w:rPr>
              <w:rFonts w:cs="Arial"/>
              <w:sz w:val="16"/>
              <w:szCs w:val="16"/>
            </w:rPr>
          </w:pPr>
          <w:r w:rsidRPr="0013291F">
            <w:rPr>
              <w:rFonts w:cs="Arial"/>
              <w:b/>
              <w:sz w:val="16"/>
              <w:szCs w:val="16"/>
            </w:rPr>
            <w:t>Departamento de Igualdad, Euskera y Gobernanza</w:t>
          </w:r>
        </w:p>
      </w:tc>
      <w:tc>
        <w:tcPr>
          <w:tcW w:w="3118" w:type="dxa"/>
        </w:tcPr>
        <w:p w14:paraId="1F3EA1B2" w14:textId="77777777" w:rsidR="003D1EE2" w:rsidRPr="0013291F" w:rsidRDefault="003D1EE2" w:rsidP="005C6341">
          <w:pPr>
            <w:pStyle w:val="Textoindependiente"/>
            <w:spacing w:before="20" w:after="70" w:line="200" w:lineRule="exact"/>
            <w:ind w:left="40"/>
            <w:jc w:val="left"/>
            <w:rPr>
              <w:rFonts w:cs="Arial"/>
              <w:sz w:val="16"/>
              <w:szCs w:val="16"/>
            </w:rPr>
          </w:pPr>
          <w:r w:rsidRPr="0013291F">
            <w:rPr>
              <w:rFonts w:cs="Arial"/>
              <w:sz w:val="16"/>
              <w:szCs w:val="16"/>
            </w:rPr>
            <w:t>Euskararen eta Gobernu Irekiaren Zuzendaritza</w:t>
          </w:r>
        </w:p>
        <w:p w14:paraId="40CDF3D8" w14:textId="77777777" w:rsidR="003D1EE2" w:rsidRPr="0013291F" w:rsidRDefault="003D1EE2" w:rsidP="005C6341">
          <w:pPr>
            <w:pStyle w:val="Textoindependiente"/>
            <w:spacing w:before="20" w:after="70" w:line="200" w:lineRule="exact"/>
            <w:ind w:left="40"/>
            <w:jc w:val="left"/>
            <w:rPr>
              <w:rFonts w:cs="Arial"/>
              <w:sz w:val="16"/>
              <w:szCs w:val="16"/>
            </w:rPr>
          </w:pPr>
          <w:r w:rsidRPr="0013291F">
            <w:rPr>
              <w:rFonts w:cs="Arial"/>
              <w:sz w:val="16"/>
              <w:szCs w:val="16"/>
            </w:rPr>
            <w:t>Dirección de Euskera y Gobierno Abierto</w:t>
          </w:r>
        </w:p>
      </w:tc>
      <w:tc>
        <w:tcPr>
          <w:tcW w:w="2268" w:type="dxa"/>
        </w:tcPr>
        <w:p w14:paraId="38107891" w14:textId="77777777" w:rsidR="003D1EE2" w:rsidRPr="0013291F" w:rsidRDefault="003D1EE2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noProof/>
              <w:sz w:val="14"/>
              <w:szCs w:val="14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 xml:space="preserve">Probintzia plaza, </w:t>
          </w:r>
        </w:p>
        <w:p w14:paraId="6AEE1702" w14:textId="77777777" w:rsidR="003D1EE2" w:rsidRPr="0013291F" w:rsidRDefault="003D1EE2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noProof/>
              <w:sz w:val="14"/>
              <w:szCs w:val="14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 xml:space="preserve">01001 </w:t>
          </w:r>
          <w:r w:rsidRPr="0013291F">
            <w:rPr>
              <w:rFonts w:ascii="Arial" w:hAnsi="Arial" w:cs="Arial"/>
              <w:noProof/>
              <w:sz w:val="14"/>
              <w:szCs w:val="14"/>
            </w:rPr>
            <w:t>Vitoria-Gasteiz</w:t>
          </w:r>
        </w:p>
        <w:p w14:paraId="4AF59ABE" w14:textId="77777777" w:rsidR="003D1EE2" w:rsidRPr="0013291F" w:rsidRDefault="003D1EE2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sz w:val="22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>Tel.: 945 18 18 18</w:t>
          </w:r>
          <w:r w:rsidRPr="0013291F">
            <w:rPr>
              <w:rFonts w:ascii="Arial" w:hAnsi="Arial" w:cs="Arial"/>
              <w:noProof/>
              <w:sz w:val="14"/>
              <w:szCs w:val="14"/>
            </w:rPr>
            <w:br/>
            <w:t>Fax: 945 18 19 47</w:t>
          </w:r>
        </w:p>
      </w:tc>
    </w:tr>
  </w:tbl>
  <w:p w14:paraId="2DDC2FDB" w14:textId="77777777" w:rsidR="003D1EE2" w:rsidRPr="00BE3C89" w:rsidRDefault="003D1EE2" w:rsidP="00BE3C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DD11" w14:textId="77777777" w:rsidR="003D1EE2" w:rsidRDefault="003D1EE2">
      <w:r>
        <w:separator/>
      </w:r>
    </w:p>
  </w:footnote>
  <w:footnote w:type="continuationSeparator" w:id="0">
    <w:p w14:paraId="63B10D87" w14:textId="77777777" w:rsidR="003D1EE2" w:rsidRDefault="003D1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851"/>
      <w:gridCol w:w="4536"/>
    </w:tblGrid>
    <w:tr w:rsidR="00915DF1" w14:paraId="4F9D6BA0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131F05F4" w14:textId="77777777" w:rsidR="003D1EE2" w:rsidRDefault="003D1EE2" w:rsidP="0078412B">
          <w:pPr>
            <w:pStyle w:val="Encabezado"/>
          </w:pPr>
        </w:p>
      </w:tc>
      <w:tc>
        <w:tcPr>
          <w:tcW w:w="851" w:type="dxa"/>
          <w:vMerge w:val="restart"/>
          <w:vAlign w:val="center"/>
        </w:tcPr>
        <w:p w14:paraId="28341993" w14:textId="77777777" w:rsidR="003D1EE2" w:rsidRDefault="003D1EE2" w:rsidP="0078412B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7C320C2C" wp14:editId="2709F636">
                <wp:extent cx="428625" cy="428625"/>
                <wp:effectExtent l="19050" t="0" r="9525" b="0"/>
                <wp:docPr id="2" name="Imagen 2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71C5E2DF" w14:textId="77777777" w:rsidR="003D1EE2" w:rsidRDefault="003D1EE2" w:rsidP="0078412B">
          <w:pPr>
            <w:pStyle w:val="Encabezado"/>
          </w:pPr>
        </w:p>
      </w:tc>
    </w:tr>
    <w:tr w:rsidR="00915DF1" w14:paraId="54FE0D43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6536BCDA" w14:textId="77777777" w:rsidR="003D1EE2" w:rsidRDefault="003D1EE2" w:rsidP="0078412B">
          <w:pPr>
            <w:pStyle w:val="Encabezado"/>
          </w:pPr>
        </w:p>
      </w:tc>
      <w:tc>
        <w:tcPr>
          <w:tcW w:w="851" w:type="dxa"/>
          <w:vMerge/>
          <w:vAlign w:val="center"/>
        </w:tcPr>
        <w:p w14:paraId="7FF7EE54" w14:textId="77777777" w:rsidR="003D1EE2" w:rsidRDefault="003D1EE2" w:rsidP="0078412B">
          <w:pPr>
            <w:pStyle w:val="Encabezado"/>
            <w:jc w:val="center"/>
          </w:pPr>
        </w:p>
      </w:tc>
      <w:tc>
        <w:tcPr>
          <w:tcW w:w="4536" w:type="dxa"/>
          <w:vAlign w:val="center"/>
        </w:tcPr>
        <w:p w14:paraId="657F055F" w14:textId="77777777" w:rsidR="003D1EE2" w:rsidRDefault="003D1EE2" w:rsidP="0078412B">
          <w:pPr>
            <w:pStyle w:val="Encabezado"/>
          </w:pPr>
        </w:p>
      </w:tc>
    </w:tr>
  </w:tbl>
  <w:p w14:paraId="314FB7EE" w14:textId="77777777" w:rsidR="003D1EE2" w:rsidRPr="0013766D" w:rsidRDefault="003D1EE2">
    <w:pPr>
      <w:pStyle w:val="Encabezado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969"/>
      <w:gridCol w:w="5954"/>
    </w:tblGrid>
    <w:tr w:rsidR="00915DF1" w14:paraId="46DC5DA4" w14:textId="77777777" w:rsidTr="001F2BE9">
      <w:trPr>
        <w:trHeight w:val="2041"/>
      </w:trPr>
      <w:tc>
        <w:tcPr>
          <w:tcW w:w="3969" w:type="dxa"/>
        </w:tcPr>
        <w:p w14:paraId="2124B8E2" w14:textId="77777777" w:rsidR="003D1EE2" w:rsidRPr="007F2571" w:rsidRDefault="003D1EE2" w:rsidP="00470015">
          <w:pPr>
            <w:pStyle w:val="Encabezado"/>
            <w:rPr>
              <w:noProof/>
              <w:sz w:val="16"/>
              <w:szCs w:val="16"/>
              <w:lang w:val="es-ES"/>
            </w:rPr>
          </w:pPr>
          <w:r>
            <w:rPr>
              <w:rFonts w:ascii="Arial" w:hAnsi="Arial" w:cs="Arial"/>
              <w:i/>
              <w:noProof/>
              <w:color w:val="000000" w:themeColor="text1"/>
              <w:sz w:val="12"/>
              <w:szCs w:val="12"/>
              <w:lang w:val="es-ES"/>
            </w:rPr>
            <w:drawing>
              <wp:inline distT="0" distB="0" distL="0" distR="0" wp14:anchorId="443743C4" wp14:editId="172FA15A">
                <wp:extent cx="1566000" cy="1292335"/>
                <wp:effectExtent l="0" t="0" r="0" b="3175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AFA-Not-Eus-0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1292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14:paraId="18D569E1" w14:textId="77777777" w:rsidR="003D1EE2" w:rsidRDefault="003D1EE2" w:rsidP="00470015">
          <w:pPr>
            <w:pStyle w:val="Piedepgina"/>
            <w:rPr>
              <w:rFonts w:ascii="Arial" w:hAnsi="Arial" w:cs="Arial"/>
              <w:b/>
              <w:bCs/>
              <w:color w:val="808080" w:themeColor="background1" w:themeShade="80"/>
              <w:sz w:val="12"/>
              <w:szCs w:val="12"/>
              <w:lang w:val="es-ES"/>
            </w:rPr>
          </w:pPr>
        </w:p>
        <w:p w14:paraId="4E4BA3EB" w14:textId="77777777" w:rsidR="003D1EE2" w:rsidRPr="000B6392" w:rsidRDefault="003D1EE2" w:rsidP="00470015">
          <w:pPr>
            <w:pStyle w:val="Encabezado"/>
            <w:rPr>
              <w:rFonts w:ascii="Arial" w:hAnsi="Arial" w:cs="Arial"/>
              <w:b/>
              <w:color w:val="808080" w:themeColor="background1" w:themeShade="80"/>
              <w:sz w:val="16"/>
              <w:szCs w:val="16"/>
            </w:rPr>
          </w:pPr>
        </w:p>
      </w:tc>
    </w:tr>
  </w:tbl>
  <w:p w14:paraId="0F012C4E" w14:textId="77777777" w:rsidR="003D1EE2" w:rsidRPr="0013766D" w:rsidRDefault="003D1EE2" w:rsidP="007D03F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30D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B677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9B06D9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AAC21F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AAC21F8"/>
    <w:multiLevelType w:val="hybridMultilevel"/>
    <w:tmpl w:val="EC840F2E"/>
    <w:lvl w:ilvl="0" w:tplc="A0509E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11CB528" w:tentative="1">
      <w:start w:val="1"/>
      <w:numFmt w:val="lowerLetter"/>
      <w:lvlText w:val="%2."/>
      <w:lvlJc w:val="left"/>
      <w:pPr>
        <w:ind w:left="1440" w:hanging="360"/>
      </w:pPr>
    </w:lvl>
    <w:lvl w:ilvl="2" w:tplc="43B4B232" w:tentative="1">
      <w:start w:val="1"/>
      <w:numFmt w:val="lowerRoman"/>
      <w:lvlText w:val="%3."/>
      <w:lvlJc w:val="right"/>
      <w:pPr>
        <w:ind w:left="2160" w:hanging="180"/>
      </w:pPr>
    </w:lvl>
    <w:lvl w:ilvl="3" w:tplc="A20AE5AE" w:tentative="1">
      <w:start w:val="1"/>
      <w:numFmt w:val="decimal"/>
      <w:lvlText w:val="%4."/>
      <w:lvlJc w:val="left"/>
      <w:pPr>
        <w:ind w:left="2880" w:hanging="360"/>
      </w:pPr>
    </w:lvl>
    <w:lvl w:ilvl="4" w:tplc="F0D6D96E" w:tentative="1">
      <w:start w:val="1"/>
      <w:numFmt w:val="lowerLetter"/>
      <w:lvlText w:val="%5."/>
      <w:lvlJc w:val="left"/>
      <w:pPr>
        <w:ind w:left="3600" w:hanging="360"/>
      </w:pPr>
    </w:lvl>
    <w:lvl w:ilvl="5" w:tplc="D15655BA" w:tentative="1">
      <w:start w:val="1"/>
      <w:numFmt w:val="lowerRoman"/>
      <w:lvlText w:val="%6."/>
      <w:lvlJc w:val="right"/>
      <w:pPr>
        <w:ind w:left="4320" w:hanging="180"/>
      </w:pPr>
    </w:lvl>
    <w:lvl w:ilvl="6" w:tplc="334433B8" w:tentative="1">
      <w:start w:val="1"/>
      <w:numFmt w:val="decimal"/>
      <w:lvlText w:val="%7."/>
      <w:lvlJc w:val="left"/>
      <w:pPr>
        <w:ind w:left="5040" w:hanging="360"/>
      </w:pPr>
    </w:lvl>
    <w:lvl w:ilvl="7" w:tplc="6A70E72E" w:tentative="1">
      <w:start w:val="1"/>
      <w:numFmt w:val="lowerLetter"/>
      <w:lvlText w:val="%8."/>
      <w:lvlJc w:val="left"/>
      <w:pPr>
        <w:ind w:left="5760" w:hanging="360"/>
      </w:pPr>
    </w:lvl>
    <w:lvl w:ilvl="8" w:tplc="6C2C7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C21F9"/>
    <w:multiLevelType w:val="hybridMultilevel"/>
    <w:tmpl w:val="7F902128"/>
    <w:lvl w:ilvl="0" w:tplc="5DCA6654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F9D28EBA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E1366778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EBBE69AA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F612BA08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39389392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EFA4102A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9E7451EC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2F86AE76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num w:numId="1" w16cid:durableId="1427269022">
    <w:abstractNumId w:val="0"/>
  </w:num>
  <w:num w:numId="2" w16cid:durableId="1875650076">
    <w:abstractNumId w:val="2"/>
  </w:num>
  <w:num w:numId="3" w16cid:durableId="1492871786">
    <w:abstractNumId w:val="1"/>
  </w:num>
  <w:num w:numId="4" w16cid:durableId="654069993">
    <w:abstractNumId w:val="3"/>
  </w:num>
  <w:num w:numId="5" w16cid:durableId="1880506958">
    <w:abstractNumId w:val="4"/>
  </w:num>
  <w:num w:numId="6" w16cid:durableId="1526483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DF1"/>
    <w:rsid w:val="002E422B"/>
    <w:rsid w:val="003D1EE2"/>
    <w:rsid w:val="00915DF1"/>
    <w:rsid w:val="00F35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35141"/>
  <w15:docId w15:val="{52E6833F-03FE-49E3-9C12-4AB3D51A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F13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807F13"/>
    <w:pPr>
      <w:keepNext/>
      <w:tabs>
        <w:tab w:val="left" w:pos="1702"/>
        <w:tab w:val="left" w:pos="4253"/>
        <w:tab w:val="left" w:pos="5104"/>
        <w:tab w:val="left" w:pos="5812"/>
      </w:tabs>
      <w:spacing w:after="120"/>
      <w:ind w:firstLine="851"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807F13"/>
    <w:pPr>
      <w:keepNext/>
      <w:tabs>
        <w:tab w:val="left" w:pos="1560"/>
      </w:tabs>
      <w:ind w:right="-780"/>
      <w:outlineLvl w:val="1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ar"/>
    <w:qFormat/>
    <w:rsid w:val="00913835"/>
    <w:pPr>
      <w:keepNext/>
      <w:tabs>
        <w:tab w:val="left" w:pos="-851"/>
      </w:tabs>
      <w:spacing w:after="240"/>
      <w:jc w:val="both"/>
      <w:outlineLvl w:val="4"/>
    </w:pPr>
    <w:rPr>
      <w:rFonts w:ascii="Times New Roman" w:hAnsi="Times New Roman"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807F13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semiHidden/>
    <w:rsid w:val="00807F13"/>
    <w:pPr>
      <w:tabs>
        <w:tab w:val="center" w:pos="4819"/>
        <w:tab w:val="right" w:pos="9071"/>
      </w:tabs>
    </w:pPr>
  </w:style>
  <w:style w:type="paragraph" w:customStyle="1" w:styleId="membrete">
    <w:name w:val="membrete"/>
    <w:basedOn w:val="Normal"/>
    <w:rsid w:val="00807F13"/>
    <w:pPr>
      <w:framePr w:hSpace="142" w:vSpace="142" w:wrap="auto" w:hAnchor="margin" w:xAlign="center"/>
      <w:jc w:val="right"/>
    </w:pPr>
    <w:rPr>
      <w:rFonts w:ascii="Helv" w:hAnsi="Helv"/>
      <w:sz w:val="14"/>
    </w:rPr>
  </w:style>
  <w:style w:type="paragraph" w:customStyle="1" w:styleId="membretei">
    <w:name w:val="membretei"/>
    <w:basedOn w:val="membrete"/>
    <w:rsid w:val="00807F13"/>
    <w:pPr>
      <w:framePr w:hSpace="0" w:vSpace="0" w:wrap="auto" w:hAnchor="text" w:xAlign="left"/>
      <w:spacing w:after="96"/>
    </w:pPr>
  </w:style>
  <w:style w:type="paragraph" w:customStyle="1" w:styleId="membreted">
    <w:name w:val="membreted"/>
    <w:basedOn w:val="Normal"/>
    <w:rsid w:val="00807F13"/>
    <w:rPr>
      <w:rFonts w:ascii="Helv" w:hAnsi="Helv"/>
      <w:b/>
      <w:sz w:val="18"/>
    </w:rPr>
  </w:style>
  <w:style w:type="paragraph" w:styleId="Sangradetextonormal">
    <w:name w:val="Body Text Indent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before="480" w:after="120"/>
      <w:ind w:firstLine="851"/>
    </w:pPr>
  </w:style>
  <w:style w:type="paragraph" w:styleId="Sangra2detindependiente">
    <w:name w:val="Body Text Indent 2"/>
    <w:basedOn w:val="Normal"/>
    <w:semiHidden/>
    <w:rsid w:val="00807F13"/>
    <w:pPr>
      <w:tabs>
        <w:tab w:val="left" w:pos="1702"/>
      </w:tabs>
      <w:ind w:right="-638" w:firstLine="851"/>
    </w:pPr>
  </w:style>
  <w:style w:type="paragraph" w:styleId="Sangra3detindependiente">
    <w:name w:val="Body Text Indent 3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after="120"/>
      <w:ind w:left="851"/>
    </w:pPr>
  </w:style>
  <w:style w:type="paragraph" w:styleId="Textoindependiente">
    <w:name w:val="Body Text"/>
    <w:basedOn w:val="Normal"/>
    <w:semiHidden/>
    <w:rsid w:val="00807F13"/>
    <w:pPr>
      <w:spacing w:after="240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5F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F61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05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F2571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913835"/>
    <w:rPr>
      <w:rFonts w:ascii="Times New Roman" w:hAnsi="Times New Roman"/>
      <w:sz w:val="22"/>
      <w:u w:val="single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DF3AA4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semiHidden/>
    <w:rsid w:val="00E72518"/>
    <w:rPr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semiHidden/>
    <w:rsid w:val="00E72518"/>
    <w:rPr>
      <w:sz w:val="24"/>
      <w:lang w:val="es-ES_tradnl"/>
    </w:rPr>
  </w:style>
  <w:style w:type="paragraph" w:customStyle="1" w:styleId="Heading20">
    <w:name w:val="Heading 2_0"/>
    <w:basedOn w:val="Normal0"/>
    <w:next w:val="Normal0"/>
    <w:link w:val="Ttulo2Car"/>
    <w:qFormat/>
    <w:rsid w:val="00234E28"/>
    <w:pPr>
      <w:keepNext/>
      <w:jc w:val="both"/>
      <w:outlineLvl w:val="1"/>
    </w:pPr>
    <w:rPr>
      <w:b/>
      <w:sz w:val="22"/>
      <w:lang w:eastAsia="en-US"/>
    </w:rPr>
  </w:style>
  <w:style w:type="paragraph" w:customStyle="1" w:styleId="Normal0">
    <w:name w:val="Normal_0"/>
    <w:qFormat/>
    <w:rsid w:val="00234E28"/>
    <w:rPr>
      <w:rFonts w:ascii="Times New Roman" w:hAnsi="Times New Roman" w:cs="Wingdings"/>
      <w:lang w:val="es-ES_tradnl" w:bidi="or-IN"/>
    </w:rPr>
  </w:style>
  <w:style w:type="character" w:customStyle="1" w:styleId="Ttulo2Car">
    <w:name w:val="Título 2 Car"/>
    <w:basedOn w:val="Fuentedeprrafopredeter"/>
    <w:link w:val="Heading20"/>
    <w:rsid w:val="00234E28"/>
    <w:rPr>
      <w:rFonts w:ascii="Times New Roman" w:eastAsia="Times New Roman" w:hAnsi="Times New Roman" w:cs="Wingdings"/>
      <w:b/>
      <w:szCs w:val="20"/>
      <w:lang w:val="es-ES_tradnl" w:eastAsia="es-ES" w:bidi="or-IN"/>
    </w:rPr>
  </w:style>
  <w:style w:type="paragraph" w:customStyle="1" w:styleId="BodyText0">
    <w:name w:val="Body Text_0"/>
    <w:basedOn w:val="Normal0"/>
    <w:link w:val="TextoindependienteCar"/>
    <w:semiHidden/>
    <w:rsid w:val="00234E28"/>
    <w:pPr>
      <w:widowControl w:val="0"/>
      <w:tabs>
        <w:tab w:val="left" w:pos="1418"/>
      </w:tabs>
      <w:spacing w:after="240"/>
      <w:jc w:val="both"/>
    </w:pPr>
    <w:rPr>
      <w:sz w:val="21"/>
      <w:lang w:eastAsia="en-US"/>
    </w:rPr>
  </w:style>
  <w:style w:type="character" w:customStyle="1" w:styleId="TextoindependienteCar">
    <w:name w:val="Texto independiente Car"/>
    <w:basedOn w:val="Fuentedeprrafopredeter"/>
    <w:link w:val="BodyText0"/>
    <w:semiHidden/>
    <w:rsid w:val="00234E28"/>
    <w:rPr>
      <w:rFonts w:ascii="Times New Roman" w:eastAsia="Times New Roman" w:hAnsi="Times New Roman" w:cs="Wingdings"/>
      <w:sz w:val="21"/>
      <w:szCs w:val="20"/>
      <w:lang w:val="es-ES_tradnl" w:eastAsia="es-ES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aganzabal\Desktop\POLICIA\PLANTILLAS\OPPP_PCCOMU01_COM_Autoriz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1887F-D0B2-409C-95F6-9B4917D38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OPPP_PCCOMU01_COM_Autorizacion.dotx</Template>
  <TotalTime>2</TotalTime>
  <Pages>2</Pages>
  <Words>613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autorización</vt:lpstr>
    </vt:vector>
  </TitlesOfParts>
  <Company>Estudios GiS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autorización</dc:title>
  <dc:subject>Permisos de policía</dc:subject>
  <dc:creator>DFA</dc:creator>
  <cp:lastModifiedBy>Urien Salterain, Karoline</cp:lastModifiedBy>
  <cp:revision>3</cp:revision>
  <cp:lastPrinted>2015-02-16T14:04:00Z</cp:lastPrinted>
  <dcterms:created xsi:type="dcterms:W3CDTF">2026-01-09T12:44:00Z</dcterms:created>
  <dcterms:modified xsi:type="dcterms:W3CDTF">2026-01-09T12:46:00Z</dcterms:modified>
</cp:coreProperties>
</file>