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B64FF9" w14:paraId="52D0C3C6" w14:textId="77777777" w:rsidTr="00EE0139">
        <w:trPr>
          <w:gridAfter w:val="1"/>
          <w:wAfter w:w="285" w:type="dxa"/>
          <w:trHeight w:val="168"/>
        </w:trPr>
        <w:tc>
          <w:tcPr>
            <w:tcW w:w="4253" w:type="dxa"/>
            <w:shd w:val="clear" w:color="auto" w:fill="auto"/>
            <w:vAlign w:val="bottom"/>
          </w:tcPr>
          <w:p w14:paraId="0ECF28F1" w14:textId="77777777" w:rsidR="007F068D" w:rsidRPr="005D24EE" w:rsidRDefault="007F068D" w:rsidP="005C6341">
            <w:pPr>
              <w:rPr>
                <w:rFonts w:ascii="Arial" w:hAnsi="Arial" w:cs="Arial"/>
                <w:b/>
                <w:color w:val="000000" w:themeColor="text1"/>
                <w:sz w:val="12"/>
                <w:szCs w:val="12"/>
              </w:rPr>
            </w:pPr>
          </w:p>
        </w:tc>
        <w:tc>
          <w:tcPr>
            <w:tcW w:w="283" w:type="dxa"/>
          </w:tcPr>
          <w:p w14:paraId="3C624D1D" w14:textId="77777777" w:rsidR="007F068D" w:rsidRPr="00DF0910" w:rsidRDefault="007F068D" w:rsidP="005C6341">
            <w:pPr>
              <w:rPr>
                <w:rFonts w:ascii="Arial" w:hAnsi="Arial" w:cs="Arial"/>
                <w:color w:val="000000" w:themeColor="text1"/>
                <w:sz w:val="12"/>
                <w:szCs w:val="12"/>
              </w:rPr>
            </w:pPr>
          </w:p>
        </w:tc>
        <w:tc>
          <w:tcPr>
            <w:tcW w:w="5103" w:type="dxa"/>
            <w:gridSpan w:val="3"/>
            <w:vMerge w:val="restart"/>
            <w:shd w:val="clear" w:color="auto" w:fill="auto"/>
          </w:tcPr>
          <w:p w14:paraId="31FD05B5" w14:textId="2602DE9D" w:rsidR="007F068D" w:rsidRPr="00D76AF9" w:rsidRDefault="007F068D" w:rsidP="00FE3E62">
            <w:pPr>
              <w:spacing w:after="60"/>
              <w:rPr>
                <w:rFonts w:ascii="Arial" w:hAnsi="Arial" w:cs="Arial"/>
                <w:b/>
                <w:noProof/>
                <w:color w:val="000000"/>
                <w:sz w:val="16"/>
                <w:szCs w:val="16"/>
              </w:rPr>
            </w:pPr>
          </w:p>
        </w:tc>
      </w:tr>
      <w:tr w:rsidR="00B64FF9" w14:paraId="42204E4A" w14:textId="77777777" w:rsidTr="00EE0139">
        <w:trPr>
          <w:gridAfter w:val="1"/>
          <w:wAfter w:w="285" w:type="dxa"/>
          <w:trHeight w:val="168"/>
        </w:trPr>
        <w:tc>
          <w:tcPr>
            <w:tcW w:w="4253" w:type="dxa"/>
            <w:shd w:val="clear" w:color="auto" w:fill="auto"/>
            <w:vAlign w:val="bottom"/>
          </w:tcPr>
          <w:p w14:paraId="2DF366A9" w14:textId="77777777" w:rsidR="007F068D" w:rsidRPr="005D24EE" w:rsidRDefault="007F068D" w:rsidP="005C6341">
            <w:pPr>
              <w:rPr>
                <w:rFonts w:ascii="Arial" w:hAnsi="Arial" w:cs="Arial"/>
                <w:b/>
                <w:color w:val="000000" w:themeColor="text1"/>
                <w:sz w:val="12"/>
                <w:szCs w:val="12"/>
              </w:rPr>
            </w:pPr>
          </w:p>
        </w:tc>
        <w:tc>
          <w:tcPr>
            <w:tcW w:w="283" w:type="dxa"/>
          </w:tcPr>
          <w:p w14:paraId="6DB6322A" w14:textId="77777777" w:rsidR="007F068D" w:rsidRPr="00DF0910" w:rsidRDefault="007F068D" w:rsidP="005C6341">
            <w:pPr>
              <w:rPr>
                <w:rFonts w:ascii="Arial" w:hAnsi="Arial" w:cs="Arial"/>
                <w:color w:val="000000" w:themeColor="text1"/>
                <w:sz w:val="12"/>
                <w:szCs w:val="12"/>
              </w:rPr>
            </w:pPr>
          </w:p>
        </w:tc>
        <w:tc>
          <w:tcPr>
            <w:tcW w:w="5103" w:type="dxa"/>
            <w:gridSpan w:val="3"/>
            <w:vMerge/>
            <w:shd w:val="clear" w:color="auto" w:fill="auto"/>
          </w:tcPr>
          <w:p w14:paraId="01AF6E1F" w14:textId="77777777" w:rsidR="007F068D" w:rsidRPr="00D76AF9" w:rsidRDefault="007F068D" w:rsidP="005C6341">
            <w:pPr>
              <w:rPr>
                <w:rFonts w:ascii="Arial" w:hAnsi="Arial" w:cs="Arial"/>
                <w:b/>
                <w:noProof/>
                <w:color w:val="000000"/>
                <w:sz w:val="16"/>
                <w:szCs w:val="16"/>
              </w:rPr>
            </w:pPr>
          </w:p>
        </w:tc>
      </w:tr>
      <w:tr w:rsidR="00B64FF9" w14:paraId="21345209" w14:textId="77777777" w:rsidTr="00EE0139">
        <w:trPr>
          <w:gridAfter w:val="1"/>
          <w:wAfter w:w="285" w:type="dxa"/>
          <w:trHeight w:val="168"/>
        </w:trPr>
        <w:tc>
          <w:tcPr>
            <w:tcW w:w="4253" w:type="dxa"/>
            <w:shd w:val="clear" w:color="auto" w:fill="auto"/>
            <w:vAlign w:val="bottom"/>
          </w:tcPr>
          <w:p w14:paraId="6C683B1C" w14:textId="77777777" w:rsidR="007F068D" w:rsidRPr="005D24EE" w:rsidRDefault="007F068D" w:rsidP="005C6341">
            <w:pPr>
              <w:rPr>
                <w:rFonts w:ascii="Arial" w:hAnsi="Arial" w:cs="Arial"/>
                <w:b/>
                <w:color w:val="000000" w:themeColor="text1"/>
                <w:sz w:val="12"/>
                <w:szCs w:val="12"/>
              </w:rPr>
            </w:pPr>
          </w:p>
        </w:tc>
        <w:tc>
          <w:tcPr>
            <w:tcW w:w="283" w:type="dxa"/>
          </w:tcPr>
          <w:p w14:paraId="75B083ED" w14:textId="77777777" w:rsidR="007F068D" w:rsidRPr="00DF0910" w:rsidRDefault="007F068D" w:rsidP="005C6341">
            <w:pPr>
              <w:rPr>
                <w:rFonts w:ascii="Arial" w:hAnsi="Arial" w:cs="Arial"/>
                <w:color w:val="000000" w:themeColor="text1"/>
                <w:sz w:val="12"/>
                <w:szCs w:val="12"/>
              </w:rPr>
            </w:pPr>
          </w:p>
        </w:tc>
        <w:tc>
          <w:tcPr>
            <w:tcW w:w="5103" w:type="dxa"/>
            <w:gridSpan w:val="3"/>
            <w:vMerge/>
            <w:shd w:val="clear" w:color="auto" w:fill="auto"/>
          </w:tcPr>
          <w:p w14:paraId="0FC20486" w14:textId="77777777" w:rsidR="007F068D" w:rsidRPr="00D76AF9" w:rsidRDefault="007F068D" w:rsidP="005C6341">
            <w:pPr>
              <w:rPr>
                <w:rFonts w:ascii="Arial" w:hAnsi="Arial" w:cs="Arial"/>
                <w:b/>
                <w:noProof/>
                <w:color w:val="000000"/>
                <w:sz w:val="16"/>
                <w:szCs w:val="16"/>
              </w:rPr>
            </w:pPr>
          </w:p>
        </w:tc>
      </w:tr>
      <w:tr w:rsidR="00B64FF9" w14:paraId="28A60AF9" w14:textId="77777777" w:rsidTr="00EE0139">
        <w:trPr>
          <w:gridAfter w:val="1"/>
          <w:wAfter w:w="285" w:type="dxa"/>
          <w:trHeight w:val="168"/>
        </w:trPr>
        <w:tc>
          <w:tcPr>
            <w:tcW w:w="4253" w:type="dxa"/>
            <w:shd w:val="clear" w:color="auto" w:fill="auto"/>
            <w:vAlign w:val="bottom"/>
          </w:tcPr>
          <w:p w14:paraId="6F3BF670" w14:textId="77777777" w:rsidR="007F068D" w:rsidRPr="005D24EE" w:rsidRDefault="007F068D" w:rsidP="005C6341">
            <w:pPr>
              <w:rPr>
                <w:rFonts w:ascii="Arial" w:hAnsi="Arial" w:cs="Arial"/>
                <w:b/>
                <w:color w:val="000000" w:themeColor="text1"/>
                <w:sz w:val="12"/>
                <w:szCs w:val="12"/>
              </w:rPr>
            </w:pPr>
          </w:p>
        </w:tc>
        <w:tc>
          <w:tcPr>
            <w:tcW w:w="283" w:type="dxa"/>
          </w:tcPr>
          <w:p w14:paraId="6A6A185A" w14:textId="77777777" w:rsidR="007F068D" w:rsidRPr="00DF0910" w:rsidRDefault="007F068D" w:rsidP="005C6341">
            <w:pPr>
              <w:rPr>
                <w:rFonts w:ascii="Arial" w:hAnsi="Arial" w:cs="Arial"/>
                <w:color w:val="000000" w:themeColor="text1"/>
                <w:sz w:val="12"/>
                <w:szCs w:val="12"/>
              </w:rPr>
            </w:pPr>
          </w:p>
        </w:tc>
        <w:tc>
          <w:tcPr>
            <w:tcW w:w="5103" w:type="dxa"/>
            <w:gridSpan w:val="3"/>
            <w:vMerge/>
            <w:shd w:val="clear" w:color="auto" w:fill="auto"/>
          </w:tcPr>
          <w:p w14:paraId="033523AB" w14:textId="77777777" w:rsidR="007F068D" w:rsidRPr="00D76AF9" w:rsidRDefault="007F068D" w:rsidP="005C6341">
            <w:pPr>
              <w:rPr>
                <w:rFonts w:ascii="Arial" w:hAnsi="Arial" w:cs="Arial"/>
                <w:b/>
                <w:noProof/>
                <w:color w:val="000000"/>
                <w:sz w:val="16"/>
                <w:szCs w:val="16"/>
              </w:rPr>
            </w:pPr>
          </w:p>
        </w:tc>
      </w:tr>
      <w:tr w:rsidR="00B64FF9" w14:paraId="755BB5E2" w14:textId="77777777" w:rsidTr="00EE0139">
        <w:trPr>
          <w:gridAfter w:val="1"/>
          <w:wAfter w:w="285" w:type="dxa"/>
          <w:trHeight w:val="168"/>
        </w:trPr>
        <w:tc>
          <w:tcPr>
            <w:tcW w:w="4253" w:type="dxa"/>
            <w:shd w:val="clear" w:color="auto" w:fill="auto"/>
            <w:vAlign w:val="bottom"/>
          </w:tcPr>
          <w:p w14:paraId="04FFC09D" w14:textId="77777777" w:rsidR="007F068D" w:rsidRPr="005D24EE" w:rsidRDefault="007F068D" w:rsidP="005C6341">
            <w:pPr>
              <w:rPr>
                <w:rFonts w:ascii="Arial" w:hAnsi="Arial" w:cs="Arial"/>
                <w:b/>
                <w:color w:val="000000" w:themeColor="text1"/>
                <w:sz w:val="12"/>
                <w:szCs w:val="12"/>
              </w:rPr>
            </w:pPr>
          </w:p>
        </w:tc>
        <w:tc>
          <w:tcPr>
            <w:tcW w:w="283" w:type="dxa"/>
          </w:tcPr>
          <w:p w14:paraId="628CFC75" w14:textId="77777777" w:rsidR="007F068D" w:rsidRPr="00DF0910" w:rsidRDefault="007F068D" w:rsidP="005C6341">
            <w:pPr>
              <w:rPr>
                <w:rFonts w:ascii="Arial" w:hAnsi="Arial" w:cs="Arial"/>
                <w:color w:val="000000" w:themeColor="text1"/>
                <w:sz w:val="12"/>
                <w:szCs w:val="12"/>
              </w:rPr>
            </w:pPr>
          </w:p>
        </w:tc>
        <w:tc>
          <w:tcPr>
            <w:tcW w:w="5103" w:type="dxa"/>
            <w:gridSpan w:val="3"/>
            <w:vMerge/>
            <w:shd w:val="clear" w:color="auto" w:fill="auto"/>
          </w:tcPr>
          <w:p w14:paraId="55BE01E6" w14:textId="77777777" w:rsidR="007F068D" w:rsidRPr="00D76AF9" w:rsidRDefault="007F068D" w:rsidP="005C6341">
            <w:pPr>
              <w:rPr>
                <w:rFonts w:ascii="Arial" w:hAnsi="Arial" w:cs="Arial"/>
                <w:b/>
                <w:noProof/>
                <w:color w:val="000000"/>
                <w:sz w:val="16"/>
                <w:szCs w:val="16"/>
              </w:rPr>
            </w:pPr>
          </w:p>
        </w:tc>
      </w:tr>
      <w:tr w:rsidR="00B64FF9" w14:paraId="3DD946D6" w14:textId="77777777" w:rsidTr="00EE0139">
        <w:trPr>
          <w:gridAfter w:val="1"/>
          <w:wAfter w:w="285" w:type="dxa"/>
          <w:trHeight w:val="168"/>
        </w:trPr>
        <w:tc>
          <w:tcPr>
            <w:tcW w:w="4253" w:type="dxa"/>
            <w:tcBorders>
              <w:bottom w:val="single" w:sz="4" w:space="0" w:color="auto"/>
            </w:tcBorders>
            <w:shd w:val="clear" w:color="auto" w:fill="auto"/>
            <w:vAlign w:val="bottom"/>
          </w:tcPr>
          <w:p w14:paraId="5A5D9D6E" w14:textId="77777777" w:rsidR="007F068D" w:rsidRPr="00DF0910" w:rsidRDefault="00AD552C"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546D6864" w14:textId="77777777" w:rsidR="007F068D" w:rsidRPr="00DF0910" w:rsidRDefault="007F068D" w:rsidP="005C6341">
            <w:pPr>
              <w:rPr>
                <w:rFonts w:ascii="Arial" w:hAnsi="Arial" w:cs="Arial"/>
                <w:color w:val="000000" w:themeColor="text1"/>
                <w:sz w:val="12"/>
                <w:szCs w:val="12"/>
              </w:rPr>
            </w:pPr>
          </w:p>
        </w:tc>
        <w:tc>
          <w:tcPr>
            <w:tcW w:w="5103" w:type="dxa"/>
            <w:gridSpan w:val="3"/>
            <w:vMerge/>
            <w:shd w:val="clear" w:color="auto" w:fill="auto"/>
          </w:tcPr>
          <w:p w14:paraId="044A9F98" w14:textId="77777777" w:rsidR="007F068D" w:rsidRPr="00DF0910" w:rsidRDefault="007F068D" w:rsidP="005C6341">
            <w:pPr>
              <w:rPr>
                <w:rFonts w:ascii="Arial" w:hAnsi="Arial" w:cs="Arial"/>
                <w:color w:val="000000" w:themeColor="text1"/>
                <w:sz w:val="12"/>
                <w:szCs w:val="12"/>
              </w:rPr>
            </w:pPr>
          </w:p>
        </w:tc>
      </w:tr>
      <w:tr w:rsidR="00B64FF9" w14:paraId="6E68EE08" w14:textId="77777777" w:rsidTr="00EE0139">
        <w:trPr>
          <w:gridAfter w:val="1"/>
          <w:wAfter w:w="285" w:type="dxa"/>
          <w:trHeight w:hRule="exact" w:val="340"/>
        </w:trPr>
        <w:tc>
          <w:tcPr>
            <w:tcW w:w="4253" w:type="dxa"/>
            <w:tcBorders>
              <w:top w:val="single" w:sz="4" w:space="0" w:color="auto"/>
            </w:tcBorders>
            <w:shd w:val="clear" w:color="auto" w:fill="auto"/>
          </w:tcPr>
          <w:p w14:paraId="537F578F" w14:textId="77777777" w:rsidR="007F068D" w:rsidRPr="00D812A9" w:rsidRDefault="00AD552C" w:rsidP="005C6341">
            <w:pPr>
              <w:rPr>
                <w:rFonts w:ascii="Arial" w:hAnsi="Arial" w:cs="Arial"/>
                <w:color w:val="4F81BD" w:themeColor="accent1"/>
                <w:sz w:val="16"/>
                <w:szCs w:val="16"/>
              </w:rPr>
            </w:pPr>
            <w:r>
              <w:rPr>
                <w:rFonts w:ascii="Arial" w:hAnsi="Arial" w:cs="Arial"/>
                <w:noProof/>
                <w:sz w:val="16"/>
                <w:szCs w:val="16"/>
              </w:rPr>
              <w:t>01244-2025/00043</w:t>
            </w:r>
          </w:p>
        </w:tc>
        <w:tc>
          <w:tcPr>
            <w:tcW w:w="283" w:type="dxa"/>
          </w:tcPr>
          <w:p w14:paraId="574EDE4B" w14:textId="77777777" w:rsidR="007F068D" w:rsidRPr="00DF0910" w:rsidRDefault="007F068D" w:rsidP="005C6341">
            <w:pPr>
              <w:rPr>
                <w:rFonts w:ascii="Arial" w:hAnsi="Arial" w:cs="Arial"/>
                <w:color w:val="000000" w:themeColor="text1"/>
                <w:sz w:val="16"/>
                <w:szCs w:val="16"/>
              </w:rPr>
            </w:pPr>
          </w:p>
        </w:tc>
        <w:tc>
          <w:tcPr>
            <w:tcW w:w="5103" w:type="dxa"/>
            <w:gridSpan w:val="3"/>
            <w:vMerge/>
            <w:shd w:val="clear" w:color="auto" w:fill="auto"/>
            <w:vAlign w:val="center"/>
          </w:tcPr>
          <w:p w14:paraId="07B2B8D1" w14:textId="77777777" w:rsidR="007F068D" w:rsidRPr="00DF0910" w:rsidRDefault="007F068D" w:rsidP="005C6341">
            <w:pPr>
              <w:rPr>
                <w:rFonts w:ascii="Arial" w:hAnsi="Arial" w:cs="Arial"/>
                <w:color w:val="000000" w:themeColor="text1"/>
                <w:sz w:val="16"/>
                <w:szCs w:val="16"/>
              </w:rPr>
            </w:pPr>
          </w:p>
        </w:tc>
      </w:tr>
      <w:tr w:rsidR="00B64FF9" w14:paraId="3CE044B5"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4A80AD61" w14:textId="77777777" w:rsidR="007F068D" w:rsidRPr="00DF0910" w:rsidRDefault="00AD552C"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45884179" w14:textId="77777777" w:rsidR="007F068D" w:rsidRPr="00DF0910" w:rsidRDefault="007F068D" w:rsidP="005C6341">
            <w:pPr>
              <w:jc w:val="center"/>
              <w:rPr>
                <w:rFonts w:ascii="Arial" w:hAnsi="Arial" w:cs="Arial"/>
                <w:color w:val="000000" w:themeColor="text1"/>
                <w:sz w:val="20"/>
              </w:rPr>
            </w:pPr>
          </w:p>
        </w:tc>
        <w:tc>
          <w:tcPr>
            <w:tcW w:w="5103" w:type="dxa"/>
            <w:gridSpan w:val="3"/>
            <w:vMerge/>
            <w:shd w:val="clear" w:color="auto" w:fill="auto"/>
            <w:vAlign w:val="center"/>
          </w:tcPr>
          <w:p w14:paraId="174493A1" w14:textId="77777777" w:rsidR="007F068D" w:rsidRPr="00DF0910" w:rsidRDefault="007F068D" w:rsidP="005C6341">
            <w:pPr>
              <w:rPr>
                <w:rFonts w:ascii="Arial" w:hAnsi="Arial" w:cs="Arial"/>
                <w:color w:val="000000" w:themeColor="text1"/>
                <w:sz w:val="20"/>
              </w:rPr>
            </w:pPr>
          </w:p>
        </w:tc>
      </w:tr>
      <w:tr w:rsidR="00B64FF9" w14:paraId="768541AD" w14:textId="77777777" w:rsidTr="00EE0139">
        <w:trPr>
          <w:gridAfter w:val="1"/>
          <w:wAfter w:w="285" w:type="dxa"/>
          <w:trHeight w:hRule="exact" w:val="663"/>
        </w:trPr>
        <w:tc>
          <w:tcPr>
            <w:tcW w:w="4253" w:type="dxa"/>
            <w:tcBorders>
              <w:top w:val="single" w:sz="4" w:space="0" w:color="auto"/>
            </w:tcBorders>
            <w:shd w:val="clear" w:color="auto" w:fill="auto"/>
          </w:tcPr>
          <w:p w14:paraId="02B89698" w14:textId="344D93E1" w:rsidR="007F068D" w:rsidRDefault="007A3D52" w:rsidP="005C6341">
            <w:pPr>
              <w:pStyle w:val="Textoindependiente"/>
              <w:spacing w:before="20" w:after="70" w:line="200" w:lineRule="exact"/>
              <w:jc w:val="left"/>
              <w:rPr>
                <w:sz w:val="16"/>
              </w:rPr>
            </w:pPr>
            <w:r>
              <w:rPr>
                <w:sz w:val="16"/>
              </w:rPr>
              <w:t>Nekazaritza Saila / Departamento de Agricultura</w:t>
            </w:r>
          </w:p>
          <w:p w14:paraId="7E75F997" w14:textId="77777777" w:rsidR="007F068D" w:rsidRPr="00D812A9" w:rsidRDefault="007F068D" w:rsidP="005C6341">
            <w:pPr>
              <w:rPr>
                <w:rFonts w:ascii="Arial" w:hAnsi="Arial" w:cs="Arial"/>
                <w:color w:val="4F81BD" w:themeColor="accent1"/>
                <w:sz w:val="16"/>
                <w:szCs w:val="16"/>
              </w:rPr>
            </w:pPr>
          </w:p>
        </w:tc>
        <w:tc>
          <w:tcPr>
            <w:tcW w:w="283" w:type="dxa"/>
          </w:tcPr>
          <w:p w14:paraId="0EF514CA" w14:textId="77777777" w:rsidR="007F068D" w:rsidRPr="00DF0910" w:rsidRDefault="007F068D"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6B2B4865" w14:textId="77777777" w:rsidR="007F068D" w:rsidRPr="00DF0910" w:rsidRDefault="007F068D" w:rsidP="005C6341">
            <w:pPr>
              <w:rPr>
                <w:rFonts w:ascii="Arial" w:hAnsi="Arial" w:cs="Arial"/>
                <w:color w:val="000000" w:themeColor="text1"/>
                <w:sz w:val="16"/>
                <w:szCs w:val="16"/>
              </w:rPr>
            </w:pPr>
          </w:p>
        </w:tc>
      </w:tr>
      <w:tr w:rsidR="00B64FF9" w14:paraId="12FB01EE" w14:textId="77777777" w:rsidTr="00EE0139">
        <w:tc>
          <w:tcPr>
            <w:tcW w:w="4820" w:type="dxa"/>
            <w:gridSpan w:val="3"/>
          </w:tcPr>
          <w:p w14:paraId="713574C5" w14:textId="77777777" w:rsidR="007F068D" w:rsidRDefault="007F068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ACD8B33" w14:textId="77777777" w:rsidR="007F068D" w:rsidRDefault="007F068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A61F114" w14:textId="77777777" w:rsidR="007F068D" w:rsidRDefault="007F068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A6A6609" w14:textId="77777777" w:rsidR="007F068D" w:rsidRPr="00663BA9" w:rsidRDefault="007F068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2ED90B9C" w14:textId="77777777" w:rsidR="007F068D" w:rsidRPr="00426B3C"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79F3D2E" w14:textId="77777777" w:rsidR="007F068D" w:rsidRPr="00663BA9"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B64FF9" w14:paraId="2A6BADC3" w14:textId="77777777" w:rsidTr="00EE0139">
        <w:tc>
          <w:tcPr>
            <w:tcW w:w="4820" w:type="dxa"/>
            <w:gridSpan w:val="3"/>
          </w:tcPr>
          <w:p w14:paraId="4285B05F" w14:textId="77777777" w:rsidR="007F068D" w:rsidRPr="00663BA9" w:rsidRDefault="00AD552C"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3163CD">
              <w:rPr>
                <w:rFonts w:ascii="Arial" w:hAnsi="Arial" w:cs="Arial"/>
                <w:b/>
                <w:sz w:val="16"/>
                <w:szCs w:val="16"/>
              </w:rPr>
              <w:t xml:space="preserve">FORU AGINDUA </w:t>
            </w:r>
            <w:r w:rsidRPr="00663BA9">
              <w:rPr>
                <w:rFonts w:ascii="Arial" w:hAnsi="Arial" w:cs="Arial"/>
                <w:b/>
                <w:sz w:val="16"/>
                <w:szCs w:val="16"/>
              </w:rPr>
              <w:t>jakinaraztea.</w:t>
            </w:r>
          </w:p>
          <w:p w14:paraId="1DCC0D19" w14:textId="77777777" w:rsidR="007F068D" w:rsidRDefault="007F068D" w:rsidP="00E72518">
            <w:pPr>
              <w:pStyle w:val="Sangradetextonormal"/>
              <w:tabs>
                <w:tab w:val="clear" w:pos="1702"/>
                <w:tab w:val="clear" w:pos="4253"/>
                <w:tab w:val="clear" w:pos="5104"/>
                <w:tab w:val="clear" w:pos="5812"/>
              </w:tabs>
              <w:spacing w:before="0" w:after="0"/>
              <w:ind w:firstLine="0"/>
              <w:jc w:val="both"/>
              <w:rPr>
                <w:sz w:val="16"/>
              </w:rPr>
            </w:pPr>
          </w:p>
          <w:p w14:paraId="381F30BB" w14:textId="4B57F953" w:rsidR="007F068D" w:rsidRPr="00E72518" w:rsidRDefault="007A3D52"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Nekazaritza Saileko foru diputatuak</w:t>
            </w:r>
            <w:r w:rsidRPr="00007960">
              <w:rPr>
                <w:rFonts w:ascii="Arial" w:hAnsi="Arial" w:cs="Arial"/>
                <w:sz w:val="16"/>
                <w:szCs w:val="16"/>
              </w:rPr>
              <w:t>,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1F9D35B3" w14:textId="77777777" w:rsidR="007F068D" w:rsidRPr="00426B3C"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6D21DD9B" w14:textId="77777777" w:rsidR="007F068D" w:rsidRPr="00663BA9" w:rsidRDefault="00AD552C"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3163CD">
              <w:rPr>
                <w:rFonts w:ascii="Arial" w:hAnsi="Arial" w:cs="Arial"/>
                <w:b/>
                <w:sz w:val="16"/>
                <w:szCs w:val="16"/>
              </w:rPr>
              <w:t>ORDEN FORAL</w:t>
            </w:r>
          </w:p>
          <w:p w14:paraId="473F6B62" w14:textId="77777777" w:rsidR="007F068D"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670773FA" w14:textId="38E97659" w:rsidR="007F068D" w:rsidRPr="00E72518" w:rsidRDefault="007A3D52"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La Diputada Foral de Agricultura</w:t>
            </w:r>
            <w:r w:rsidRPr="00E72518">
              <w:rPr>
                <w:rFonts w:ascii="Arial" w:hAnsi="Arial" w:cs="Arial"/>
                <w:sz w:val="16"/>
                <w:szCs w:val="16"/>
              </w:rPr>
              <w:t>, se ha servido dictar la siguiente Resolución, en la fecha que se señala.</w:t>
            </w:r>
          </w:p>
          <w:p w14:paraId="23F934CF" w14:textId="77777777" w:rsidR="007F068D" w:rsidRPr="00E72518"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7FF5CD08" w14:textId="77777777" w:rsidR="007F068D" w:rsidRPr="00426B3C"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B64FF9" w14:paraId="53433DA0" w14:textId="77777777" w:rsidTr="00EE0139">
        <w:tc>
          <w:tcPr>
            <w:tcW w:w="160" w:type="dxa"/>
          </w:tcPr>
          <w:p w14:paraId="13C798C8" w14:textId="77777777" w:rsidR="007F068D" w:rsidRPr="00426B3C" w:rsidRDefault="007F068D"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6B3CE148" w14:textId="77777777" w:rsidR="007F068D" w:rsidRPr="00426B3C" w:rsidRDefault="00AD55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199B82F1" w14:textId="77777777" w:rsidR="007F068D" w:rsidRPr="00426B3C" w:rsidRDefault="00AD55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7DFB0DB8" w14:textId="77777777" w:rsidR="007F068D" w:rsidRPr="00426B3C" w:rsidRDefault="007F068D"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234A5890" w14:textId="77777777" w:rsidR="007F068D" w:rsidRPr="00426B3C" w:rsidRDefault="00AD55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76344495" w14:textId="77777777" w:rsidR="007F068D" w:rsidRPr="00426B3C" w:rsidRDefault="00AD55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4E37F1C7" w14:textId="77777777" w:rsidR="007F068D" w:rsidRPr="00426B3C" w:rsidRDefault="007F068D" w:rsidP="00426B3C">
            <w:pPr>
              <w:jc w:val="center"/>
              <w:rPr>
                <w:rFonts w:ascii="Arial" w:hAnsi="Arial" w:cs="Arial"/>
                <w:b/>
                <w:color w:val="000000" w:themeColor="text1"/>
                <w:sz w:val="16"/>
                <w:szCs w:val="16"/>
              </w:rPr>
            </w:pPr>
          </w:p>
        </w:tc>
      </w:tr>
      <w:tr w:rsidR="00B64FF9" w14:paraId="376A8EE1" w14:textId="77777777" w:rsidTr="00EE0139">
        <w:trPr>
          <w:trHeight w:hRule="exact" w:val="227"/>
        </w:trPr>
        <w:tc>
          <w:tcPr>
            <w:tcW w:w="160" w:type="dxa"/>
            <w:vAlign w:val="center"/>
          </w:tcPr>
          <w:p w14:paraId="55A01743" w14:textId="77777777" w:rsidR="007F068D" w:rsidRPr="00426B3C" w:rsidRDefault="007F068D"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79A95401" w14:textId="77777777" w:rsidR="007F068D" w:rsidRPr="00FE3E62" w:rsidRDefault="00AD552C" w:rsidP="00426B3C">
            <w:pPr>
              <w:jc w:val="center"/>
              <w:rPr>
                <w:rFonts w:ascii="Arial" w:hAnsi="Arial" w:cs="Arial"/>
                <w:sz w:val="16"/>
                <w:szCs w:val="16"/>
              </w:rPr>
            </w:pPr>
            <w:r w:rsidRPr="00FE3E62">
              <w:rPr>
                <w:rFonts w:ascii="Arial" w:hAnsi="Arial" w:cs="Arial"/>
                <w:noProof/>
                <w:sz w:val="16"/>
                <w:szCs w:val="16"/>
              </w:rPr>
              <w:t>25/09</w:t>
            </w:r>
            <w:r w:rsidRPr="00FE3E62">
              <w:rPr>
                <w:rFonts w:ascii="Arial" w:hAnsi="Arial" w:cs="Arial"/>
                <w:sz w:val="16"/>
                <w:szCs w:val="16"/>
              </w:rPr>
              <w:t>/26</w:t>
            </w:r>
          </w:p>
        </w:tc>
        <w:tc>
          <w:tcPr>
            <w:tcW w:w="1985" w:type="dxa"/>
            <w:tcBorders>
              <w:top w:val="single" w:sz="4" w:space="0" w:color="auto"/>
            </w:tcBorders>
            <w:vAlign w:val="center"/>
          </w:tcPr>
          <w:p w14:paraId="7008B56D" w14:textId="77777777" w:rsidR="007F068D" w:rsidRPr="00FE3E62" w:rsidRDefault="00AD552C" w:rsidP="00426B3C">
            <w:pPr>
              <w:jc w:val="center"/>
              <w:rPr>
                <w:rFonts w:ascii="Arial" w:hAnsi="Arial" w:cs="Arial"/>
                <w:sz w:val="16"/>
                <w:szCs w:val="16"/>
              </w:rPr>
            </w:pPr>
            <w:r w:rsidRPr="00FE3E62">
              <w:rPr>
                <w:rFonts w:ascii="Arial" w:hAnsi="Arial" w:cs="Arial"/>
                <w:noProof/>
                <w:sz w:val="16"/>
                <w:szCs w:val="16"/>
              </w:rPr>
              <w:t>311</w:t>
            </w:r>
          </w:p>
        </w:tc>
        <w:tc>
          <w:tcPr>
            <w:tcW w:w="851" w:type="dxa"/>
            <w:vAlign w:val="center"/>
          </w:tcPr>
          <w:p w14:paraId="19251B99" w14:textId="77777777" w:rsidR="007F068D" w:rsidRPr="00FE3E62" w:rsidRDefault="007F068D" w:rsidP="00426B3C">
            <w:pPr>
              <w:jc w:val="center"/>
              <w:rPr>
                <w:rFonts w:ascii="Arial" w:hAnsi="Arial" w:cs="Arial"/>
                <w:sz w:val="16"/>
                <w:szCs w:val="16"/>
              </w:rPr>
            </w:pPr>
          </w:p>
        </w:tc>
        <w:tc>
          <w:tcPr>
            <w:tcW w:w="1985" w:type="dxa"/>
            <w:tcBorders>
              <w:top w:val="single" w:sz="4" w:space="0" w:color="auto"/>
            </w:tcBorders>
            <w:vAlign w:val="center"/>
          </w:tcPr>
          <w:p w14:paraId="3FA07FF1" w14:textId="77777777" w:rsidR="007F068D" w:rsidRPr="00FE3E62" w:rsidRDefault="00AD552C" w:rsidP="00426B3C">
            <w:pPr>
              <w:jc w:val="center"/>
              <w:rPr>
                <w:rFonts w:ascii="Arial" w:hAnsi="Arial" w:cs="Arial"/>
                <w:sz w:val="16"/>
                <w:szCs w:val="16"/>
              </w:rPr>
            </w:pPr>
            <w:r w:rsidRPr="00FE3E62">
              <w:rPr>
                <w:rFonts w:ascii="Arial" w:hAnsi="Arial" w:cs="Arial"/>
                <w:noProof/>
                <w:sz w:val="16"/>
                <w:szCs w:val="16"/>
              </w:rPr>
              <w:t>26/09</w:t>
            </w:r>
            <w:r w:rsidRPr="00FE3E62">
              <w:rPr>
                <w:rFonts w:ascii="Arial" w:hAnsi="Arial" w:cs="Arial"/>
                <w:sz w:val="16"/>
                <w:szCs w:val="16"/>
              </w:rPr>
              <w:t>/2025</w:t>
            </w:r>
          </w:p>
        </w:tc>
        <w:tc>
          <w:tcPr>
            <w:tcW w:w="1985" w:type="dxa"/>
            <w:tcBorders>
              <w:top w:val="single" w:sz="4" w:space="0" w:color="auto"/>
            </w:tcBorders>
            <w:vAlign w:val="center"/>
          </w:tcPr>
          <w:p w14:paraId="0B5925B5" w14:textId="77777777" w:rsidR="007F068D" w:rsidRPr="00FE3E62" w:rsidRDefault="00AD552C" w:rsidP="00426B3C">
            <w:pPr>
              <w:jc w:val="center"/>
              <w:rPr>
                <w:rFonts w:ascii="Arial" w:hAnsi="Arial" w:cs="Arial"/>
                <w:sz w:val="16"/>
                <w:szCs w:val="16"/>
              </w:rPr>
            </w:pPr>
            <w:r w:rsidRPr="00FE3E62">
              <w:rPr>
                <w:rFonts w:ascii="Arial" w:hAnsi="Arial" w:cs="Arial"/>
                <w:noProof/>
                <w:sz w:val="16"/>
                <w:szCs w:val="16"/>
              </w:rPr>
              <w:t>311</w:t>
            </w:r>
          </w:p>
        </w:tc>
        <w:tc>
          <w:tcPr>
            <w:tcW w:w="567" w:type="dxa"/>
            <w:vAlign w:val="center"/>
          </w:tcPr>
          <w:p w14:paraId="76084C78" w14:textId="77777777" w:rsidR="007F068D" w:rsidRPr="00FE3E62" w:rsidRDefault="007F068D" w:rsidP="00426B3C">
            <w:pPr>
              <w:jc w:val="center"/>
              <w:rPr>
                <w:rFonts w:ascii="Arial" w:hAnsi="Arial" w:cs="Arial"/>
                <w:sz w:val="16"/>
                <w:szCs w:val="16"/>
              </w:rPr>
            </w:pPr>
          </w:p>
        </w:tc>
      </w:tr>
    </w:tbl>
    <w:p w14:paraId="0DF82E2D" w14:textId="77777777" w:rsidR="007F068D" w:rsidRPr="00426B3C" w:rsidRDefault="007F068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05101F10" w14:textId="77777777" w:rsidR="007F068D" w:rsidRDefault="007F068D">
      <w:pPr>
        <w:rPr>
          <w:u w:val="single"/>
        </w:rPr>
      </w:pPr>
    </w:p>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820"/>
        <w:gridCol w:w="284"/>
        <w:gridCol w:w="4820"/>
      </w:tblGrid>
      <w:tr w:rsidR="003163CD" w14:paraId="577261C8" w14:textId="77777777" w:rsidTr="009A7EE5">
        <w:tc>
          <w:tcPr>
            <w:tcW w:w="4820" w:type="dxa"/>
          </w:tcPr>
          <w:p w14:paraId="6449CEE0" w14:textId="1EFCBC4A" w:rsidR="003163CD" w:rsidRPr="00D35916" w:rsidRDefault="006C279D" w:rsidP="009A7EE5">
            <w:pPr>
              <w:autoSpaceDE w:val="0"/>
              <w:autoSpaceDN w:val="0"/>
              <w:adjustRightInd w:val="0"/>
              <w:rPr>
                <w:rFonts w:ascii="TimesNewRomanPS-BoldMT" w:hAnsi="TimesNewRomanPS-BoldMT" w:cs="TimesNewRomanPS-BoldMT"/>
                <w:b/>
                <w:bCs/>
                <w:sz w:val="22"/>
                <w:szCs w:val="22"/>
                <w:lang w:val="es-ES"/>
              </w:rPr>
            </w:pPr>
            <w:bookmarkStart w:id="0" w:name="RESOLUCION"/>
            <w:proofErr w:type="spellStart"/>
            <w:r w:rsidRPr="006C279D">
              <w:rPr>
                <w:rFonts w:ascii="TimesNewRomanPS-BoldMT" w:eastAsia="TimesNewRomanPS-BoldMT" w:hAnsi="TimesNewRomanPS-BoldMT" w:cs="TimesNewRomanPS-BoldMT"/>
                <w:b/>
                <w:bCs/>
                <w:sz w:val="22"/>
                <w:szCs w:val="22"/>
                <w:highlight w:val="black"/>
                <w:lang w:val="eu-ES"/>
              </w:rPr>
              <w:t>xxxxx</w:t>
            </w:r>
            <w:r>
              <w:rPr>
                <w:rFonts w:ascii="TimesNewRomanPS-BoldMT" w:eastAsia="TimesNewRomanPS-BoldMT" w:hAnsi="TimesNewRomanPS-BoldMT" w:cs="TimesNewRomanPS-BoldMT"/>
                <w:b/>
                <w:bCs/>
                <w:sz w:val="22"/>
                <w:szCs w:val="22"/>
                <w:lang w:val="eu-ES"/>
              </w:rPr>
              <w:t>i</w:t>
            </w:r>
            <w:proofErr w:type="spellEnd"/>
            <w:r w:rsidR="003163CD">
              <w:rPr>
                <w:rFonts w:ascii="TimesNewRomanPS-BoldMT" w:eastAsia="TimesNewRomanPS-BoldMT" w:hAnsi="TimesNewRomanPS-BoldMT" w:cs="TimesNewRomanPS-BoldMT"/>
                <w:b/>
                <w:bCs/>
                <w:sz w:val="22"/>
                <w:szCs w:val="22"/>
                <w:lang w:val="eu-ES"/>
              </w:rPr>
              <w:t xml:space="preserve"> informazio publikoa eskuratzea.</w:t>
            </w:r>
          </w:p>
          <w:p w14:paraId="7E925178" w14:textId="77777777" w:rsidR="003163CD" w:rsidRDefault="003163CD" w:rsidP="009A7EE5">
            <w:pPr>
              <w:autoSpaceDE w:val="0"/>
              <w:autoSpaceDN w:val="0"/>
              <w:adjustRightInd w:val="0"/>
              <w:jc w:val="both"/>
              <w:rPr>
                <w:sz w:val="22"/>
                <w:lang w:val="es-ES"/>
              </w:rPr>
            </w:pPr>
          </w:p>
          <w:p w14:paraId="4E4C7097" w14:textId="61099519" w:rsidR="003163CD" w:rsidRDefault="003163CD" w:rsidP="009A7EE5">
            <w:pPr>
              <w:autoSpaceDE w:val="0"/>
              <w:autoSpaceDN w:val="0"/>
              <w:adjustRightInd w:val="0"/>
              <w:jc w:val="both"/>
              <w:rPr>
                <w:sz w:val="22"/>
                <w:lang w:val="es-ES"/>
              </w:rPr>
            </w:pPr>
            <w:r>
              <w:rPr>
                <w:sz w:val="22"/>
                <w:szCs w:val="22"/>
                <w:lang w:val="eu-ES"/>
              </w:rPr>
              <w:t xml:space="preserve">2025eko ekainaren 30ean, </w:t>
            </w:r>
            <w:proofErr w:type="spellStart"/>
            <w:r w:rsidR="006C279D" w:rsidRPr="006C279D">
              <w:rPr>
                <w:sz w:val="22"/>
                <w:szCs w:val="22"/>
                <w:highlight w:val="black"/>
                <w:lang w:val="eu-ES"/>
              </w:rPr>
              <w:t>xxxxx</w:t>
            </w:r>
            <w:r>
              <w:rPr>
                <w:sz w:val="22"/>
                <w:szCs w:val="22"/>
                <w:lang w:val="eu-ES"/>
              </w:rPr>
              <w:t>k</w:t>
            </w:r>
            <w:proofErr w:type="spellEnd"/>
            <w:r>
              <w:rPr>
                <w:sz w:val="22"/>
                <w:szCs w:val="22"/>
                <w:lang w:val="eu-ES"/>
              </w:rPr>
              <w:t xml:space="preserve"> 897/2024 Ebazpenaren bidez hasitako zehapen prozeduraren espedientea eskuratu eta haren kopia osoa jasotzeko eskaera egin zuen. Espediente hori animalien garraio eta osasunaren arloko ustezko arau hausteei buruzkoa da. </w:t>
            </w:r>
          </w:p>
          <w:p w14:paraId="65881E67" w14:textId="77777777" w:rsidR="003163CD" w:rsidRDefault="003163CD" w:rsidP="009A7EE5">
            <w:pPr>
              <w:autoSpaceDE w:val="0"/>
              <w:autoSpaceDN w:val="0"/>
              <w:adjustRightInd w:val="0"/>
              <w:jc w:val="both"/>
              <w:rPr>
                <w:sz w:val="22"/>
                <w:lang w:val="es-ES"/>
              </w:rPr>
            </w:pPr>
          </w:p>
          <w:p w14:paraId="3203558C" w14:textId="77777777" w:rsidR="003163CD" w:rsidRPr="00D35916" w:rsidRDefault="003163CD" w:rsidP="009A7EE5">
            <w:pPr>
              <w:autoSpaceDE w:val="0"/>
              <w:autoSpaceDN w:val="0"/>
              <w:adjustRightInd w:val="0"/>
              <w:jc w:val="both"/>
              <w:rPr>
                <w:sz w:val="22"/>
                <w:lang w:val="es-ES"/>
              </w:rPr>
            </w:pPr>
            <w:r>
              <w:rPr>
                <w:sz w:val="22"/>
                <w:szCs w:val="22"/>
                <w:lang w:val="eu-ES"/>
              </w:rPr>
              <w:t>Informazio publikoa eskuratzeko eskubidean oinarritzen zuen eskaera, interesduna izan beharrik gabe, eta argitzen zuen eskaeran aipatzen den prozedura amaituta zegoela eskaera egin zen egunean, eta, eskaeraren oinarri gisa, Gardentasunaren eta Gobernu Onaren Kontseiluaren 445/2020 Ebazpena aipatzen zuen.</w:t>
            </w:r>
          </w:p>
          <w:p w14:paraId="44F5A690" w14:textId="77777777" w:rsidR="003163CD" w:rsidRDefault="003163CD" w:rsidP="009A7EE5">
            <w:pPr>
              <w:autoSpaceDE w:val="0"/>
              <w:autoSpaceDN w:val="0"/>
              <w:adjustRightInd w:val="0"/>
              <w:jc w:val="both"/>
              <w:rPr>
                <w:sz w:val="22"/>
                <w:lang w:val="es-ES"/>
              </w:rPr>
            </w:pPr>
          </w:p>
          <w:p w14:paraId="1F03BFD3" w14:textId="77777777" w:rsidR="003163CD" w:rsidRPr="00D35916" w:rsidRDefault="003163CD" w:rsidP="009A7EE5">
            <w:pPr>
              <w:autoSpaceDE w:val="0"/>
              <w:autoSpaceDN w:val="0"/>
              <w:adjustRightInd w:val="0"/>
              <w:jc w:val="both"/>
              <w:rPr>
                <w:sz w:val="22"/>
                <w:lang w:val="es-ES"/>
              </w:rPr>
            </w:pPr>
          </w:p>
          <w:p w14:paraId="6DE2CF80" w14:textId="77777777" w:rsidR="003163CD" w:rsidRDefault="003163CD" w:rsidP="009A7EE5">
            <w:pPr>
              <w:autoSpaceDE w:val="0"/>
              <w:autoSpaceDN w:val="0"/>
              <w:adjustRightInd w:val="0"/>
              <w:jc w:val="both"/>
              <w:rPr>
                <w:sz w:val="22"/>
                <w:szCs w:val="22"/>
                <w:lang w:val="eu-ES"/>
              </w:rPr>
            </w:pPr>
            <w:r>
              <w:rPr>
                <w:sz w:val="22"/>
                <w:szCs w:val="22"/>
                <w:lang w:val="eu-ES"/>
              </w:rPr>
              <w:t>Nekazaritza Sailak, espedientea organo honen artxiboetan dagoenez, eskaera aztertu du, eta eskatutako espedientearen eduki osoa berrikusi du. Egiaztatu denez, informazio pertsonal sentikorra du, ikertutako egitateei eta administrazio prozeduraren garapenari lotuta dagoena bereizi ezinik, izenak kentzeak ez baitu bermatzen eragindako interesdunak identifikatzea ezinezkoa denik.</w:t>
            </w:r>
          </w:p>
          <w:p w14:paraId="313F5723" w14:textId="77777777" w:rsidR="003163CD" w:rsidRDefault="003163CD" w:rsidP="009A7EE5">
            <w:pPr>
              <w:autoSpaceDE w:val="0"/>
              <w:autoSpaceDN w:val="0"/>
              <w:adjustRightInd w:val="0"/>
              <w:jc w:val="both"/>
              <w:rPr>
                <w:sz w:val="22"/>
                <w:szCs w:val="22"/>
                <w:lang w:val="eu-ES"/>
              </w:rPr>
            </w:pPr>
          </w:p>
          <w:p w14:paraId="65FEBA72" w14:textId="77777777" w:rsidR="003163CD" w:rsidRDefault="003163CD" w:rsidP="009A7EE5">
            <w:pPr>
              <w:autoSpaceDE w:val="0"/>
              <w:autoSpaceDN w:val="0"/>
              <w:adjustRightInd w:val="0"/>
              <w:jc w:val="both"/>
              <w:rPr>
                <w:sz w:val="22"/>
                <w:szCs w:val="22"/>
                <w:lang w:val="eu-ES"/>
              </w:rPr>
            </w:pPr>
          </w:p>
          <w:p w14:paraId="7843945B" w14:textId="77777777" w:rsidR="003163CD" w:rsidRPr="00DD3D51" w:rsidRDefault="003163CD" w:rsidP="009A7EE5">
            <w:pPr>
              <w:autoSpaceDE w:val="0"/>
              <w:autoSpaceDN w:val="0"/>
              <w:adjustRightInd w:val="0"/>
              <w:jc w:val="both"/>
              <w:rPr>
                <w:sz w:val="22"/>
                <w:lang w:val="eu-ES"/>
              </w:rPr>
            </w:pPr>
          </w:p>
          <w:p w14:paraId="539F6B4E" w14:textId="77777777" w:rsidR="003163CD" w:rsidRPr="00DD3D51" w:rsidRDefault="003163CD" w:rsidP="009A7EE5">
            <w:pPr>
              <w:autoSpaceDE w:val="0"/>
              <w:autoSpaceDN w:val="0"/>
              <w:adjustRightInd w:val="0"/>
              <w:jc w:val="both"/>
              <w:rPr>
                <w:sz w:val="22"/>
                <w:lang w:val="eu-ES"/>
              </w:rPr>
            </w:pPr>
          </w:p>
          <w:p w14:paraId="25E4801B"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r>
              <w:rPr>
                <w:rFonts w:ascii="TimesNewRomanPS-BoldMT" w:eastAsia="TimesNewRomanPS-BoldMT" w:hAnsi="TimesNewRomanPS-BoldMT" w:cs="TimesNewRomanPS-BoldMT"/>
                <w:sz w:val="22"/>
                <w:szCs w:val="22"/>
                <w:lang w:val="eu-ES"/>
              </w:rPr>
              <w:lastRenderedPageBreak/>
              <w:t>Eskatzaileak argudiatutako informazio publikoa eskuratzeko eskubidearen oinarria jarduketa publikoaren gardentasun printzipioan datza, zeina jasota baitago Arabako Lurralde Historikoko sektore publikoaren gardentasunari, informazio publikoa eskuratzeko bideari eta gobernu onari buruzko otsailaren 8ko 1/2017 Foru Arauan.  Hala ere, Gardentasunari, informazio publikoa eskuratzeko bideari eta gobernu onari buruzko 19/2013 Legeak muga espezifikoak ezartzen ditu, bereziki eskatutako informazioak pertsonen intimitateari edo segurtasunari eragin diezaioketen edo bereziki babestuta egon daitezkeen datu pertsonalak dituenean.</w:t>
            </w:r>
          </w:p>
          <w:p w14:paraId="4A134D72"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p>
          <w:p w14:paraId="618EECBF" w14:textId="77777777" w:rsidR="003163CD" w:rsidRDefault="003163CD" w:rsidP="009A7EE5">
            <w:pPr>
              <w:autoSpaceDE w:val="0"/>
              <w:autoSpaceDN w:val="0"/>
              <w:adjustRightInd w:val="0"/>
              <w:jc w:val="both"/>
              <w:rPr>
                <w:sz w:val="22"/>
                <w:szCs w:val="22"/>
                <w:lang w:val="eu-ES"/>
              </w:rPr>
            </w:pPr>
            <w:r>
              <w:rPr>
                <w:sz w:val="22"/>
                <w:szCs w:val="22"/>
                <w:lang w:val="eu-ES"/>
              </w:rPr>
              <w:t>Zehazki, 19/2013 Legearen 15. artikuluak xedatzen duenez, eskatutako informazioak arau hauslearen ohartarazpen publikorik ez dakarten arau hauste administratiboei buruzko datu pertsonalak baditu, sarbidea soilik baimendu ahal izango da eraginpekoen berariazko baimena badago edo lege mailako arau batek babesten badu. Aztertutako kasuan, eskuratu nahi den informazioa zehapen prozedura bati buruzkoa da eta hirugarrenen eskubideei eragiten die, zehapen espedientearen izapidetzeari buruzko datu pertsonalak eta datuak jasota baitaude, eta eraginpekoek informazio hori zabaltzeko berariazko baimenik eman ez dutenez, informazio hori datu pertsonalak babesteko printzipioaren aurkakoa izango litzateke.</w:t>
            </w:r>
          </w:p>
          <w:p w14:paraId="431D4F87"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p>
          <w:p w14:paraId="5680B659"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p>
          <w:p w14:paraId="22E0590A" w14:textId="34588C3D" w:rsidR="003163CD" w:rsidRPr="00DD3D51" w:rsidRDefault="006C279D" w:rsidP="009A7EE5">
            <w:pPr>
              <w:autoSpaceDE w:val="0"/>
              <w:autoSpaceDN w:val="0"/>
              <w:adjustRightInd w:val="0"/>
              <w:jc w:val="both"/>
              <w:rPr>
                <w:rFonts w:ascii="TimesNewRomanPS-BoldMT" w:hAnsi="TimesNewRomanPS-BoldMT" w:cs="TimesNewRomanPS-BoldMT"/>
                <w:sz w:val="22"/>
                <w:szCs w:val="22"/>
                <w:lang w:val="eu-ES"/>
              </w:rPr>
            </w:pPr>
            <w:proofErr w:type="spellStart"/>
            <w:r w:rsidRPr="006C279D">
              <w:rPr>
                <w:rFonts w:ascii="TimesNewRomanPS-BoldMT" w:eastAsia="TimesNewRomanPS-BoldMT" w:hAnsi="TimesNewRomanPS-BoldMT" w:cs="TimesNewRomanPS-BoldMT"/>
                <w:b/>
                <w:bCs/>
                <w:sz w:val="22"/>
                <w:szCs w:val="22"/>
                <w:highlight w:val="black"/>
                <w:lang w:val="eu-ES"/>
              </w:rPr>
              <w:t>xxxxx</w:t>
            </w:r>
            <w:r w:rsidR="003163CD">
              <w:rPr>
                <w:rFonts w:ascii="TimesNewRomanPS-BoldMT" w:eastAsia="TimesNewRomanPS-BoldMT" w:hAnsi="TimesNewRomanPS-BoldMT" w:cs="TimesNewRomanPS-BoldMT"/>
                <w:sz w:val="22"/>
                <w:szCs w:val="22"/>
                <w:lang w:val="eu-ES"/>
              </w:rPr>
              <w:t>k</w:t>
            </w:r>
            <w:proofErr w:type="spellEnd"/>
            <w:r w:rsidR="003163CD">
              <w:rPr>
                <w:rFonts w:ascii="TimesNewRomanPS-BoldMT" w:eastAsia="TimesNewRomanPS-BoldMT" w:hAnsi="TimesNewRomanPS-BoldMT" w:cs="TimesNewRomanPS-BoldMT"/>
                <w:sz w:val="22"/>
                <w:szCs w:val="22"/>
                <w:lang w:val="eu-ES"/>
              </w:rPr>
              <w:t xml:space="preserve"> egindako aipamenari dagokionez, hain zuzen, zehapen prozeduretarako sarbidea onartzen duen Gardentasunaren eta Gobernu Onaren Kontseiluaren 445/2020 Ebazpena, adierazi behar da doktrina hori ezin dela hizpide dugun kasura eraman; izan ere, ebazpen horrek pertsona juridikoei buruzko zehapen espedienteetarako sarbidea aztertzen du, eta pertsona horiei ez zaie aplikatzen pertsona fisikoen, identifikatuen edo identifikagarrien datuak babesteko araudia.</w:t>
            </w:r>
          </w:p>
          <w:p w14:paraId="13C48CE8"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p>
          <w:p w14:paraId="765E6390" w14:textId="77777777" w:rsidR="003163CD" w:rsidRDefault="003163CD" w:rsidP="009A7EE5">
            <w:pPr>
              <w:autoSpaceDE w:val="0"/>
              <w:autoSpaceDN w:val="0"/>
              <w:adjustRightInd w:val="0"/>
              <w:jc w:val="both"/>
              <w:rPr>
                <w:rFonts w:ascii="TimesNewRomanPS-BoldMT" w:eastAsia="TimesNewRomanPS-BoldMT" w:hAnsi="TimesNewRomanPS-BoldMT" w:cs="TimesNewRomanPS-BoldMT"/>
                <w:sz w:val="22"/>
                <w:szCs w:val="22"/>
                <w:lang w:val="eu-ES"/>
              </w:rPr>
            </w:pPr>
            <w:r>
              <w:rPr>
                <w:rFonts w:ascii="TimesNewRomanPS-BoldMT" w:eastAsia="TimesNewRomanPS-BoldMT" w:hAnsi="TimesNewRomanPS-BoldMT" w:cs="TimesNewRomanPS-BoldMT"/>
                <w:sz w:val="22"/>
                <w:szCs w:val="22"/>
                <w:lang w:val="eu-ES"/>
              </w:rPr>
              <w:t xml:space="preserve">Egia bada ere, intimitatea babesteko, araudiak zenbait figura aurreikusten dituela, hala nola datuen disoziazioa edo anonimizazioa, kasu honetan, mekanismo horiek erabili arren, litekeena da tratatu beharreko datuak dituzten pertsonen pribatutasuna babestuta ez geratzea. Hori dela eta, anonimizazioa lehengoratu ahal denez, Nekazaritza zuzendariaren 897/2024 Ebazpenaren bidez hasitako eta jarduketak largesteagatik eta artxibatzeagatik 1686/2024 Ebazpenaren bidez amaitutako zehapen prozeduraren espedientean jasotako datu pertsonalen titularrak biridentifikatuz, eta datu pertsonalak </w:t>
            </w:r>
            <w:r>
              <w:rPr>
                <w:rFonts w:ascii="TimesNewRomanPS-BoldMT" w:eastAsia="TimesNewRomanPS-BoldMT" w:hAnsi="TimesNewRomanPS-BoldMT" w:cs="TimesNewRomanPS-BoldMT"/>
                <w:sz w:val="22"/>
                <w:szCs w:val="22"/>
                <w:lang w:val="eu-ES"/>
              </w:rPr>
              <w:lastRenderedPageBreak/>
              <w:t>disoziatuta edo anonimizatuta partzialki eskuratzeko aukera baloratu denez, ondorioztatu behar da hori ezinezkoa dela identifikazio arriskurik gabe.</w:t>
            </w:r>
          </w:p>
          <w:p w14:paraId="1E1E8FDD" w14:textId="77777777" w:rsidR="003163CD" w:rsidRDefault="003163CD" w:rsidP="009A7EE5">
            <w:pPr>
              <w:autoSpaceDE w:val="0"/>
              <w:autoSpaceDN w:val="0"/>
              <w:adjustRightInd w:val="0"/>
              <w:jc w:val="both"/>
              <w:rPr>
                <w:rFonts w:ascii="TimesNewRomanPS-BoldMT" w:eastAsia="TimesNewRomanPS-BoldMT" w:hAnsi="TimesNewRomanPS-BoldMT" w:cs="TimesNewRomanPS-BoldMT"/>
                <w:sz w:val="22"/>
                <w:szCs w:val="22"/>
                <w:lang w:val="eu-ES"/>
              </w:rPr>
            </w:pPr>
          </w:p>
          <w:p w14:paraId="1581D134"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p>
          <w:p w14:paraId="3043690B" w14:textId="77777777" w:rsidR="003163CD" w:rsidRPr="00DD3D51" w:rsidRDefault="003163CD" w:rsidP="009A7EE5">
            <w:pPr>
              <w:autoSpaceDE w:val="0"/>
              <w:autoSpaceDN w:val="0"/>
              <w:adjustRightInd w:val="0"/>
              <w:jc w:val="both"/>
              <w:rPr>
                <w:rFonts w:ascii="TimesNewRomanPS-BoldMT" w:hAnsi="TimesNewRomanPS-BoldMT" w:cs="TimesNewRomanPS-BoldMT"/>
                <w:sz w:val="22"/>
                <w:szCs w:val="22"/>
                <w:lang w:val="eu-ES"/>
              </w:rPr>
            </w:pPr>
          </w:p>
          <w:p w14:paraId="2521AAD5" w14:textId="77777777" w:rsidR="003163CD" w:rsidRPr="00286421" w:rsidRDefault="003163CD" w:rsidP="009A7EE5">
            <w:pPr>
              <w:autoSpaceDE w:val="0"/>
              <w:autoSpaceDN w:val="0"/>
              <w:adjustRightInd w:val="0"/>
              <w:jc w:val="both"/>
              <w:rPr>
                <w:rFonts w:ascii="TimesNewRomanPS-BoldMT" w:hAnsi="TimesNewRomanPS-BoldMT" w:cs="TimesNewRomanPS-BoldMT"/>
                <w:sz w:val="22"/>
                <w:szCs w:val="22"/>
                <w:lang w:val="es-ES"/>
              </w:rPr>
            </w:pPr>
            <w:r>
              <w:rPr>
                <w:rFonts w:ascii="TimesNewRomanPS-BoldMT" w:eastAsia="TimesNewRomanPS-BoldMT" w:hAnsi="TimesNewRomanPS-BoldMT" w:cs="TimesNewRomanPS-BoldMT"/>
                <w:sz w:val="22"/>
                <w:szCs w:val="22"/>
                <w:lang w:val="eu-ES"/>
              </w:rPr>
              <w:t>Horrenbestez, Arabako Lurralde Historikoko Sektore Publikoaren Gardentasunaren, Herritarren Parte Hartzearen eta Gobernu Onaren Foru Arauaren 35.1 artikuluaren arabera dauzkadan ahalmenak erabiliz, honako hau</w:t>
            </w:r>
          </w:p>
          <w:p w14:paraId="17A36D12" w14:textId="77777777" w:rsidR="003163CD" w:rsidRDefault="003163CD" w:rsidP="009A7EE5">
            <w:pPr>
              <w:autoSpaceDE w:val="0"/>
              <w:autoSpaceDN w:val="0"/>
              <w:adjustRightInd w:val="0"/>
              <w:rPr>
                <w:rFonts w:ascii="TimesNewRomanPSMT" w:hAnsi="TimesNewRomanPSMT" w:cs="TimesNewRomanPSMT"/>
                <w:sz w:val="22"/>
                <w:szCs w:val="22"/>
                <w:lang w:val="es-ES"/>
              </w:rPr>
            </w:pPr>
          </w:p>
          <w:p w14:paraId="739C0E26" w14:textId="77777777" w:rsidR="003163CD" w:rsidRDefault="003163CD" w:rsidP="009A7EE5">
            <w:pPr>
              <w:autoSpaceDE w:val="0"/>
              <w:autoSpaceDN w:val="0"/>
              <w:adjustRightInd w:val="0"/>
              <w:jc w:val="center"/>
              <w:rPr>
                <w:rFonts w:ascii="TimesNewRomanPS-BoldMT" w:hAnsi="TimesNewRomanPS-BoldMT" w:cs="TimesNewRomanPS-BoldMT"/>
                <w:b/>
                <w:bCs/>
                <w:sz w:val="22"/>
                <w:szCs w:val="22"/>
                <w:lang w:val="es-ES"/>
              </w:rPr>
            </w:pPr>
            <w:r>
              <w:rPr>
                <w:rFonts w:ascii="TimesNewRomanPS-BoldMT" w:eastAsia="TimesNewRomanPS-BoldMT" w:hAnsi="TimesNewRomanPS-BoldMT" w:cs="TimesNewRomanPS-BoldMT"/>
                <w:b/>
                <w:bCs/>
                <w:sz w:val="22"/>
                <w:szCs w:val="22"/>
                <w:lang w:val="eu-ES"/>
              </w:rPr>
              <w:t>XEDATZEN DUT</w:t>
            </w:r>
          </w:p>
          <w:p w14:paraId="44D7B400" w14:textId="77777777" w:rsidR="003163CD" w:rsidRDefault="003163CD" w:rsidP="009A7EE5">
            <w:pPr>
              <w:autoSpaceDE w:val="0"/>
              <w:autoSpaceDN w:val="0"/>
              <w:adjustRightInd w:val="0"/>
              <w:jc w:val="center"/>
              <w:rPr>
                <w:rFonts w:ascii="TimesNewRomanPS-BoldMT" w:hAnsi="TimesNewRomanPS-BoldMT" w:cs="TimesNewRomanPS-BoldMT"/>
                <w:b/>
                <w:bCs/>
                <w:sz w:val="22"/>
                <w:szCs w:val="22"/>
                <w:lang w:val="es-ES"/>
              </w:rPr>
            </w:pPr>
          </w:p>
          <w:p w14:paraId="222148EE" w14:textId="651FA1E3" w:rsidR="003163CD" w:rsidRDefault="003163CD" w:rsidP="009A7EE5">
            <w:pPr>
              <w:autoSpaceDE w:val="0"/>
              <w:autoSpaceDN w:val="0"/>
              <w:adjustRightInd w:val="0"/>
              <w:jc w:val="both"/>
              <w:rPr>
                <w:rFonts w:ascii="TimesNewRomanPS-BoldMT" w:eastAsia="TimesNewRomanPS-BoldMT" w:hAnsi="TimesNewRomanPS-BoldMT" w:cs="TimesNewRomanPS-BoldMT"/>
                <w:sz w:val="22"/>
                <w:szCs w:val="22"/>
                <w:lang w:val="eu-ES"/>
              </w:rPr>
            </w:pPr>
            <w:r>
              <w:rPr>
                <w:rFonts w:ascii="TimesNewRomanPS-BoldMT" w:eastAsia="TimesNewRomanPS-BoldMT" w:hAnsi="TimesNewRomanPS-BoldMT" w:cs="TimesNewRomanPS-BoldMT"/>
                <w:sz w:val="22"/>
                <w:szCs w:val="22"/>
                <w:lang w:val="eu-ES"/>
              </w:rPr>
              <w:t xml:space="preserve">Lehenengoa. Ukatzea </w:t>
            </w:r>
            <w:proofErr w:type="spellStart"/>
            <w:r w:rsidR="006C279D" w:rsidRPr="006C279D">
              <w:rPr>
                <w:rFonts w:ascii="TimesNewRomanPS-BoldMT" w:eastAsia="TimesNewRomanPS-BoldMT" w:hAnsi="TimesNewRomanPS-BoldMT" w:cs="TimesNewRomanPS-BoldMT"/>
                <w:sz w:val="22"/>
                <w:szCs w:val="22"/>
                <w:highlight w:val="black"/>
                <w:lang w:val="eu-ES"/>
              </w:rPr>
              <w:t>xxxxx</w:t>
            </w:r>
            <w:r w:rsidR="006C279D">
              <w:rPr>
                <w:rFonts w:ascii="TimesNewRomanPS-BoldMT" w:eastAsia="TimesNewRomanPS-BoldMT" w:hAnsi="TimesNewRomanPS-BoldMT" w:cs="TimesNewRomanPS-BoldMT"/>
                <w:sz w:val="22"/>
                <w:szCs w:val="22"/>
                <w:lang w:val="eu-ES"/>
              </w:rPr>
              <w:t>k</w:t>
            </w:r>
            <w:proofErr w:type="spellEnd"/>
            <w:r>
              <w:rPr>
                <w:rFonts w:ascii="TimesNewRomanPS-BoldMT" w:eastAsia="TimesNewRomanPS-BoldMT" w:hAnsi="TimesNewRomanPS-BoldMT" w:cs="TimesNewRomanPS-BoldMT"/>
                <w:sz w:val="22"/>
                <w:szCs w:val="22"/>
                <w:lang w:val="eu-ES"/>
              </w:rPr>
              <w:t xml:space="preserve"> egindako eskaera 897/2024 Ebazpenaren bidez hasitako zehapen espedientean sartzeko, ebazpen honetan jasotako arrazoiengatik, espedientean datu pertsonalak daudelako eta datu horien titularrak identifikatzea eragozteko nahikoa disoziatzen ez direlako, eta, ondorioz, datuen babeserako eta norberaren eta familiaren intimitaterako oinarrizko eskubideak urratzeko benetako arriskua dagoelako.</w:t>
            </w:r>
          </w:p>
          <w:p w14:paraId="71F79FA2" w14:textId="77777777" w:rsidR="003163CD" w:rsidRPr="009D7E91" w:rsidRDefault="003163CD" w:rsidP="009A7EE5">
            <w:pPr>
              <w:autoSpaceDE w:val="0"/>
              <w:autoSpaceDN w:val="0"/>
              <w:adjustRightInd w:val="0"/>
              <w:jc w:val="both"/>
              <w:rPr>
                <w:rFonts w:ascii="TimesNewRomanPS-BoldMT" w:hAnsi="TimesNewRomanPS-BoldMT" w:cs="TimesNewRomanPS-BoldMT"/>
                <w:sz w:val="22"/>
                <w:szCs w:val="22"/>
                <w:lang w:val="es-ES"/>
              </w:rPr>
            </w:pPr>
          </w:p>
          <w:p w14:paraId="43B40D80" w14:textId="77777777" w:rsidR="003163CD" w:rsidRDefault="003163CD" w:rsidP="009A7EE5">
            <w:pPr>
              <w:autoSpaceDE w:val="0"/>
              <w:autoSpaceDN w:val="0"/>
              <w:adjustRightInd w:val="0"/>
              <w:jc w:val="both"/>
              <w:rPr>
                <w:rFonts w:ascii="TimesNewRomanPS-BoldMT" w:hAnsi="TimesNewRomanPS-BoldMT" w:cs="TimesNewRomanPS-BoldMT"/>
                <w:b/>
                <w:bCs/>
                <w:sz w:val="22"/>
                <w:szCs w:val="22"/>
                <w:lang w:val="es-ES"/>
              </w:rPr>
            </w:pPr>
          </w:p>
          <w:p w14:paraId="6D76C6E2" w14:textId="77777777" w:rsidR="003163CD" w:rsidRDefault="003163CD" w:rsidP="009A7EE5">
            <w:pPr>
              <w:autoSpaceDE w:val="0"/>
              <w:autoSpaceDN w:val="0"/>
              <w:adjustRightInd w:val="0"/>
              <w:jc w:val="both"/>
              <w:rPr>
                <w:sz w:val="22"/>
                <w:lang w:val="es-ES"/>
              </w:rPr>
            </w:pPr>
            <w:r>
              <w:rPr>
                <w:sz w:val="22"/>
                <w:szCs w:val="22"/>
                <w:lang w:val="eu-ES"/>
              </w:rPr>
              <w:t>Bigarrena. Ebazpen honek amaiera ematen dio administrazio bideari, eta, berorren aurka, administrazioarekiko auzi errekurtsoa aurkez daiteke Gasteizko administrazioarekiko auzietarako epaitegian, bi hilabeteko epean, edo, bestela, erreklamazioa aurkez dakioke, aldez aurretik eta nahi izanez gero, Gardentasunaren eta Gobernu Onaren Foru Kontseiluari, hilabeteko epean. Bi kasuetan, ebazpena jakinarazi eta hurrengo egunetik aurrera hasiko da epea kontatzen.</w:t>
            </w:r>
          </w:p>
          <w:p w14:paraId="00B8AEB6" w14:textId="77777777" w:rsidR="003163CD" w:rsidRPr="002A1CC9" w:rsidRDefault="003163CD" w:rsidP="009A7EE5">
            <w:pPr>
              <w:pStyle w:val="Sangradetextonormal"/>
              <w:tabs>
                <w:tab w:val="clear" w:pos="1702"/>
                <w:tab w:val="clear" w:pos="4253"/>
                <w:tab w:val="clear" w:pos="5104"/>
                <w:tab w:val="clear" w:pos="5812"/>
              </w:tabs>
              <w:spacing w:before="0" w:after="0"/>
              <w:ind w:firstLine="0"/>
              <w:jc w:val="both"/>
              <w:rPr>
                <w:rFonts w:ascii="Arial" w:hAnsi="Arial" w:cs="Arial"/>
                <w:sz w:val="16"/>
                <w:szCs w:val="16"/>
                <w:lang w:val="es-ES"/>
              </w:rPr>
            </w:pPr>
          </w:p>
        </w:tc>
        <w:tc>
          <w:tcPr>
            <w:tcW w:w="284" w:type="dxa"/>
          </w:tcPr>
          <w:p w14:paraId="48133117" w14:textId="77777777" w:rsidR="003163CD" w:rsidRPr="00426B3C" w:rsidRDefault="003163CD" w:rsidP="009A7EE5">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234F294F" w14:textId="570194BF" w:rsidR="003163CD" w:rsidRPr="00D35916" w:rsidRDefault="003163CD" w:rsidP="009A7EE5">
            <w:pPr>
              <w:autoSpaceDE w:val="0"/>
              <w:autoSpaceDN w:val="0"/>
              <w:adjustRightInd w:val="0"/>
              <w:rPr>
                <w:rFonts w:ascii="TimesNewRomanPS-BoldMT" w:hAnsi="TimesNewRomanPS-BoldMT" w:cs="TimesNewRomanPS-BoldMT"/>
                <w:b/>
                <w:bCs/>
                <w:sz w:val="22"/>
                <w:szCs w:val="22"/>
                <w:lang w:val="es-ES"/>
              </w:rPr>
            </w:pPr>
            <w:r w:rsidRPr="00D35916">
              <w:rPr>
                <w:rFonts w:ascii="TimesNewRomanPS-BoldMT" w:hAnsi="TimesNewRomanPS-BoldMT" w:cs="TimesNewRomanPS-BoldMT"/>
                <w:b/>
                <w:bCs/>
                <w:sz w:val="22"/>
                <w:szCs w:val="22"/>
              </w:rPr>
              <w:t>D</w:t>
            </w:r>
            <w:r>
              <w:rPr>
                <w:rFonts w:ascii="TimesNewRomanPS-BoldMT" w:hAnsi="TimesNewRomanPS-BoldMT" w:cs="TimesNewRomanPS-BoldMT"/>
                <w:b/>
                <w:bCs/>
                <w:sz w:val="22"/>
                <w:szCs w:val="22"/>
              </w:rPr>
              <w:t>enegar</w:t>
            </w:r>
            <w:r w:rsidRPr="00D35916">
              <w:rPr>
                <w:rFonts w:ascii="TimesNewRomanPS-BoldMT" w:hAnsi="TimesNewRomanPS-BoldMT" w:cs="TimesNewRomanPS-BoldMT"/>
                <w:b/>
                <w:bCs/>
                <w:sz w:val="22"/>
                <w:szCs w:val="22"/>
              </w:rPr>
              <w:t xml:space="preserve"> acc</w:t>
            </w:r>
            <w:r w:rsidRPr="00D35916">
              <w:rPr>
                <w:rFonts w:ascii="TimesNewRomanPS-BoldMT" w:hAnsi="TimesNewRomanPS-BoldMT" w:cs="TimesNewRomanPS-BoldMT"/>
                <w:b/>
                <w:bCs/>
                <w:sz w:val="22"/>
                <w:szCs w:val="22"/>
                <w:lang w:val="es-ES"/>
              </w:rPr>
              <w:t xml:space="preserve">eso a información pública por parte de </w:t>
            </w:r>
            <w:proofErr w:type="spellStart"/>
            <w:r w:rsidR="006C279D" w:rsidRPr="006C279D">
              <w:rPr>
                <w:b/>
                <w:bCs/>
                <w:sz w:val="22"/>
                <w:highlight w:val="black"/>
                <w:lang w:val="es-ES"/>
              </w:rPr>
              <w:t>xxxxx</w:t>
            </w:r>
            <w:proofErr w:type="spellEnd"/>
            <w:r w:rsidRPr="00D35916">
              <w:rPr>
                <w:b/>
                <w:bCs/>
                <w:sz w:val="22"/>
                <w:lang w:val="es-ES"/>
              </w:rPr>
              <w:t xml:space="preserve"> </w:t>
            </w:r>
          </w:p>
          <w:p w14:paraId="2EF0747F" w14:textId="77777777" w:rsidR="003163CD" w:rsidRDefault="003163CD" w:rsidP="009A7EE5">
            <w:pPr>
              <w:autoSpaceDE w:val="0"/>
              <w:autoSpaceDN w:val="0"/>
              <w:adjustRightInd w:val="0"/>
              <w:jc w:val="both"/>
              <w:rPr>
                <w:sz w:val="22"/>
                <w:lang w:val="es-ES"/>
              </w:rPr>
            </w:pPr>
          </w:p>
          <w:p w14:paraId="59B1F9D6" w14:textId="66744EF6" w:rsidR="003163CD" w:rsidRDefault="003163CD" w:rsidP="009A7EE5">
            <w:pPr>
              <w:autoSpaceDE w:val="0"/>
              <w:autoSpaceDN w:val="0"/>
              <w:adjustRightInd w:val="0"/>
              <w:jc w:val="both"/>
              <w:rPr>
                <w:sz w:val="22"/>
                <w:lang w:val="es-ES"/>
              </w:rPr>
            </w:pPr>
            <w:r w:rsidRPr="00D35916">
              <w:rPr>
                <w:sz w:val="22"/>
                <w:lang w:val="es-ES"/>
              </w:rPr>
              <w:t xml:space="preserve">En fecha </w:t>
            </w:r>
            <w:r>
              <w:rPr>
                <w:sz w:val="22"/>
                <w:lang w:val="es-ES"/>
              </w:rPr>
              <w:t>30 de junio de 2025</w:t>
            </w:r>
            <w:r w:rsidRPr="00C90090">
              <w:rPr>
                <w:sz w:val="22"/>
                <w:lang w:val="es-ES"/>
              </w:rPr>
              <w:t>,</w:t>
            </w:r>
            <w:r>
              <w:rPr>
                <w:sz w:val="22"/>
                <w:lang w:val="es-ES"/>
              </w:rPr>
              <w:t xml:space="preserve"> </w:t>
            </w:r>
            <w:proofErr w:type="spellStart"/>
            <w:r w:rsidR="006C279D" w:rsidRPr="006C279D">
              <w:rPr>
                <w:sz w:val="22"/>
                <w:highlight w:val="black"/>
                <w:lang w:val="es-ES"/>
              </w:rPr>
              <w:t>xxxxx</w:t>
            </w:r>
            <w:proofErr w:type="spellEnd"/>
            <w:r w:rsidRPr="00D35916">
              <w:rPr>
                <w:sz w:val="22"/>
                <w:lang w:val="es-ES"/>
              </w:rPr>
              <w:t xml:space="preserve"> formuló solicitud de acceso y copia íntegra al expediente </w:t>
            </w:r>
            <w:r>
              <w:rPr>
                <w:sz w:val="22"/>
                <w:lang w:val="es-ES"/>
              </w:rPr>
              <w:t xml:space="preserve">del procedimiento </w:t>
            </w:r>
            <w:r w:rsidRPr="00D35916">
              <w:rPr>
                <w:sz w:val="22"/>
                <w:lang w:val="es-ES"/>
              </w:rPr>
              <w:t xml:space="preserve">sancionador </w:t>
            </w:r>
            <w:r>
              <w:rPr>
                <w:sz w:val="22"/>
                <w:lang w:val="es-ES"/>
              </w:rPr>
              <w:t>incoado por</w:t>
            </w:r>
            <w:r w:rsidRPr="00D35916">
              <w:rPr>
                <w:sz w:val="22"/>
                <w:lang w:val="es-ES"/>
              </w:rPr>
              <w:t xml:space="preserve"> Resolución 897/2024, relativo a hechos de presunta infracción en materia de transporte y sanidad animal. </w:t>
            </w:r>
          </w:p>
          <w:p w14:paraId="1BCA6E72" w14:textId="77777777" w:rsidR="003163CD" w:rsidRDefault="003163CD" w:rsidP="009A7EE5">
            <w:pPr>
              <w:autoSpaceDE w:val="0"/>
              <w:autoSpaceDN w:val="0"/>
              <w:adjustRightInd w:val="0"/>
              <w:jc w:val="both"/>
              <w:rPr>
                <w:sz w:val="22"/>
                <w:lang w:val="es-ES"/>
              </w:rPr>
            </w:pPr>
          </w:p>
          <w:p w14:paraId="3FFBCDE0" w14:textId="77777777" w:rsidR="003163CD" w:rsidRPr="00D35916" w:rsidRDefault="003163CD" w:rsidP="009A7EE5">
            <w:pPr>
              <w:autoSpaceDE w:val="0"/>
              <w:autoSpaceDN w:val="0"/>
              <w:adjustRightInd w:val="0"/>
              <w:jc w:val="both"/>
              <w:rPr>
                <w:sz w:val="22"/>
                <w:lang w:val="es-ES"/>
              </w:rPr>
            </w:pPr>
            <w:r>
              <w:rPr>
                <w:sz w:val="22"/>
                <w:lang w:val="es-ES"/>
              </w:rPr>
              <w:t>Fundamentaba su petición en el derecho de acceso a la información pública sin necesidad de ostentar la condición de interesado, aclarando que e</w:t>
            </w:r>
            <w:r w:rsidRPr="00D35916">
              <w:rPr>
                <w:sz w:val="22"/>
                <w:lang w:val="es-ES"/>
              </w:rPr>
              <w:t>l procedimiento al que alude la solicitud se encuentra finalizado a la fecha de la petición</w:t>
            </w:r>
            <w:r>
              <w:rPr>
                <w:sz w:val="22"/>
                <w:lang w:val="es-ES"/>
              </w:rPr>
              <w:t xml:space="preserve"> y refiriéndose, como fundamento de su petición, a la Resolución 445/2020, del Consejo de Transparencia y Buen Gobierno.</w:t>
            </w:r>
          </w:p>
          <w:p w14:paraId="3A15E8A3" w14:textId="77777777" w:rsidR="003163CD" w:rsidRPr="00D35916" w:rsidRDefault="003163CD" w:rsidP="009A7EE5">
            <w:pPr>
              <w:autoSpaceDE w:val="0"/>
              <w:autoSpaceDN w:val="0"/>
              <w:adjustRightInd w:val="0"/>
              <w:jc w:val="both"/>
              <w:rPr>
                <w:sz w:val="22"/>
                <w:lang w:val="es-ES"/>
              </w:rPr>
            </w:pPr>
          </w:p>
          <w:p w14:paraId="758A7C05" w14:textId="77777777" w:rsidR="003163CD" w:rsidRDefault="003163CD" w:rsidP="009A7EE5">
            <w:pPr>
              <w:autoSpaceDE w:val="0"/>
              <w:autoSpaceDN w:val="0"/>
              <w:adjustRightInd w:val="0"/>
              <w:jc w:val="both"/>
              <w:rPr>
                <w:sz w:val="22"/>
                <w:lang w:val="es-ES"/>
              </w:rPr>
            </w:pPr>
            <w:r w:rsidRPr="00D35916">
              <w:rPr>
                <w:sz w:val="22"/>
                <w:lang w:val="es-ES"/>
              </w:rPr>
              <w:t xml:space="preserve">Por parte del </w:t>
            </w:r>
            <w:r>
              <w:rPr>
                <w:sz w:val="22"/>
                <w:lang w:val="es-ES"/>
              </w:rPr>
              <w:t>Departamento de Agricultura</w:t>
            </w:r>
            <w:r w:rsidRPr="00D35916">
              <w:rPr>
                <w:sz w:val="22"/>
                <w:lang w:val="es-ES"/>
              </w:rPr>
              <w:t>, obrando el expediente en los archivos de este órgano, se ha procedido al análisis de la solicitud, así como a la revisión del contenido completo del expediente requerido, constatándose que el mismo incluye información sensible de carácter personal</w:t>
            </w:r>
            <w:r>
              <w:rPr>
                <w:sz w:val="22"/>
                <w:lang w:val="es-ES"/>
              </w:rPr>
              <w:t>,</w:t>
            </w:r>
            <w:r w:rsidRPr="00D35916">
              <w:rPr>
                <w:sz w:val="22"/>
                <w:lang w:val="es-ES"/>
              </w:rPr>
              <w:t xml:space="preserve"> ligad</w:t>
            </w:r>
            <w:r>
              <w:rPr>
                <w:sz w:val="22"/>
                <w:lang w:val="es-ES"/>
              </w:rPr>
              <w:t>a</w:t>
            </w:r>
            <w:r w:rsidRPr="00D35916">
              <w:rPr>
                <w:sz w:val="22"/>
                <w:lang w:val="es-ES"/>
              </w:rPr>
              <w:t xml:space="preserve"> de forma indisoluble a los hechos </w:t>
            </w:r>
            <w:r>
              <w:rPr>
                <w:sz w:val="22"/>
                <w:lang w:val="es-ES"/>
              </w:rPr>
              <w:t>investig</w:t>
            </w:r>
            <w:r w:rsidRPr="00D35916">
              <w:rPr>
                <w:sz w:val="22"/>
                <w:lang w:val="es-ES"/>
              </w:rPr>
              <w:t>ados y al desarrollo del procedimiento administrativo, de tal forma que su anonimización no garantiza la imposibilidad de identificación de los interesados afectados</w:t>
            </w:r>
            <w:r>
              <w:rPr>
                <w:sz w:val="22"/>
                <w:lang w:val="es-ES"/>
              </w:rPr>
              <w:t>.</w:t>
            </w:r>
          </w:p>
          <w:p w14:paraId="5CC4BE9B" w14:textId="77777777" w:rsidR="003163CD" w:rsidRPr="00D35916" w:rsidRDefault="003163CD" w:rsidP="009A7EE5">
            <w:pPr>
              <w:autoSpaceDE w:val="0"/>
              <w:autoSpaceDN w:val="0"/>
              <w:adjustRightInd w:val="0"/>
              <w:jc w:val="both"/>
              <w:rPr>
                <w:sz w:val="22"/>
                <w:lang w:val="es-ES"/>
              </w:rPr>
            </w:pPr>
          </w:p>
          <w:p w14:paraId="02D124A4"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r w:rsidRPr="00D35916">
              <w:rPr>
                <w:rFonts w:ascii="TimesNewRomanPS-BoldMT" w:hAnsi="TimesNewRomanPS-BoldMT" w:cs="TimesNewRomanPS-BoldMT"/>
                <w:sz w:val="22"/>
                <w:szCs w:val="22"/>
                <w:lang w:val="es-ES"/>
              </w:rPr>
              <w:lastRenderedPageBreak/>
              <w:t>El derecho de acceso a la información pública</w:t>
            </w:r>
            <w:r>
              <w:rPr>
                <w:rFonts w:ascii="TimesNewRomanPS-BoldMT" w:hAnsi="TimesNewRomanPS-BoldMT" w:cs="TimesNewRomanPS-BoldMT"/>
                <w:sz w:val="22"/>
                <w:szCs w:val="22"/>
                <w:lang w:val="es-ES"/>
              </w:rPr>
              <w:t xml:space="preserve"> aducido por el peticionario</w:t>
            </w:r>
            <w:r w:rsidRPr="00D35916">
              <w:rPr>
                <w:rFonts w:ascii="TimesNewRomanPS-BoldMT" w:hAnsi="TimesNewRomanPS-BoldMT" w:cs="TimesNewRomanPS-BoldMT"/>
                <w:sz w:val="22"/>
                <w:szCs w:val="22"/>
                <w:lang w:val="es-ES"/>
              </w:rPr>
              <w:t xml:space="preserve"> encuentra su fundamento en el principio de transparencia de la actuación pública, recogido en </w:t>
            </w:r>
            <w:r>
              <w:rPr>
                <w:rFonts w:ascii="TimesNewRomanPS-BoldMT" w:hAnsi="TimesNewRomanPS-BoldMT" w:cs="TimesNewRomanPS-BoldMT"/>
                <w:sz w:val="22"/>
                <w:szCs w:val="22"/>
                <w:lang w:val="es-ES"/>
              </w:rPr>
              <w:t xml:space="preserve">la </w:t>
            </w:r>
            <w:r w:rsidRPr="007A3075">
              <w:rPr>
                <w:rFonts w:ascii="TimesNewRomanPS-BoldMT" w:hAnsi="TimesNewRomanPS-BoldMT" w:cs="TimesNewRomanPS-BoldMT"/>
                <w:sz w:val="22"/>
                <w:szCs w:val="22"/>
              </w:rPr>
              <w:t>Norma Foral 1/2017, de 8 de febrero,</w:t>
            </w:r>
            <w:r w:rsidRPr="00D35916">
              <w:rPr>
                <w:rFonts w:ascii="TimesNewRomanPS-BoldMT" w:hAnsi="TimesNewRomanPS-BoldMT" w:cs="TimesNewRomanPS-BoldMT"/>
                <w:sz w:val="22"/>
                <w:szCs w:val="22"/>
                <w:lang w:val="es-ES"/>
              </w:rPr>
              <w:t xml:space="preserve"> de transparencia, acceso a la información pública y buen gobierno</w:t>
            </w:r>
            <w:r>
              <w:rPr>
                <w:rFonts w:ascii="TimesNewRomanPS-BoldMT" w:hAnsi="TimesNewRomanPS-BoldMT" w:cs="TimesNewRomanPS-BoldMT"/>
                <w:sz w:val="22"/>
                <w:szCs w:val="22"/>
                <w:lang w:val="es-ES"/>
              </w:rPr>
              <w:t xml:space="preserve"> del sector público del Territorio Histórico de Álava</w:t>
            </w:r>
            <w:r w:rsidRPr="00D35916">
              <w:rPr>
                <w:rFonts w:ascii="TimesNewRomanPS-BoldMT" w:hAnsi="TimesNewRomanPS-BoldMT" w:cs="TimesNewRomanPS-BoldMT"/>
                <w:sz w:val="22"/>
                <w:szCs w:val="22"/>
                <w:lang w:val="es-ES"/>
              </w:rPr>
              <w:t>.</w:t>
            </w:r>
            <w:r>
              <w:rPr>
                <w:rFonts w:ascii="TimesNewRomanPS-BoldMT" w:hAnsi="TimesNewRomanPS-BoldMT" w:cs="TimesNewRomanPS-BoldMT"/>
                <w:sz w:val="22"/>
                <w:szCs w:val="22"/>
                <w:lang w:val="es-ES"/>
              </w:rPr>
              <w:t xml:space="preserve">  Ahora bien, la Ley 19/2013, </w:t>
            </w:r>
            <w:r w:rsidRPr="00D35916">
              <w:rPr>
                <w:rFonts w:ascii="TimesNewRomanPS-BoldMT" w:hAnsi="TimesNewRomanPS-BoldMT" w:cs="TimesNewRomanPS-BoldMT"/>
                <w:sz w:val="22"/>
                <w:szCs w:val="22"/>
                <w:lang w:val="es-ES"/>
              </w:rPr>
              <w:t>de transparencia, acceso a la información pública y buen gobierno</w:t>
            </w:r>
            <w:r>
              <w:rPr>
                <w:rFonts w:ascii="TimesNewRomanPS-BoldMT" w:hAnsi="TimesNewRomanPS-BoldMT" w:cs="TimesNewRomanPS-BoldMT"/>
                <w:sz w:val="22"/>
                <w:szCs w:val="22"/>
                <w:lang w:val="es-ES"/>
              </w:rPr>
              <w:t>,</w:t>
            </w:r>
            <w:r w:rsidRPr="00D35916">
              <w:rPr>
                <w:rFonts w:ascii="TimesNewRomanPS-BoldMT" w:hAnsi="TimesNewRomanPS-BoldMT" w:cs="TimesNewRomanPS-BoldMT"/>
                <w:sz w:val="22"/>
                <w:szCs w:val="22"/>
                <w:lang w:val="es-ES"/>
              </w:rPr>
              <w:t xml:space="preserve"> establece límites específicos, especialmente cuando la información solicitada contiene datos de carácter personal que pueden afectar a la intimidad o seguridad de las personas o estar especialmente protegidos.</w:t>
            </w:r>
          </w:p>
          <w:p w14:paraId="2C77635F"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p>
          <w:p w14:paraId="7B2C0B67"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p>
          <w:p w14:paraId="63BE61BB"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r w:rsidRPr="007A3075">
              <w:rPr>
                <w:sz w:val="22"/>
                <w:szCs w:val="22"/>
                <w:lang w:val="es-ES"/>
              </w:rPr>
              <w:t xml:space="preserve">Concretamente, </w:t>
            </w:r>
            <w:hyperlink r:id="rId8" w:history="1">
              <w:r w:rsidRPr="007A3075">
                <w:rPr>
                  <w:sz w:val="22"/>
                  <w:szCs w:val="22"/>
                </w:rPr>
                <w:t>el</w:t>
              </w:r>
            </w:hyperlink>
            <w:r>
              <w:rPr>
                <w:rFonts w:ascii="TimesNewRomanPS-BoldMT" w:hAnsi="TimesNewRomanPS-BoldMT" w:cs="TimesNewRomanPS-BoldMT"/>
                <w:sz w:val="22"/>
                <w:szCs w:val="22"/>
                <w:lang w:val="es-ES"/>
              </w:rPr>
              <w:t xml:space="preserve"> artículo 15 de la citada Ley 19/2013</w:t>
            </w:r>
            <w:r w:rsidRPr="00D35916">
              <w:rPr>
                <w:rFonts w:ascii="TimesNewRomanPS-BoldMT" w:hAnsi="TimesNewRomanPS-BoldMT" w:cs="TimesNewRomanPS-BoldMT"/>
                <w:sz w:val="22"/>
                <w:szCs w:val="22"/>
                <w:lang w:val="es-ES"/>
              </w:rPr>
              <w:t> dispone que, si la información solicitada incluyera datos personales relativos a la comisión de infracciones administrativas que no conlleven la amonestación pública del infractor, el acceso únicamente puede autorizarse si existe consentimiento expreso de los afectados o está amparado por norma con rango de ley. En el caso analizado, la información a la que se pretende acceder</w:t>
            </w:r>
            <w:r>
              <w:rPr>
                <w:rFonts w:ascii="TimesNewRomanPS-BoldMT" w:hAnsi="TimesNewRomanPS-BoldMT" w:cs="TimesNewRomanPS-BoldMT"/>
                <w:sz w:val="22"/>
                <w:szCs w:val="22"/>
                <w:lang w:val="es-ES"/>
              </w:rPr>
              <w:t>, referida a un procedimiento sancionador,</w:t>
            </w:r>
            <w:r w:rsidRPr="00D35916">
              <w:rPr>
                <w:rFonts w:ascii="TimesNewRomanPS-BoldMT" w:hAnsi="TimesNewRomanPS-BoldMT" w:cs="TimesNewRomanPS-BoldMT"/>
                <w:sz w:val="22"/>
                <w:szCs w:val="22"/>
                <w:lang w:val="es-ES"/>
              </w:rPr>
              <w:t xml:space="preserve"> afecta a los derechos de terceros, constando datos </w:t>
            </w:r>
            <w:r>
              <w:rPr>
                <w:rFonts w:ascii="TimesNewRomanPS-BoldMT" w:hAnsi="TimesNewRomanPS-BoldMT" w:cs="TimesNewRomanPS-BoldMT"/>
                <w:sz w:val="22"/>
                <w:szCs w:val="22"/>
                <w:lang w:val="es-ES"/>
              </w:rPr>
              <w:t xml:space="preserve">personales </w:t>
            </w:r>
            <w:r w:rsidRPr="00D35916">
              <w:rPr>
                <w:rFonts w:ascii="TimesNewRomanPS-BoldMT" w:hAnsi="TimesNewRomanPS-BoldMT" w:cs="TimesNewRomanPS-BoldMT"/>
                <w:sz w:val="22"/>
                <w:szCs w:val="22"/>
                <w:lang w:val="es-ES"/>
              </w:rPr>
              <w:t xml:space="preserve">y datos relativos a la tramitación del expediente sancionador, </w:t>
            </w:r>
            <w:r>
              <w:rPr>
                <w:rFonts w:ascii="TimesNewRomanPS-BoldMT" w:hAnsi="TimesNewRomanPS-BoldMT" w:cs="TimesNewRomanPS-BoldMT"/>
                <w:sz w:val="22"/>
                <w:szCs w:val="22"/>
                <w:lang w:val="es-ES"/>
              </w:rPr>
              <w:t>y al no existir consentimiento expreso de los afectados para su divulgación, ésta sería contraria al principio de protección de los datos de carácter personal.</w:t>
            </w:r>
          </w:p>
          <w:p w14:paraId="19B831C1"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p>
          <w:p w14:paraId="4A598564" w14:textId="66E1EA70" w:rsidR="003163CD" w:rsidRDefault="003163CD" w:rsidP="009A7EE5">
            <w:pPr>
              <w:autoSpaceDE w:val="0"/>
              <w:autoSpaceDN w:val="0"/>
              <w:adjustRightInd w:val="0"/>
              <w:jc w:val="both"/>
              <w:rPr>
                <w:rFonts w:ascii="TimesNewRomanPS-BoldMT" w:hAnsi="TimesNewRomanPS-BoldMT" w:cs="TimesNewRomanPS-BoldMT"/>
                <w:sz w:val="22"/>
                <w:szCs w:val="22"/>
                <w:lang w:val="es-ES"/>
              </w:rPr>
            </w:pPr>
            <w:r>
              <w:rPr>
                <w:rFonts w:ascii="TimesNewRomanPS-BoldMT" w:hAnsi="TimesNewRomanPS-BoldMT" w:cs="TimesNewRomanPS-BoldMT"/>
                <w:sz w:val="22"/>
                <w:szCs w:val="22"/>
                <w:lang w:val="es-ES"/>
              </w:rPr>
              <w:t xml:space="preserve">Respecto a la remisión que el </w:t>
            </w:r>
            <w:proofErr w:type="spellStart"/>
            <w:r w:rsidR="006C279D" w:rsidRPr="006C279D">
              <w:rPr>
                <w:rFonts w:ascii="TimesNewRomanPS-BoldMT" w:hAnsi="TimesNewRomanPS-BoldMT" w:cs="TimesNewRomanPS-BoldMT"/>
                <w:sz w:val="22"/>
                <w:szCs w:val="22"/>
                <w:highlight w:val="black"/>
                <w:lang w:val="es-ES"/>
              </w:rPr>
              <w:t>xxxxx</w:t>
            </w:r>
            <w:proofErr w:type="spellEnd"/>
            <w:r>
              <w:rPr>
                <w:rFonts w:ascii="TimesNewRomanPS-BoldMT" w:hAnsi="TimesNewRomanPS-BoldMT" w:cs="TimesNewRomanPS-BoldMT"/>
                <w:sz w:val="22"/>
                <w:szCs w:val="22"/>
                <w:lang w:val="es-ES"/>
              </w:rPr>
              <w:t xml:space="preserve"> realiza a la Resolución 445/2020, del Consejo de Transparencia y Buen Gobierno que admite el acceso a procedimientos sancionadores, procede señalar que dicha doctrina no es trasladable al caso que nos ocupa, ya que esa Resolución analiza el acceso a expedientes sancionadores en relación con personas jurídicas, a las cuales no les es de aplicación la normativa de protección de datos de personas físicas, identificadas o identificables.</w:t>
            </w:r>
          </w:p>
          <w:p w14:paraId="675F23B8" w14:textId="77777777" w:rsidR="003163CD" w:rsidRPr="00D35916" w:rsidRDefault="003163CD" w:rsidP="009A7EE5">
            <w:pPr>
              <w:autoSpaceDE w:val="0"/>
              <w:autoSpaceDN w:val="0"/>
              <w:adjustRightInd w:val="0"/>
              <w:jc w:val="both"/>
              <w:rPr>
                <w:rFonts w:ascii="TimesNewRomanPS-BoldMT" w:hAnsi="TimesNewRomanPS-BoldMT" w:cs="TimesNewRomanPS-BoldMT"/>
                <w:sz w:val="22"/>
                <w:szCs w:val="22"/>
                <w:lang w:val="es-ES"/>
              </w:rPr>
            </w:pPr>
          </w:p>
          <w:p w14:paraId="47EA343E"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p>
          <w:p w14:paraId="7EE305A9"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r>
              <w:rPr>
                <w:rFonts w:ascii="TimesNewRomanPS-BoldMT" w:hAnsi="TimesNewRomanPS-BoldMT" w:cs="TimesNewRomanPS-BoldMT"/>
                <w:sz w:val="22"/>
                <w:szCs w:val="22"/>
                <w:lang w:val="es-ES"/>
              </w:rPr>
              <w:t xml:space="preserve">Si bien es cierto que, al objeto de salvaguardar la intimidad, la </w:t>
            </w:r>
            <w:r w:rsidRPr="009D7E91">
              <w:rPr>
                <w:rFonts w:ascii="TimesNewRomanPS-BoldMT" w:hAnsi="TimesNewRomanPS-BoldMT" w:cs="TimesNewRomanPS-BoldMT"/>
                <w:sz w:val="22"/>
                <w:szCs w:val="22"/>
                <w:lang w:val="es-ES"/>
              </w:rPr>
              <w:t>normativa prevé figuras tales como la disociación o anonimización</w:t>
            </w:r>
            <w:r>
              <w:rPr>
                <w:rFonts w:ascii="TimesNewRomanPS-BoldMT" w:hAnsi="TimesNewRomanPS-BoldMT" w:cs="TimesNewRomanPS-BoldMT"/>
                <w:sz w:val="22"/>
                <w:szCs w:val="22"/>
                <w:lang w:val="es-ES"/>
              </w:rPr>
              <w:t xml:space="preserve"> de datos, en este caso, </w:t>
            </w:r>
            <w:r w:rsidRPr="009D7E91">
              <w:rPr>
                <w:rFonts w:ascii="TimesNewRomanPS-BoldMT" w:hAnsi="TimesNewRomanPS-BoldMT" w:cs="TimesNewRomanPS-BoldMT"/>
                <w:sz w:val="22"/>
                <w:szCs w:val="22"/>
                <w:lang w:val="es-ES"/>
              </w:rPr>
              <w:t xml:space="preserve">pese al empleo de dichos mecanismos, podría no preservarse la privacidad de las personas cuyos datos son objeto de tratamiento. Es por ello que, al poder revertir la anonimización reidentificando a las personas titulares de los datos personales contenidos en </w:t>
            </w:r>
            <w:r>
              <w:rPr>
                <w:rFonts w:ascii="TimesNewRomanPS-BoldMT" w:hAnsi="TimesNewRomanPS-BoldMT" w:cs="TimesNewRomanPS-BoldMT"/>
                <w:sz w:val="22"/>
                <w:szCs w:val="22"/>
                <w:lang w:val="es-ES"/>
              </w:rPr>
              <w:t xml:space="preserve">el expediente del procedimiento sancionador incoado por Resolución del Director de Agricultura 897/2024 y finalizado, por sobreseimiento y con </w:t>
            </w:r>
            <w:r>
              <w:rPr>
                <w:rFonts w:ascii="TimesNewRomanPS-BoldMT" w:hAnsi="TimesNewRomanPS-BoldMT" w:cs="TimesNewRomanPS-BoldMT"/>
                <w:sz w:val="22"/>
                <w:szCs w:val="22"/>
                <w:lang w:val="es-ES"/>
              </w:rPr>
              <w:lastRenderedPageBreak/>
              <w:t xml:space="preserve">archivo de las actuaciones, mediante Resolución </w:t>
            </w:r>
            <w:r w:rsidRPr="009D7E91">
              <w:rPr>
                <w:rFonts w:ascii="TimesNewRomanPS-BoldMT" w:hAnsi="TimesNewRomanPS-BoldMT" w:cs="TimesNewRomanPS-BoldMT"/>
                <w:sz w:val="22"/>
                <w:szCs w:val="22"/>
                <w:lang w:val="es-ES"/>
              </w:rPr>
              <w:t xml:space="preserve"> </w:t>
            </w:r>
            <w:r>
              <w:rPr>
                <w:rFonts w:ascii="TimesNewRomanPS-BoldMT" w:hAnsi="TimesNewRomanPS-BoldMT" w:cs="TimesNewRomanPS-BoldMT"/>
                <w:sz w:val="22"/>
                <w:szCs w:val="22"/>
                <w:lang w:val="es-ES"/>
              </w:rPr>
              <w:t xml:space="preserve">1686/2024, </w:t>
            </w:r>
            <w:r w:rsidRPr="009D7E91">
              <w:rPr>
                <w:rFonts w:ascii="TimesNewRomanPS-BoldMT" w:hAnsi="TimesNewRomanPS-BoldMT" w:cs="TimesNewRomanPS-BoldMT"/>
                <w:sz w:val="22"/>
                <w:szCs w:val="22"/>
              </w:rPr>
              <w:t>habiéndose valorado la posibilidad de acceso parcial mediante disociación o anonimización de los datos personales, deb</w:t>
            </w:r>
            <w:r>
              <w:rPr>
                <w:rFonts w:ascii="TimesNewRomanPS-BoldMT" w:hAnsi="TimesNewRomanPS-BoldMT" w:cs="TimesNewRomanPS-BoldMT"/>
                <w:sz w:val="22"/>
                <w:szCs w:val="22"/>
              </w:rPr>
              <w:t>e</w:t>
            </w:r>
            <w:r w:rsidRPr="009D7E91">
              <w:rPr>
                <w:rFonts w:ascii="TimesNewRomanPS-BoldMT" w:hAnsi="TimesNewRomanPS-BoldMT" w:cs="TimesNewRomanPS-BoldMT"/>
                <w:sz w:val="22"/>
                <w:szCs w:val="22"/>
              </w:rPr>
              <w:t xml:space="preserve"> concluirse que ello no resulta factible sin incurrir en el riesgo de identificación</w:t>
            </w:r>
            <w:r>
              <w:rPr>
                <w:rFonts w:ascii="TimesNewRomanPS-BoldMT" w:hAnsi="TimesNewRomanPS-BoldMT" w:cs="TimesNewRomanPS-BoldMT"/>
                <w:sz w:val="22"/>
                <w:szCs w:val="22"/>
              </w:rPr>
              <w:t>.</w:t>
            </w:r>
          </w:p>
          <w:p w14:paraId="665D2E1C" w14:textId="77777777" w:rsidR="003163CD" w:rsidRDefault="003163CD" w:rsidP="009A7EE5">
            <w:pPr>
              <w:autoSpaceDE w:val="0"/>
              <w:autoSpaceDN w:val="0"/>
              <w:adjustRightInd w:val="0"/>
              <w:jc w:val="both"/>
              <w:rPr>
                <w:rFonts w:ascii="TimesNewRomanPS-BoldMT" w:hAnsi="TimesNewRomanPS-BoldMT" w:cs="TimesNewRomanPS-BoldMT"/>
                <w:sz w:val="22"/>
                <w:szCs w:val="22"/>
                <w:lang w:val="es-ES"/>
              </w:rPr>
            </w:pPr>
          </w:p>
          <w:p w14:paraId="1FBEE2FB" w14:textId="77777777" w:rsidR="003163CD" w:rsidRPr="00286421" w:rsidRDefault="003163CD" w:rsidP="009A7EE5">
            <w:pPr>
              <w:autoSpaceDE w:val="0"/>
              <w:autoSpaceDN w:val="0"/>
              <w:adjustRightInd w:val="0"/>
              <w:jc w:val="both"/>
              <w:rPr>
                <w:rFonts w:ascii="TimesNewRomanPS-BoldMT" w:hAnsi="TimesNewRomanPS-BoldMT" w:cs="TimesNewRomanPS-BoldMT"/>
                <w:sz w:val="22"/>
                <w:szCs w:val="22"/>
                <w:lang w:val="es-ES"/>
              </w:rPr>
            </w:pPr>
            <w:r w:rsidRPr="00286421">
              <w:rPr>
                <w:rFonts w:ascii="TimesNewRomanPS-BoldMT" w:hAnsi="TimesNewRomanPS-BoldMT" w:cs="TimesNewRomanPS-BoldMT"/>
                <w:sz w:val="22"/>
                <w:szCs w:val="22"/>
                <w:lang w:val="es-ES"/>
              </w:rPr>
              <w:t>En su virtud, haciendo uso de las facultades que me competen de acuerdo con el artículo 35.1 de la</w:t>
            </w:r>
            <w:r>
              <w:rPr>
                <w:rFonts w:ascii="TimesNewRomanPS-BoldMT" w:hAnsi="TimesNewRomanPS-BoldMT" w:cs="TimesNewRomanPS-BoldMT"/>
                <w:sz w:val="22"/>
                <w:szCs w:val="22"/>
                <w:lang w:val="es-ES"/>
              </w:rPr>
              <w:t xml:space="preserve"> </w:t>
            </w:r>
            <w:r w:rsidRPr="00286421">
              <w:rPr>
                <w:rFonts w:ascii="TimesNewRomanPS-BoldMT" w:hAnsi="TimesNewRomanPS-BoldMT" w:cs="TimesNewRomanPS-BoldMT"/>
                <w:sz w:val="22"/>
                <w:szCs w:val="22"/>
                <w:lang w:val="es-ES"/>
              </w:rPr>
              <w:t>Norma Foral de Transparencia, Participación Ciudadana y Buen Gobierno del Sector Público del</w:t>
            </w:r>
            <w:r>
              <w:rPr>
                <w:rFonts w:ascii="TimesNewRomanPS-BoldMT" w:hAnsi="TimesNewRomanPS-BoldMT" w:cs="TimesNewRomanPS-BoldMT"/>
                <w:sz w:val="22"/>
                <w:szCs w:val="22"/>
                <w:lang w:val="es-ES"/>
              </w:rPr>
              <w:t xml:space="preserve"> </w:t>
            </w:r>
            <w:r w:rsidRPr="00286421">
              <w:rPr>
                <w:rFonts w:ascii="TimesNewRomanPS-BoldMT" w:hAnsi="TimesNewRomanPS-BoldMT" w:cs="TimesNewRomanPS-BoldMT"/>
                <w:sz w:val="22"/>
                <w:szCs w:val="22"/>
                <w:lang w:val="es-ES"/>
              </w:rPr>
              <w:t>Territorio Histórico de Álava</w:t>
            </w:r>
            <w:r>
              <w:rPr>
                <w:rFonts w:ascii="TimesNewRomanPS-BoldMT" w:hAnsi="TimesNewRomanPS-BoldMT" w:cs="TimesNewRomanPS-BoldMT"/>
                <w:sz w:val="22"/>
                <w:szCs w:val="22"/>
                <w:lang w:val="es-ES"/>
              </w:rPr>
              <w:t>,</w:t>
            </w:r>
          </w:p>
          <w:p w14:paraId="791685DB" w14:textId="77777777" w:rsidR="003163CD" w:rsidRDefault="003163CD" w:rsidP="009A7EE5">
            <w:pPr>
              <w:autoSpaceDE w:val="0"/>
              <w:autoSpaceDN w:val="0"/>
              <w:adjustRightInd w:val="0"/>
              <w:rPr>
                <w:rFonts w:ascii="TimesNewRomanPSMT" w:hAnsi="TimesNewRomanPSMT" w:cs="TimesNewRomanPSMT"/>
                <w:sz w:val="22"/>
                <w:szCs w:val="22"/>
                <w:lang w:val="es-ES"/>
              </w:rPr>
            </w:pPr>
          </w:p>
          <w:p w14:paraId="701A181E" w14:textId="77777777" w:rsidR="003163CD" w:rsidRDefault="003163CD" w:rsidP="009A7EE5">
            <w:pPr>
              <w:autoSpaceDE w:val="0"/>
              <w:autoSpaceDN w:val="0"/>
              <w:adjustRightInd w:val="0"/>
              <w:jc w:val="center"/>
              <w:rPr>
                <w:rFonts w:ascii="TimesNewRomanPS-BoldMT" w:hAnsi="TimesNewRomanPS-BoldMT" w:cs="TimesNewRomanPS-BoldMT"/>
                <w:b/>
                <w:bCs/>
                <w:sz w:val="22"/>
                <w:szCs w:val="22"/>
                <w:lang w:val="es-ES"/>
              </w:rPr>
            </w:pPr>
            <w:r>
              <w:rPr>
                <w:rFonts w:ascii="TimesNewRomanPS-BoldMT" w:hAnsi="TimesNewRomanPS-BoldMT" w:cs="TimesNewRomanPS-BoldMT"/>
                <w:b/>
                <w:bCs/>
                <w:sz w:val="22"/>
                <w:szCs w:val="22"/>
                <w:lang w:val="es-ES"/>
              </w:rPr>
              <w:t>DISPONGO</w:t>
            </w:r>
          </w:p>
          <w:p w14:paraId="341C36F4" w14:textId="77777777" w:rsidR="003163CD" w:rsidRDefault="003163CD" w:rsidP="009A7EE5">
            <w:pPr>
              <w:autoSpaceDE w:val="0"/>
              <w:autoSpaceDN w:val="0"/>
              <w:adjustRightInd w:val="0"/>
              <w:jc w:val="center"/>
              <w:rPr>
                <w:rFonts w:ascii="TimesNewRomanPS-BoldMT" w:hAnsi="TimesNewRomanPS-BoldMT" w:cs="TimesNewRomanPS-BoldMT"/>
                <w:b/>
                <w:bCs/>
                <w:sz w:val="22"/>
                <w:szCs w:val="22"/>
                <w:lang w:val="es-ES"/>
              </w:rPr>
            </w:pPr>
          </w:p>
          <w:p w14:paraId="3974F274" w14:textId="5FDFEC73" w:rsidR="003163CD" w:rsidRPr="009D7E91" w:rsidRDefault="003163CD" w:rsidP="009A7EE5">
            <w:pPr>
              <w:autoSpaceDE w:val="0"/>
              <w:autoSpaceDN w:val="0"/>
              <w:adjustRightInd w:val="0"/>
              <w:jc w:val="both"/>
              <w:rPr>
                <w:rFonts w:ascii="TimesNewRomanPS-BoldMT" w:hAnsi="TimesNewRomanPS-BoldMT" w:cs="TimesNewRomanPS-BoldMT"/>
                <w:sz w:val="22"/>
                <w:szCs w:val="22"/>
                <w:lang w:val="es-ES"/>
              </w:rPr>
            </w:pPr>
            <w:r w:rsidRPr="00E608C8">
              <w:rPr>
                <w:rFonts w:ascii="TimesNewRomanPS-BoldMT" w:hAnsi="TimesNewRomanPS-BoldMT" w:cs="TimesNewRomanPS-BoldMT"/>
                <w:sz w:val="22"/>
                <w:szCs w:val="22"/>
                <w:lang w:val="es-ES"/>
              </w:rPr>
              <w:t xml:space="preserve">Primero.  </w:t>
            </w:r>
            <w:r w:rsidRPr="009D7E91">
              <w:rPr>
                <w:rFonts w:ascii="TimesNewRomanPS-BoldMT" w:hAnsi="TimesNewRomanPS-BoldMT" w:cs="TimesNewRomanPS-BoldMT"/>
                <w:sz w:val="22"/>
                <w:szCs w:val="22"/>
                <w:lang w:val="es-ES"/>
              </w:rPr>
              <w:t xml:space="preserve">Denegar el acceso solicitado por </w:t>
            </w:r>
            <w:proofErr w:type="spellStart"/>
            <w:r w:rsidR="006C279D" w:rsidRPr="006C279D">
              <w:rPr>
                <w:rFonts w:ascii="TimesNewRomanPS-BoldMT" w:hAnsi="TimesNewRomanPS-BoldMT" w:cs="TimesNewRomanPS-BoldMT"/>
                <w:sz w:val="22"/>
                <w:szCs w:val="22"/>
                <w:highlight w:val="black"/>
                <w:lang w:val="es-ES"/>
              </w:rPr>
              <w:t>xxxxx</w:t>
            </w:r>
            <w:proofErr w:type="spellEnd"/>
            <w:r w:rsidRPr="009D7E91">
              <w:rPr>
                <w:rFonts w:ascii="TimesNewRomanPS-BoldMT" w:hAnsi="TimesNewRomanPS-BoldMT" w:cs="TimesNewRomanPS-BoldMT"/>
                <w:sz w:val="22"/>
                <w:szCs w:val="22"/>
                <w:lang w:val="es-ES"/>
              </w:rPr>
              <w:t xml:space="preserve"> al expediente sancionador incoado mediante Resolución nº 897/2024, por las razones motivadas en la presente, derivadas de la presencia en el expediente de datos personales cuya disociación resulta insuficiente para impedir la identificación de los titulares de dichos datos, con el consiguiente riesgo cierto de vulneración de sus derechos fundamentales a la protección de datos y a la intimidad personal y familiar</w:t>
            </w:r>
            <w:r>
              <w:rPr>
                <w:rFonts w:ascii="TimesNewRomanPS-BoldMT" w:hAnsi="TimesNewRomanPS-BoldMT" w:cs="TimesNewRomanPS-BoldMT"/>
                <w:sz w:val="22"/>
                <w:szCs w:val="22"/>
                <w:lang w:val="es-ES"/>
              </w:rPr>
              <w:t>.</w:t>
            </w:r>
          </w:p>
          <w:p w14:paraId="56860E60" w14:textId="77777777" w:rsidR="003163CD" w:rsidRDefault="003163CD" w:rsidP="009A7EE5">
            <w:pPr>
              <w:autoSpaceDE w:val="0"/>
              <w:autoSpaceDN w:val="0"/>
              <w:adjustRightInd w:val="0"/>
              <w:jc w:val="both"/>
              <w:rPr>
                <w:rFonts w:ascii="TimesNewRomanPS-BoldMT" w:hAnsi="TimesNewRomanPS-BoldMT" w:cs="TimesNewRomanPS-BoldMT"/>
                <w:b/>
                <w:bCs/>
                <w:sz w:val="22"/>
                <w:szCs w:val="22"/>
                <w:lang w:val="es-ES"/>
              </w:rPr>
            </w:pPr>
          </w:p>
          <w:p w14:paraId="6FE26897" w14:textId="77777777" w:rsidR="003163CD" w:rsidRDefault="003163CD" w:rsidP="009A7EE5">
            <w:pPr>
              <w:autoSpaceDE w:val="0"/>
              <w:autoSpaceDN w:val="0"/>
              <w:adjustRightInd w:val="0"/>
              <w:jc w:val="both"/>
              <w:rPr>
                <w:sz w:val="22"/>
                <w:lang w:val="es-ES"/>
              </w:rPr>
            </w:pPr>
            <w:r w:rsidRPr="00E608C8">
              <w:rPr>
                <w:sz w:val="22"/>
                <w:lang w:val="es-ES"/>
              </w:rPr>
              <w:t>Segundo. Co</w:t>
            </w:r>
            <w:r w:rsidRPr="009D7E91">
              <w:rPr>
                <w:sz w:val="22"/>
                <w:lang w:val="es-ES"/>
              </w:rPr>
              <w:t>ntra la presente resolución, que pone fin a la vía administrativa, podrá interponerse recurso contencioso</w:t>
            </w:r>
            <w:r w:rsidRPr="00286421">
              <w:rPr>
                <w:sz w:val="22"/>
                <w:lang w:val="es-ES"/>
              </w:rPr>
              <w:t>-administrativo ante los juzgados de lo contencioso-administrativo de Vitoria-Gasteiz en el</w:t>
            </w:r>
            <w:r>
              <w:rPr>
                <w:sz w:val="22"/>
                <w:lang w:val="es-ES"/>
              </w:rPr>
              <w:t xml:space="preserve"> </w:t>
            </w:r>
            <w:r w:rsidRPr="00286421">
              <w:rPr>
                <w:sz w:val="22"/>
                <w:lang w:val="es-ES"/>
              </w:rPr>
              <w:t>plazo de dos meses o, previa y potestativamente, reclamación ante el Consejo foral de Transparencia y</w:t>
            </w:r>
            <w:r>
              <w:rPr>
                <w:sz w:val="22"/>
                <w:lang w:val="es-ES"/>
              </w:rPr>
              <w:t xml:space="preserve"> </w:t>
            </w:r>
            <w:r w:rsidRPr="00286421">
              <w:rPr>
                <w:sz w:val="22"/>
                <w:lang w:val="es-ES"/>
              </w:rPr>
              <w:t>Buen Gobierno en el plazo de un mes; en ambos casos, el plazo se contará desde el día siguiente al de</w:t>
            </w:r>
            <w:r>
              <w:rPr>
                <w:sz w:val="22"/>
                <w:lang w:val="es-ES"/>
              </w:rPr>
              <w:t xml:space="preserve"> </w:t>
            </w:r>
            <w:r w:rsidRPr="00286421">
              <w:rPr>
                <w:sz w:val="22"/>
                <w:lang w:val="es-ES"/>
              </w:rPr>
              <w:t>la notificación de la presente resolución.</w:t>
            </w:r>
          </w:p>
          <w:p w14:paraId="5BD36263" w14:textId="77777777" w:rsidR="003163CD" w:rsidRPr="00B23787" w:rsidRDefault="003163CD" w:rsidP="009A7EE5">
            <w:pPr>
              <w:pStyle w:val="Sangradetextonormal"/>
              <w:tabs>
                <w:tab w:val="clear" w:pos="1702"/>
                <w:tab w:val="clear" w:pos="4253"/>
                <w:tab w:val="clear" w:pos="5104"/>
                <w:tab w:val="clear" w:pos="5812"/>
              </w:tabs>
              <w:spacing w:before="0" w:after="0"/>
              <w:ind w:firstLine="0"/>
              <w:jc w:val="both"/>
              <w:rPr>
                <w:rFonts w:ascii="Arial" w:hAnsi="Arial" w:cs="Arial"/>
                <w:sz w:val="16"/>
                <w:szCs w:val="16"/>
                <w:lang w:val="es-ES"/>
              </w:rPr>
            </w:pPr>
          </w:p>
        </w:tc>
      </w:tr>
      <w:bookmarkEnd w:id="0"/>
    </w:tbl>
    <w:p w14:paraId="6A839B14" w14:textId="77777777" w:rsidR="007F068D" w:rsidRDefault="007F068D"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5E13BAA" w14:textId="77777777" w:rsidR="007F068D" w:rsidRDefault="007F068D"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3C6FDE0" w14:textId="77777777" w:rsidR="007F068D" w:rsidRDefault="007F068D"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406539D" w14:textId="77777777" w:rsidR="007F068D" w:rsidRDefault="007F068D"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F0A570E" w14:textId="77777777" w:rsidR="007F068D" w:rsidRPr="00663BA9" w:rsidRDefault="007F068D" w:rsidP="00663BA9">
      <w:pPr>
        <w:pStyle w:val="Textoindependiente"/>
        <w:spacing w:after="0"/>
        <w:rPr>
          <w:rFonts w:cs="Arial"/>
          <w:color w:val="4F81BD" w:themeColor="accent1"/>
          <w:sz w:val="16"/>
          <w:szCs w:val="16"/>
          <w:u w:val="single"/>
        </w:rPr>
      </w:pPr>
    </w:p>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820"/>
        <w:gridCol w:w="284"/>
        <w:gridCol w:w="4820"/>
      </w:tblGrid>
      <w:tr w:rsidR="00B64FF9" w:rsidRPr="003163CD" w14:paraId="33ABB5D1" w14:textId="77777777" w:rsidTr="005C6341">
        <w:tc>
          <w:tcPr>
            <w:tcW w:w="4820" w:type="dxa"/>
          </w:tcPr>
          <w:p w14:paraId="6ABA75A6" w14:textId="77777777" w:rsidR="007F068D" w:rsidRPr="003163CD" w:rsidRDefault="00AD552C" w:rsidP="005C6341">
            <w:pPr>
              <w:pStyle w:val="Sangra2detindependiente"/>
              <w:tabs>
                <w:tab w:val="clear" w:pos="1702"/>
              </w:tabs>
              <w:spacing w:before="240"/>
              <w:ind w:right="0" w:firstLine="0"/>
              <w:jc w:val="both"/>
              <w:rPr>
                <w:rFonts w:cs="Arial"/>
                <w:color w:val="4F81BD" w:themeColor="accent1"/>
                <w:sz w:val="20"/>
              </w:rPr>
            </w:pPr>
            <w:r w:rsidRPr="003163CD">
              <w:rPr>
                <w:rFonts w:ascii="Arial" w:hAnsi="Arial" w:cs="Arial"/>
                <w:sz w:val="20"/>
              </w:rPr>
              <w:t>Adeitasunez,</w:t>
            </w:r>
          </w:p>
        </w:tc>
        <w:tc>
          <w:tcPr>
            <w:tcW w:w="284" w:type="dxa"/>
          </w:tcPr>
          <w:p w14:paraId="0E40442D" w14:textId="77777777" w:rsidR="007F068D" w:rsidRPr="003163CD" w:rsidRDefault="007F068D" w:rsidP="005C6341">
            <w:pPr>
              <w:pStyle w:val="Sangradetextonormal"/>
              <w:tabs>
                <w:tab w:val="clear" w:pos="1702"/>
                <w:tab w:val="clear" w:pos="4253"/>
                <w:tab w:val="clear" w:pos="5104"/>
                <w:tab w:val="clear" w:pos="5812"/>
              </w:tabs>
              <w:spacing w:before="0" w:after="0"/>
              <w:ind w:firstLine="0"/>
              <w:jc w:val="both"/>
              <w:rPr>
                <w:rFonts w:ascii="Arial" w:hAnsi="Arial" w:cs="Arial"/>
                <w:sz w:val="20"/>
              </w:rPr>
            </w:pPr>
          </w:p>
        </w:tc>
        <w:tc>
          <w:tcPr>
            <w:tcW w:w="4820" w:type="dxa"/>
          </w:tcPr>
          <w:p w14:paraId="52842C7E" w14:textId="77777777" w:rsidR="007F068D" w:rsidRPr="003163CD" w:rsidRDefault="00AD552C" w:rsidP="005C6341">
            <w:pPr>
              <w:pStyle w:val="Sangra2detindependiente"/>
              <w:tabs>
                <w:tab w:val="clear" w:pos="1702"/>
              </w:tabs>
              <w:spacing w:before="240"/>
              <w:ind w:right="0" w:firstLine="0"/>
              <w:jc w:val="both"/>
              <w:rPr>
                <w:rFonts w:ascii="Arial" w:hAnsi="Arial" w:cs="Arial"/>
                <w:sz w:val="20"/>
              </w:rPr>
            </w:pPr>
            <w:r w:rsidRPr="003163CD">
              <w:rPr>
                <w:rFonts w:ascii="Arial" w:hAnsi="Arial" w:cs="Arial"/>
                <w:sz w:val="20"/>
              </w:rPr>
              <w:t>Atentamente,</w:t>
            </w:r>
          </w:p>
        </w:tc>
      </w:tr>
      <w:tr w:rsidR="00B64FF9" w:rsidRPr="003163CD" w14:paraId="41713005" w14:textId="77777777" w:rsidTr="005C6341">
        <w:tc>
          <w:tcPr>
            <w:tcW w:w="4820" w:type="dxa"/>
          </w:tcPr>
          <w:p w14:paraId="5D6AD6CF" w14:textId="45825D61" w:rsidR="007F068D" w:rsidRPr="003163CD" w:rsidRDefault="00AD552C" w:rsidP="005C6341">
            <w:pPr>
              <w:pStyle w:val="Sangra2detindependiente"/>
              <w:tabs>
                <w:tab w:val="clear" w:pos="1702"/>
              </w:tabs>
              <w:spacing w:before="240"/>
              <w:ind w:right="0" w:firstLine="0"/>
              <w:jc w:val="both"/>
              <w:rPr>
                <w:rFonts w:ascii="Arial" w:hAnsi="Arial" w:cs="Arial"/>
                <w:sz w:val="20"/>
              </w:rPr>
            </w:pPr>
            <w:r w:rsidRPr="003163CD">
              <w:rPr>
                <w:rFonts w:ascii="Arial" w:hAnsi="Arial" w:cs="Arial"/>
                <w:noProof/>
                <w:sz w:val="20"/>
              </w:rPr>
              <w:t>2025eko</w:t>
            </w:r>
            <w:r w:rsidRPr="003163CD">
              <w:rPr>
                <w:rFonts w:ascii="Arial" w:hAnsi="Arial" w:cs="Arial"/>
                <w:sz w:val="20"/>
              </w:rPr>
              <w:t xml:space="preserve"> </w:t>
            </w:r>
            <w:r w:rsidR="003163CD">
              <w:rPr>
                <w:rFonts w:ascii="Arial" w:hAnsi="Arial" w:cs="Arial"/>
                <w:sz w:val="20"/>
              </w:rPr>
              <w:t>urri</w:t>
            </w:r>
            <w:r w:rsidRPr="003163CD">
              <w:rPr>
                <w:rFonts w:ascii="Arial" w:hAnsi="Arial" w:cs="Arial"/>
                <w:noProof/>
                <w:sz w:val="20"/>
              </w:rPr>
              <w:t>aren</w:t>
            </w:r>
            <w:r w:rsidRPr="003163CD">
              <w:rPr>
                <w:rFonts w:ascii="Arial" w:hAnsi="Arial" w:cs="Arial"/>
                <w:sz w:val="20"/>
              </w:rPr>
              <w:t xml:space="preserve"> </w:t>
            </w:r>
            <w:r w:rsidR="003163CD">
              <w:rPr>
                <w:rFonts w:ascii="Arial" w:hAnsi="Arial" w:cs="Arial"/>
                <w:sz w:val="20"/>
              </w:rPr>
              <w:t>1</w:t>
            </w:r>
            <w:r w:rsidRPr="003163CD">
              <w:rPr>
                <w:rFonts w:ascii="Arial" w:hAnsi="Arial" w:cs="Arial"/>
                <w:sz w:val="20"/>
              </w:rPr>
              <w:t>a</w:t>
            </w:r>
          </w:p>
        </w:tc>
        <w:tc>
          <w:tcPr>
            <w:tcW w:w="284" w:type="dxa"/>
          </w:tcPr>
          <w:p w14:paraId="66BFB2C4" w14:textId="77777777" w:rsidR="007F068D" w:rsidRPr="003163CD" w:rsidRDefault="007F068D" w:rsidP="005C6341">
            <w:pPr>
              <w:pStyle w:val="Sangradetextonormal"/>
              <w:tabs>
                <w:tab w:val="clear" w:pos="1702"/>
                <w:tab w:val="clear" w:pos="4253"/>
                <w:tab w:val="clear" w:pos="5104"/>
                <w:tab w:val="clear" w:pos="5812"/>
              </w:tabs>
              <w:spacing w:before="0" w:after="0"/>
              <w:ind w:firstLine="0"/>
              <w:jc w:val="both"/>
              <w:rPr>
                <w:rFonts w:ascii="Arial" w:hAnsi="Arial" w:cs="Arial"/>
                <w:sz w:val="20"/>
              </w:rPr>
            </w:pPr>
          </w:p>
        </w:tc>
        <w:tc>
          <w:tcPr>
            <w:tcW w:w="4820" w:type="dxa"/>
          </w:tcPr>
          <w:p w14:paraId="0D85230F" w14:textId="51BF3F87" w:rsidR="007F068D" w:rsidRPr="003163CD" w:rsidRDefault="003163CD" w:rsidP="005C6341">
            <w:pPr>
              <w:pStyle w:val="Sangra2detindependiente"/>
              <w:tabs>
                <w:tab w:val="clear" w:pos="1702"/>
              </w:tabs>
              <w:spacing w:before="240"/>
              <w:ind w:right="0" w:firstLine="0"/>
              <w:jc w:val="both"/>
              <w:rPr>
                <w:rFonts w:ascii="Arial" w:hAnsi="Arial" w:cs="Arial"/>
                <w:sz w:val="20"/>
              </w:rPr>
            </w:pPr>
            <w:r>
              <w:rPr>
                <w:rFonts w:ascii="Arial" w:hAnsi="Arial" w:cs="Arial"/>
                <w:noProof/>
                <w:sz w:val="20"/>
              </w:rPr>
              <w:t>1</w:t>
            </w:r>
            <w:r w:rsidRPr="003163CD">
              <w:rPr>
                <w:rFonts w:ascii="Arial" w:hAnsi="Arial" w:cs="Arial"/>
                <w:noProof/>
                <w:sz w:val="20"/>
              </w:rPr>
              <w:t xml:space="preserve"> de</w:t>
            </w:r>
            <w:r w:rsidRPr="003163CD">
              <w:rPr>
                <w:rFonts w:ascii="Arial" w:hAnsi="Arial" w:cs="Arial"/>
                <w:sz w:val="20"/>
              </w:rPr>
              <w:t xml:space="preserve"> </w:t>
            </w:r>
            <w:r>
              <w:rPr>
                <w:rFonts w:ascii="Arial" w:hAnsi="Arial" w:cs="Arial"/>
                <w:sz w:val="20"/>
              </w:rPr>
              <w:t>octu</w:t>
            </w:r>
            <w:r w:rsidRPr="003163CD">
              <w:rPr>
                <w:rFonts w:ascii="Arial" w:hAnsi="Arial" w:cs="Arial"/>
                <w:sz w:val="20"/>
              </w:rPr>
              <w:t>bre de 2025</w:t>
            </w:r>
          </w:p>
          <w:p w14:paraId="6339F4CC" w14:textId="77777777" w:rsidR="00F2278B" w:rsidRPr="003163CD" w:rsidRDefault="00F2278B" w:rsidP="005C6341">
            <w:pPr>
              <w:pStyle w:val="Sangra2detindependiente"/>
              <w:tabs>
                <w:tab w:val="clear" w:pos="1702"/>
              </w:tabs>
              <w:spacing w:before="240"/>
              <w:ind w:right="0" w:firstLine="0"/>
              <w:jc w:val="both"/>
              <w:rPr>
                <w:rFonts w:ascii="Arial" w:hAnsi="Arial" w:cs="Arial"/>
                <w:sz w:val="20"/>
              </w:rPr>
            </w:pPr>
          </w:p>
        </w:tc>
      </w:tr>
    </w:tbl>
    <w:p w14:paraId="4C2F6AAF" w14:textId="77777777" w:rsidR="00F2278B" w:rsidRPr="003163CD" w:rsidRDefault="00F2278B" w:rsidP="00EE0139">
      <w:pPr>
        <w:pStyle w:val="Sangradetextonormal"/>
        <w:tabs>
          <w:tab w:val="clear" w:pos="1702"/>
          <w:tab w:val="clear" w:pos="4253"/>
          <w:tab w:val="clear" w:pos="5104"/>
          <w:tab w:val="clear" w:pos="5812"/>
        </w:tabs>
        <w:spacing w:before="0" w:after="0"/>
        <w:ind w:firstLine="0"/>
        <w:jc w:val="both"/>
        <w:rPr>
          <w:rFonts w:ascii="Arial" w:hAnsi="Arial" w:cs="Arial"/>
          <w:b/>
          <w:bCs/>
          <w:sz w:val="20"/>
        </w:rPr>
      </w:pPr>
    </w:p>
    <w:sectPr w:rsidR="00F2278B" w:rsidRPr="003163CD" w:rsidSect="00E53B88">
      <w:headerReference w:type="default" r:id="rId9"/>
      <w:footerReference w:type="default" r:id="rId10"/>
      <w:headerReference w:type="first" r:id="rId11"/>
      <w:footerReference w:type="first" r:id="rId12"/>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FEA7" w14:textId="77777777" w:rsidR="00491172" w:rsidRDefault="00491172">
      <w:r>
        <w:separator/>
      </w:r>
    </w:p>
  </w:endnote>
  <w:endnote w:type="continuationSeparator" w:id="0">
    <w:p w14:paraId="07DA9756" w14:textId="77777777" w:rsidR="00491172" w:rsidRDefault="0049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B64FF9" w14:paraId="2B8BE24D" w14:textId="77777777" w:rsidTr="00E47DB3">
      <w:trPr>
        <w:trHeight w:val="567"/>
      </w:trPr>
      <w:tc>
        <w:tcPr>
          <w:tcW w:w="9921" w:type="dxa"/>
        </w:tcPr>
        <w:p w14:paraId="3AA6C978" w14:textId="77777777" w:rsidR="007F068D" w:rsidRPr="00E47DB3" w:rsidRDefault="00AD552C"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2</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2</w:t>
          </w:r>
          <w:r w:rsidRPr="00E47DB3">
            <w:rPr>
              <w:rFonts w:ascii="Arial" w:hAnsi="Arial" w:cs="Arial"/>
              <w:color w:val="808080"/>
              <w:sz w:val="16"/>
            </w:rPr>
            <w:fldChar w:fldCharType="end"/>
          </w:r>
        </w:p>
      </w:tc>
    </w:tr>
  </w:tbl>
  <w:p w14:paraId="3075786B" w14:textId="77777777" w:rsidR="007F068D" w:rsidRDefault="007F0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A2AB" w14:textId="77777777" w:rsidR="007F068D" w:rsidRPr="0013291F" w:rsidRDefault="00AD552C" w:rsidP="00BE3C89">
    <w:pPr>
      <w:pBdr>
        <w:bottom w:val="single" w:sz="4" w:space="1" w:color="auto"/>
      </w:pBdr>
      <w:spacing w:line="180" w:lineRule="exact"/>
      <w:rPr>
        <w:sz w:val="22"/>
      </w:rPr>
    </w:pPr>
    <w:r w:rsidRPr="0013291F">
      <w:rPr>
        <w:rFonts w:ascii="Arial" w:hAnsi="Arial"/>
        <w:noProof/>
        <w:color w:val="000000"/>
        <w:sz w:val="14"/>
      </w:rPr>
      <w:t>CORE02</w:t>
    </w:r>
  </w:p>
  <w:tbl>
    <w:tblPr>
      <w:tblW w:w="9781" w:type="dxa"/>
      <w:tblInd w:w="284" w:type="dxa"/>
      <w:tblLayout w:type="fixed"/>
      <w:tblCellMar>
        <w:left w:w="70" w:type="dxa"/>
        <w:right w:w="70" w:type="dxa"/>
      </w:tblCellMar>
      <w:tblLook w:val="0000" w:firstRow="0" w:lastRow="0" w:firstColumn="0" w:lastColumn="0" w:noHBand="0" w:noVBand="0"/>
    </w:tblPr>
    <w:tblGrid>
      <w:gridCol w:w="3544"/>
      <w:gridCol w:w="3969"/>
      <w:gridCol w:w="2268"/>
    </w:tblGrid>
    <w:tr w:rsidR="00B64FF9" w14:paraId="2C909078" w14:textId="77777777" w:rsidTr="003163CD">
      <w:trPr>
        <w:trHeight w:val="433"/>
      </w:trPr>
      <w:tc>
        <w:tcPr>
          <w:tcW w:w="3544" w:type="dxa"/>
        </w:tcPr>
        <w:p w14:paraId="06952AE7" w14:textId="7122B384" w:rsidR="007F068D" w:rsidRPr="0013291F" w:rsidRDefault="007A3D52" w:rsidP="003163CD">
          <w:pPr>
            <w:pStyle w:val="Textoindependiente"/>
            <w:spacing w:after="60" w:line="220" w:lineRule="exact"/>
            <w:ind w:left="11"/>
            <w:jc w:val="left"/>
            <w:rPr>
              <w:rFonts w:cs="Arial"/>
              <w:b/>
              <w:sz w:val="16"/>
              <w:szCs w:val="16"/>
            </w:rPr>
          </w:pPr>
          <w:r>
            <w:rPr>
              <w:rFonts w:cs="Arial"/>
              <w:b/>
              <w:sz w:val="16"/>
              <w:szCs w:val="16"/>
            </w:rPr>
            <w:t>Nekazari</w:t>
          </w:r>
          <w:r w:rsidRPr="0013291F">
            <w:rPr>
              <w:rFonts w:cs="Arial"/>
              <w:b/>
              <w:sz w:val="16"/>
              <w:szCs w:val="16"/>
            </w:rPr>
            <w:t>tza Saila</w:t>
          </w:r>
        </w:p>
        <w:p w14:paraId="239B9CE9" w14:textId="42C27E1C" w:rsidR="007F068D" w:rsidRPr="0013291F" w:rsidRDefault="00AD552C" w:rsidP="005C6341">
          <w:pPr>
            <w:pStyle w:val="Textoindependiente"/>
            <w:spacing w:after="113" w:line="220" w:lineRule="exact"/>
            <w:ind w:left="11"/>
            <w:jc w:val="left"/>
            <w:rPr>
              <w:rFonts w:cs="Arial"/>
              <w:sz w:val="16"/>
              <w:szCs w:val="16"/>
            </w:rPr>
          </w:pPr>
          <w:r w:rsidRPr="0013291F">
            <w:rPr>
              <w:rFonts w:cs="Arial"/>
              <w:b/>
              <w:sz w:val="16"/>
              <w:szCs w:val="16"/>
            </w:rPr>
            <w:t xml:space="preserve">Departamento de </w:t>
          </w:r>
          <w:r w:rsidR="007A3D52">
            <w:rPr>
              <w:rFonts w:cs="Arial"/>
              <w:b/>
              <w:sz w:val="16"/>
              <w:szCs w:val="16"/>
            </w:rPr>
            <w:t>Agricultura</w:t>
          </w:r>
        </w:p>
      </w:tc>
      <w:tc>
        <w:tcPr>
          <w:tcW w:w="3969" w:type="dxa"/>
        </w:tcPr>
        <w:p w14:paraId="23DF6AF1" w14:textId="0259D891" w:rsidR="007F068D" w:rsidRPr="0013291F" w:rsidRDefault="007A3D52" w:rsidP="005C6341">
          <w:pPr>
            <w:pStyle w:val="Textoindependiente"/>
            <w:spacing w:before="20" w:after="70" w:line="200" w:lineRule="exact"/>
            <w:ind w:left="40"/>
            <w:jc w:val="left"/>
            <w:rPr>
              <w:rFonts w:cs="Arial"/>
              <w:sz w:val="16"/>
              <w:szCs w:val="16"/>
            </w:rPr>
          </w:pPr>
          <w:r>
            <w:rPr>
              <w:rFonts w:cs="Arial"/>
              <w:sz w:val="16"/>
              <w:szCs w:val="16"/>
            </w:rPr>
            <w:t>Nekazaritza Teknikoko Zerbitzua</w:t>
          </w:r>
        </w:p>
        <w:p w14:paraId="4D16604A" w14:textId="0BCE1A0A" w:rsidR="007F068D" w:rsidRPr="0013291F" w:rsidRDefault="007A3D52" w:rsidP="005C6341">
          <w:pPr>
            <w:pStyle w:val="Textoindependiente"/>
            <w:spacing w:before="20" w:after="70" w:line="200" w:lineRule="exact"/>
            <w:ind w:left="40"/>
            <w:jc w:val="left"/>
            <w:rPr>
              <w:rFonts w:cs="Arial"/>
              <w:sz w:val="16"/>
              <w:szCs w:val="16"/>
            </w:rPr>
          </w:pPr>
          <w:r>
            <w:rPr>
              <w:rFonts w:cs="Arial"/>
              <w:sz w:val="16"/>
              <w:szCs w:val="16"/>
            </w:rPr>
            <w:t>Secretaría Técnica de Agricultura</w:t>
          </w:r>
        </w:p>
      </w:tc>
      <w:tc>
        <w:tcPr>
          <w:tcW w:w="2268" w:type="dxa"/>
        </w:tcPr>
        <w:p w14:paraId="6E78CE52" w14:textId="285F76D3" w:rsidR="007F068D" w:rsidRPr="0013291F" w:rsidRDefault="00AD552C"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r w:rsidR="007A3D52">
            <w:rPr>
              <w:rFonts w:ascii="Arial" w:hAnsi="Arial" w:cs="Arial"/>
              <w:noProof/>
              <w:sz w:val="14"/>
              <w:szCs w:val="14"/>
            </w:rPr>
            <w:t>4 1º iz</w:t>
          </w:r>
        </w:p>
        <w:p w14:paraId="2B901F05" w14:textId="77777777" w:rsidR="007F068D" w:rsidRPr="0013291F" w:rsidRDefault="00AD552C"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5302C6C7" w14:textId="34BAF343" w:rsidR="007F068D" w:rsidRPr="0013291F" w:rsidRDefault="00AD552C"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p>
      </w:tc>
    </w:tr>
  </w:tbl>
  <w:p w14:paraId="41030CB5" w14:textId="77777777" w:rsidR="007F068D" w:rsidRPr="00BE3C89" w:rsidRDefault="007F068D"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9AE0" w14:textId="77777777" w:rsidR="00491172" w:rsidRDefault="00491172">
      <w:r>
        <w:separator/>
      </w:r>
    </w:p>
  </w:footnote>
  <w:footnote w:type="continuationSeparator" w:id="0">
    <w:p w14:paraId="7B12F5CA" w14:textId="77777777" w:rsidR="00491172" w:rsidRDefault="0049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B64FF9" w14:paraId="3D69239E" w14:textId="77777777" w:rsidTr="001A0E0E">
      <w:trPr>
        <w:cantSplit/>
        <w:trHeight w:hRule="exact" w:val="567"/>
      </w:trPr>
      <w:tc>
        <w:tcPr>
          <w:tcW w:w="4536" w:type="dxa"/>
          <w:vAlign w:val="center"/>
        </w:tcPr>
        <w:p w14:paraId="46B786B3" w14:textId="77777777" w:rsidR="007F068D" w:rsidRDefault="007F068D" w:rsidP="0078412B">
          <w:pPr>
            <w:pStyle w:val="Encabezado"/>
          </w:pPr>
        </w:p>
      </w:tc>
      <w:tc>
        <w:tcPr>
          <w:tcW w:w="851" w:type="dxa"/>
          <w:vMerge w:val="restart"/>
          <w:vAlign w:val="center"/>
        </w:tcPr>
        <w:p w14:paraId="09B75A92" w14:textId="77777777" w:rsidR="007F068D" w:rsidRDefault="00AD552C" w:rsidP="0078412B">
          <w:pPr>
            <w:pStyle w:val="Encabezado"/>
            <w:jc w:val="center"/>
          </w:pPr>
          <w:r>
            <w:rPr>
              <w:noProof/>
              <w:lang w:val="es-ES"/>
            </w:rPr>
            <w:drawing>
              <wp:inline distT="0" distB="0" distL="0" distR="0" wp14:anchorId="5E994BDB" wp14:editId="39FFE78D">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5A1A48D6" w14:textId="77777777" w:rsidR="007F068D" w:rsidRDefault="007F068D" w:rsidP="0078412B">
          <w:pPr>
            <w:pStyle w:val="Encabezado"/>
          </w:pPr>
        </w:p>
      </w:tc>
    </w:tr>
    <w:tr w:rsidR="00B64FF9" w14:paraId="4992474F" w14:textId="77777777" w:rsidTr="001A0E0E">
      <w:trPr>
        <w:cantSplit/>
        <w:trHeight w:hRule="exact" w:val="567"/>
      </w:trPr>
      <w:tc>
        <w:tcPr>
          <w:tcW w:w="4536" w:type="dxa"/>
          <w:vAlign w:val="center"/>
        </w:tcPr>
        <w:p w14:paraId="05883121" w14:textId="77777777" w:rsidR="007F068D" w:rsidRDefault="007F068D" w:rsidP="0078412B">
          <w:pPr>
            <w:pStyle w:val="Encabezado"/>
          </w:pPr>
        </w:p>
      </w:tc>
      <w:tc>
        <w:tcPr>
          <w:tcW w:w="851" w:type="dxa"/>
          <w:vMerge/>
          <w:vAlign w:val="center"/>
        </w:tcPr>
        <w:p w14:paraId="54D17277" w14:textId="77777777" w:rsidR="007F068D" w:rsidRDefault="007F068D" w:rsidP="0078412B">
          <w:pPr>
            <w:pStyle w:val="Encabezado"/>
            <w:jc w:val="center"/>
          </w:pPr>
        </w:p>
      </w:tc>
      <w:tc>
        <w:tcPr>
          <w:tcW w:w="4536" w:type="dxa"/>
          <w:vAlign w:val="center"/>
        </w:tcPr>
        <w:p w14:paraId="022110E8" w14:textId="77777777" w:rsidR="007F068D" w:rsidRDefault="007F068D" w:rsidP="0078412B">
          <w:pPr>
            <w:pStyle w:val="Encabezado"/>
          </w:pPr>
        </w:p>
      </w:tc>
    </w:tr>
  </w:tbl>
  <w:p w14:paraId="0BC66FEE" w14:textId="77777777" w:rsidR="007F068D" w:rsidRPr="0013766D" w:rsidRDefault="007F068D">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B64FF9" w14:paraId="79235D4D" w14:textId="77777777" w:rsidTr="001F2BE9">
      <w:trPr>
        <w:trHeight w:val="2041"/>
      </w:trPr>
      <w:tc>
        <w:tcPr>
          <w:tcW w:w="3969" w:type="dxa"/>
        </w:tcPr>
        <w:p w14:paraId="0A591D10" w14:textId="77777777" w:rsidR="007F068D" w:rsidRPr="007F2571" w:rsidRDefault="00AD552C"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2962E1A5" wp14:editId="51772D1D">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17BCA211" w14:textId="77777777" w:rsidR="007F068D" w:rsidRDefault="007F068D" w:rsidP="00470015">
          <w:pPr>
            <w:pStyle w:val="Piedepgina"/>
            <w:rPr>
              <w:rFonts w:ascii="Arial" w:hAnsi="Arial" w:cs="Arial"/>
              <w:b/>
              <w:bCs/>
              <w:color w:val="808080" w:themeColor="background1" w:themeShade="80"/>
              <w:sz w:val="12"/>
              <w:szCs w:val="12"/>
              <w:lang w:val="es-ES"/>
            </w:rPr>
          </w:pPr>
        </w:p>
        <w:p w14:paraId="3AA222F1" w14:textId="77777777" w:rsidR="007F068D" w:rsidRPr="000B6392" w:rsidRDefault="007F068D" w:rsidP="00470015">
          <w:pPr>
            <w:pStyle w:val="Encabezado"/>
            <w:rPr>
              <w:rFonts w:ascii="Arial" w:hAnsi="Arial" w:cs="Arial"/>
              <w:b/>
              <w:color w:val="808080" w:themeColor="background1" w:themeShade="80"/>
              <w:sz w:val="16"/>
              <w:szCs w:val="16"/>
            </w:rPr>
          </w:pPr>
        </w:p>
      </w:tc>
    </w:tr>
  </w:tbl>
  <w:p w14:paraId="5CBF4670" w14:textId="77777777" w:rsidR="007F068D" w:rsidRPr="0013766D" w:rsidRDefault="007F068D"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587305984">
    <w:abstractNumId w:val="0"/>
  </w:num>
  <w:num w:numId="2" w16cid:durableId="1497302495">
    <w:abstractNumId w:val="2"/>
  </w:num>
  <w:num w:numId="3" w16cid:durableId="1710716385">
    <w:abstractNumId w:val="1"/>
  </w:num>
  <w:num w:numId="4" w16cid:durableId="1847940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F9"/>
    <w:rsid w:val="0002706D"/>
    <w:rsid w:val="003163CD"/>
    <w:rsid w:val="00427D46"/>
    <w:rsid w:val="004623F4"/>
    <w:rsid w:val="00491172"/>
    <w:rsid w:val="00541E8E"/>
    <w:rsid w:val="006C279D"/>
    <w:rsid w:val="00780AB6"/>
    <w:rsid w:val="007A3D52"/>
    <w:rsid w:val="007F068D"/>
    <w:rsid w:val="00922E76"/>
    <w:rsid w:val="00AD552C"/>
    <w:rsid w:val="00B64FF9"/>
    <w:rsid w:val="00D675D1"/>
    <w:rsid w:val="00F227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1BDF4"/>
  <w15:docId w15:val="{A97ADD78-6411-4E87-96B9-3483A833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4</TotalTime>
  <Pages>3</Pages>
  <Words>1360</Words>
  <Characters>8907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2025-11-05T12:47:00Z</dcterms:created>
  <dcterms:modified xsi:type="dcterms:W3CDTF">2025-11-10T10:56:00Z</dcterms:modified>
</cp:coreProperties>
</file>