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Layout w:type="fixed"/>
        <w:tblCellMar>
          <w:left w:w="0" w:type="dxa"/>
          <w:right w:w="0" w:type="dxa"/>
        </w:tblCellMar>
        <w:tblLook w:val="0000" w:firstRow="0" w:lastRow="0" w:firstColumn="0" w:lastColumn="0" w:noHBand="0" w:noVBand="0"/>
      </w:tblPr>
      <w:tblGrid>
        <w:gridCol w:w="4365"/>
        <w:gridCol w:w="29"/>
        <w:gridCol w:w="539"/>
        <w:gridCol w:w="29"/>
        <w:gridCol w:w="4364"/>
        <w:gridCol w:w="29"/>
      </w:tblGrid>
      <w:tr w:rsidR="00AD6A23" w14:paraId="4D0465E5" w14:textId="77777777" w:rsidTr="000002AA">
        <w:tc>
          <w:tcPr>
            <w:tcW w:w="4394" w:type="dxa"/>
            <w:gridSpan w:val="2"/>
          </w:tcPr>
          <w:p w14:paraId="674605D2" w14:textId="50EC8710" w:rsidR="00AD6A23" w:rsidRPr="00AD48EE" w:rsidRDefault="003901EE" w:rsidP="004C4BA2">
            <w:pPr>
              <w:rPr>
                <w:rFonts w:cs="Times New Roman"/>
                <w:b/>
                <w:sz w:val="24"/>
                <w:szCs w:val="24"/>
                <w:u w:val="single"/>
              </w:rPr>
            </w:pPr>
            <w:r w:rsidRPr="00E7731D">
              <w:rPr>
                <w:rFonts w:cs="Times New Roman"/>
                <w:b/>
                <w:sz w:val="24"/>
                <w:szCs w:val="24"/>
              </w:rPr>
              <w:t>EBAZPENA</w:t>
            </w:r>
          </w:p>
          <w:p w14:paraId="127829DA" w14:textId="311C7D7D" w:rsidR="007428C0" w:rsidRPr="007428C0" w:rsidRDefault="008C1D76" w:rsidP="004C4BA2">
            <w:pPr>
              <w:spacing w:before="480"/>
              <w:rPr>
                <w:rFonts w:eastAsia="Calibri"/>
                <w:b/>
                <w:sz w:val="22"/>
                <w:szCs w:val="22"/>
                <w:lang w:val="es-ES" w:eastAsia="en-US"/>
              </w:rPr>
            </w:pPr>
            <w:r>
              <w:rPr>
                <w:rFonts w:eastAsia="Calibri"/>
                <w:b/>
                <w:sz w:val="22"/>
                <w:szCs w:val="22"/>
                <w:lang w:val="es-ES" w:eastAsia="en-US"/>
              </w:rPr>
              <w:t xml:space="preserve">Ez </w:t>
            </w:r>
            <w:proofErr w:type="spellStart"/>
            <w:r>
              <w:rPr>
                <w:rFonts w:eastAsia="Calibri"/>
                <w:b/>
                <w:sz w:val="22"/>
                <w:szCs w:val="22"/>
                <w:lang w:val="es-ES" w:eastAsia="en-US"/>
              </w:rPr>
              <w:t>onartzea</w:t>
            </w:r>
            <w:proofErr w:type="spellEnd"/>
            <w:r>
              <w:rPr>
                <w:rFonts w:eastAsia="Calibri"/>
                <w:b/>
                <w:sz w:val="22"/>
                <w:szCs w:val="22"/>
                <w:lang w:val="es-ES" w:eastAsia="en-US"/>
              </w:rPr>
              <w:t xml:space="preserve"> </w:t>
            </w:r>
            <w:proofErr w:type="spellStart"/>
            <w:r w:rsidR="00FD6167" w:rsidRPr="00FD6167">
              <w:rPr>
                <w:rFonts w:eastAsia="Calibri"/>
                <w:b/>
                <w:sz w:val="22"/>
                <w:szCs w:val="22"/>
                <w:highlight w:val="black"/>
                <w:lang w:val="es-ES" w:eastAsia="en-US"/>
              </w:rPr>
              <w:t>xxxxx</w:t>
            </w:r>
            <w:r w:rsidR="00AD48EE" w:rsidRPr="00AD48EE">
              <w:rPr>
                <w:rFonts w:eastAsia="Calibri"/>
                <w:b/>
                <w:sz w:val="22"/>
                <w:szCs w:val="22"/>
                <w:lang w:val="es-ES" w:eastAsia="en-US"/>
              </w:rPr>
              <w:t>ren</w:t>
            </w:r>
            <w:proofErr w:type="spellEnd"/>
            <w:r w:rsidR="00AD48EE" w:rsidRPr="00AD48EE">
              <w:rPr>
                <w:rFonts w:eastAsia="Calibri"/>
                <w:b/>
                <w:sz w:val="22"/>
                <w:szCs w:val="22"/>
                <w:lang w:val="es-ES" w:eastAsia="en-US"/>
              </w:rPr>
              <w:t xml:space="preserve"> </w:t>
            </w:r>
            <w:proofErr w:type="spellStart"/>
            <w:r w:rsidR="004F4AF2" w:rsidRPr="004F4AF2">
              <w:rPr>
                <w:rFonts w:eastAsia="Calibri"/>
                <w:b/>
                <w:sz w:val="22"/>
                <w:szCs w:val="22"/>
                <w:lang w:val="es-ES" w:eastAsia="en-US"/>
              </w:rPr>
              <w:t>informazio</w:t>
            </w:r>
            <w:proofErr w:type="spellEnd"/>
            <w:r w:rsidR="004F4AF2" w:rsidRPr="004F4AF2">
              <w:rPr>
                <w:rFonts w:eastAsia="Calibri"/>
                <w:b/>
                <w:sz w:val="22"/>
                <w:szCs w:val="22"/>
                <w:lang w:val="es-ES" w:eastAsia="en-US"/>
              </w:rPr>
              <w:t xml:space="preserve"> </w:t>
            </w:r>
            <w:proofErr w:type="spellStart"/>
            <w:r w:rsidR="004F4AF2" w:rsidRPr="004F4AF2">
              <w:rPr>
                <w:rFonts w:eastAsia="Calibri"/>
                <w:b/>
                <w:sz w:val="22"/>
                <w:szCs w:val="22"/>
                <w:lang w:val="es-ES" w:eastAsia="en-US"/>
              </w:rPr>
              <w:t>publikoa</w:t>
            </w:r>
            <w:proofErr w:type="spellEnd"/>
            <w:r w:rsidR="004F4AF2" w:rsidRPr="004F4AF2">
              <w:rPr>
                <w:rFonts w:eastAsia="Calibri"/>
                <w:b/>
                <w:sz w:val="22"/>
                <w:szCs w:val="22"/>
                <w:lang w:val="es-ES" w:eastAsia="en-US"/>
              </w:rPr>
              <w:t xml:space="preserve"> </w:t>
            </w:r>
            <w:proofErr w:type="spellStart"/>
            <w:r w:rsidR="004F4AF2" w:rsidRPr="004F4AF2">
              <w:rPr>
                <w:rFonts w:eastAsia="Calibri"/>
                <w:b/>
                <w:sz w:val="22"/>
                <w:szCs w:val="22"/>
                <w:lang w:val="es-ES" w:eastAsia="en-US"/>
              </w:rPr>
              <w:t>eskuratzeko</w:t>
            </w:r>
            <w:proofErr w:type="spellEnd"/>
            <w:r w:rsidR="004F4AF2" w:rsidRPr="004F4AF2">
              <w:rPr>
                <w:rFonts w:eastAsia="Calibri"/>
                <w:b/>
                <w:sz w:val="22"/>
                <w:szCs w:val="22"/>
                <w:lang w:val="es-ES" w:eastAsia="en-US"/>
              </w:rPr>
              <w:t xml:space="preserve"> eskaera</w:t>
            </w:r>
            <w:r w:rsidR="00FD58ED">
              <w:rPr>
                <w:rFonts w:eastAsia="Calibri"/>
                <w:b/>
                <w:sz w:val="22"/>
                <w:szCs w:val="22"/>
                <w:lang w:val="es-ES" w:eastAsia="en-US"/>
              </w:rPr>
              <w:t>.</w:t>
            </w:r>
          </w:p>
          <w:p w14:paraId="26EA4492" w14:textId="77777777" w:rsidR="007428C0" w:rsidRPr="00710BDF" w:rsidRDefault="007428C0" w:rsidP="004C4BA2">
            <w:pPr>
              <w:rPr>
                <w:rFonts w:cs="Times New Roman"/>
                <w:b/>
                <w:sz w:val="22"/>
                <w:szCs w:val="22"/>
                <w:u w:val="single"/>
                <w:lang w:val="es-ES"/>
              </w:rPr>
            </w:pPr>
          </w:p>
        </w:tc>
        <w:tc>
          <w:tcPr>
            <w:tcW w:w="568" w:type="dxa"/>
            <w:gridSpan w:val="2"/>
          </w:tcPr>
          <w:p w14:paraId="04556D9C" w14:textId="77777777" w:rsidR="00AD6A23" w:rsidRDefault="00AD6A23" w:rsidP="004C4BA2">
            <w:pPr>
              <w:spacing w:before="240" w:after="480"/>
              <w:rPr>
                <w:sz w:val="24"/>
              </w:rPr>
            </w:pPr>
          </w:p>
        </w:tc>
        <w:tc>
          <w:tcPr>
            <w:tcW w:w="4393" w:type="dxa"/>
            <w:gridSpan w:val="2"/>
          </w:tcPr>
          <w:p w14:paraId="5C5AA19B" w14:textId="2AC7F46A" w:rsidR="00AD6A23" w:rsidRPr="00AD48EE" w:rsidRDefault="00530C62" w:rsidP="004C4BA2">
            <w:pPr>
              <w:rPr>
                <w:rFonts w:cs="Times New Roman"/>
                <w:b/>
                <w:sz w:val="24"/>
                <w:szCs w:val="24"/>
                <w:u w:val="single"/>
              </w:rPr>
            </w:pPr>
            <w:r w:rsidRPr="00E7731D">
              <w:rPr>
                <w:rFonts w:cs="Times New Roman"/>
                <w:b/>
                <w:sz w:val="24"/>
                <w:szCs w:val="24"/>
              </w:rPr>
              <w:t>RESOLUCIÓN</w:t>
            </w:r>
          </w:p>
          <w:p w14:paraId="61D9DA8C" w14:textId="41D14FFE" w:rsidR="00D821D6" w:rsidRDefault="008C1D76" w:rsidP="004C4BA2">
            <w:pPr>
              <w:spacing w:before="480"/>
              <w:rPr>
                <w:rFonts w:cs="Times New Roman"/>
                <w:b/>
                <w:sz w:val="24"/>
                <w:szCs w:val="24"/>
                <w:u w:val="single"/>
              </w:rPr>
            </w:pPr>
            <w:r>
              <w:rPr>
                <w:rFonts w:eastAsia="Calibri"/>
                <w:b/>
                <w:sz w:val="22"/>
                <w:szCs w:val="22"/>
                <w:lang w:val="es-ES" w:eastAsia="en-US"/>
              </w:rPr>
              <w:t>Inadmitir</w:t>
            </w:r>
            <w:r w:rsidR="004F4AF2" w:rsidRPr="00FA76D8">
              <w:rPr>
                <w:rFonts w:eastAsia="Calibri"/>
                <w:b/>
                <w:sz w:val="22"/>
                <w:szCs w:val="22"/>
                <w:lang w:val="es-ES" w:eastAsia="en-US"/>
              </w:rPr>
              <w:t xml:space="preserve"> la solicitud</w:t>
            </w:r>
            <w:r w:rsidR="004F4AF2" w:rsidRPr="004F4AF2">
              <w:rPr>
                <w:rFonts w:eastAsia="Calibri"/>
                <w:b/>
                <w:sz w:val="22"/>
                <w:szCs w:val="22"/>
                <w:lang w:val="es-ES" w:eastAsia="en-US"/>
              </w:rPr>
              <w:t xml:space="preserve"> de acceso a la información pública de </w:t>
            </w:r>
            <w:proofErr w:type="spellStart"/>
            <w:r w:rsidR="00FD6167" w:rsidRPr="00FD6167">
              <w:rPr>
                <w:rFonts w:eastAsia="Calibri"/>
                <w:b/>
                <w:sz w:val="22"/>
                <w:szCs w:val="22"/>
                <w:highlight w:val="black"/>
                <w:lang w:val="es-ES" w:eastAsia="en-US"/>
              </w:rPr>
              <w:t>xxxxx</w:t>
            </w:r>
            <w:proofErr w:type="spellEnd"/>
            <w:r w:rsidR="00FD58ED">
              <w:rPr>
                <w:rFonts w:eastAsia="Calibri"/>
                <w:b/>
                <w:sz w:val="22"/>
                <w:szCs w:val="22"/>
                <w:lang w:val="es-ES" w:eastAsia="en-US"/>
              </w:rPr>
              <w:t>.</w:t>
            </w:r>
          </w:p>
          <w:p w14:paraId="7DA20E1D" w14:textId="77777777" w:rsidR="00D821D6" w:rsidRPr="00D821D6" w:rsidRDefault="00D821D6" w:rsidP="004C4BA2">
            <w:pPr>
              <w:rPr>
                <w:rFonts w:cs="Times New Roman"/>
                <w:b/>
                <w:sz w:val="24"/>
                <w:szCs w:val="24"/>
                <w:u w:val="single"/>
              </w:rPr>
            </w:pPr>
          </w:p>
        </w:tc>
      </w:tr>
      <w:tr w:rsidR="00AD6A23" w14:paraId="7BC1BAFC" w14:textId="77777777" w:rsidTr="000002AA">
        <w:trPr>
          <w:gridAfter w:val="1"/>
          <w:wAfter w:w="29" w:type="dxa"/>
        </w:trPr>
        <w:tc>
          <w:tcPr>
            <w:tcW w:w="4365" w:type="dxa"/>
          </w:tcPr>
          <w:p w14:paraId="3CC5E9AB" w14:textId="6A663293" w:rsidR="00163B62" w:rsidRDefault="00D27CC8" w:rsidP="004C4BA2">
            <w:pPr>
              <w:tabs>
                <w:tab w:val="right" w:pos="8789"/>
              </w:tabs>
              <w:spacing w:after="600"/>
              <w:rPr>
                <w:rFonts w:cs="Times New Roman"/>
                <w:sz w:val="22"/>
                <w:lang w:val="eu-ES" w:bidi="ar-SA"/>
              </w:rPr>
            </w:pPr>
            <w:r w:rsidRPr="00D27CC8">
              <w:rPr>
                <w:rFonts w:cs="Times New Roman"/>
                <w:sz w:val="22"/>
                <w:lang w:val="eu-ES" w:bidi="ar-SA"/>
              </w:rPr>
              <w:t>Ogasun, Finantza eta Aurrekontu Saila</w:t>
            </w:r>
            <w:r w:rsidR="00163B62" w:rsidRPr="00163B62">
              <w:rPr>
                <w:rFonts w:cs="Times New Roman"/>
                <w:sz w:val="22"/>
                <w:lang w:val="eu-ES" w:bidi="ar-SA"/>
              </w:rPr>
              <w:t xml:space="preserve"> </w:t>
            </w:r>
            <w:r w:rsidR="00163B62" w:rsidRPr="00163B62">
              <w:rPr>
                <w:rFonts w:cs="Times New Roman"/>
                <w:sz w:val="22"/>
                <w:lang w:val="eu-ES" w:bidi="ar-SA"/>
              </w:rPr>
              <w:br/>
            </w:r>
            <w:r w:rsidRPr="00D27CC8">
              <w:rPr>
                <w:rFonts w:cs="Times New Roman"/>
                <w:sz w:val="22"/>
                <w:lang w:val="eu-ES" w:bidi="ar-SA"/>
              </w:rPr>
              <w:t>Ogasun, Finantza eta Aurrekontuetako Idazkaritza Teknikoko Zerbitzua</w:t>
            </w:r>
            <w:r w:rsidR="00163B62" w:rsidRPr="00163B62">
              <w:rPr>
                <w:rFonts w:cs="Times New Roman"/>
                <w:sz w:val="22"/>
                <w:lang w:val="eu-ES" w:bidi="ar-SA"/>
              </w:rPr>
              <w:br/>
            </w:r>
            <w:r w:rsidR="00163B62" w:rsidRPr="00130F3D">
              <w:rPr>
                <w:rFonts w:cs="Times New Roman"/>
                <w:sz w:val="22"/>
                <w:lang w:val="eu-ES" w:bidi="ar-SA"/>
              </w:rPr>
              <w:t>Espediente zk</w:t>
            </w:r>
            <w:r w:rsidR="00550EC9">
              <w:rPr>
                <w:rFonts w:cs="Times New Roman"/>
                <w:sz w:val="22"/>
                <w:lang w:val="eu-ES" w:bidi="ar-SA"/>
              </w:rPr>
              <w:t xml:space="preserve">, INFOPU: </w:t>
            </w:r>
            <w:r>
              <w:rPr>
                <w:rFonts w:cs="Times New Roman"/>
                <w:sz w:val="22"/>
                <w:lang w:val="eu-ES" w:bidi="ar-SA"/>
              </w:rPr>
              <w:t>202</w:t>
            </w:r>
            <w:r w:rsidR="00AC4DA6">
              <w:rPr>
                <w:rFonts w:cs="Times New Roman"/>
                <w:sz w:val="22"/>
                <w:lang w:val="eu-ES" w:bidi="ar-SA"/>
              </w:rPr>
              <w:t>5</w:t>
            </w:r>
            <w:r>
              <w:rPr>
                <w:rFonts w:cs="Times New Roman"/>
                <w:sz w:val="22"/>
                <w:lang w:val="eu-ES" w:bidi="ar-SA"/>
              </w:rPr>
              <w:t>/000</w:t>
            </w:r>
            <w:r w:rsidR="00AA7B84">
              <w:rPr>
                <w:rFonts w:cs="Times New Roman"/>
                <w:sz w:val="22"/>
                <w:lang w:val="eu-ES" w:bidi="ar-SA"/>
              </w:rPr>
              <w:t>4</w:t>
            </w:r>
            <w:r w:rsidR="00710BDF">
              <w:rPr>
                <w:rFonts w:cs="Times New Roman"/>
                <w:sz w:val="22"/>
                <w:lang w:val="eu-ES" w:bidi="ar-SA"/>
              </w:rPr>
              <w:t>2</w:t>
            </w:r>
            <w:r w:rsidR="00D821D6">
              <w:rPr>
                <w:rFonts w:cs="Times New Roman"/>
                <w:sz w:val="22"/>
                <w:lang w:val="eu-ES" w:bidi="ar-SA"/>
              </w:rPr>
              <w:t xml:space="preserve">                                     </w:t>
            </w:r>
          </w:p>
          <w:p w14:paraId="0FA2190B" w14:textId="22CC7029" w:rsidR="007428C0" w:rsidRDefault="00A85CA4" w:rsidP="004C4BA2">
            <w:pPr>
              <w:rPr>
                <w:rFonts w:eastAsia="Calibri" w:cs="Times New Roman"/>
                <w:sz w:val="22"/>
                <w:szCs w:val="22"/>
                <w:lang w:val="eu-ES" w:eastAsia="en-US" w:bidi="ar-SA"/>
              </w:rPr>
            </w:pPr>
            <w:r w:rsidRPr="00A85CA4">
              <w:rPr>
                <w:rFonts w:eastAsia="Calibri" w:cs="Times New Roman"/>
                <w:sz w:val="22"/>
                <w:szCs w:val="22"/>
                <w:lang w:val="eu-ES" w:eastAsia="en-US" w:bidi="ar-SA"/>
              </w:rPr>
              <w:t>202</w:t>
            </w:r>
            <w:r w:rsidR="0033407A">
              <w:rPr>
                <w:rFonts w:eastAsia="Calibri" w:cs="Times New Roman"/>
                <w:sz w:val="22"/>
                <w:szCs w:val="22"/>
                <w:lang w:val="eu-ES" w:eastAsia="en-US" w:bidi="ar-SA"/>
              </w:rPr>
              <w:t>5e</w:t>
            </w:r>
            <w:r w:rsidRPr="00A85CA4">
              <w:rPr>
                <w:rFonts w:eastAsia="Calibri" w:cs="Times New Roman"/>
                <w:sz w:val="22"/>
                <w:szCs w:val="22"/>
                <w:lang w:val="eu-ES" w:eastAsia="en-US" w:bidi="ar-SA"/>
              </w:rPr>
              <w:t xml:space="preserve">ko </w:t>
            </w:r>
            <w:r w:rsidR="006E337A">
              <w:rPr>
                <w:rFonts w:eastAsia="Calibri" w:cs="Times New Roman"/>
                <w:sz w:val="22"/>
                <w:szCs w:val="22"/>
                <w:lang w:val="eu-ES" w:eastAsia="en-US" w:bidi="ar-SA"/>
              </w:rPr>
              <w:t>ekain</w:t>
            </w:r>
            <w:r w:rsidRPr="00A85CA4">
              <w:rPr>
                <w:rFonts w:eastAsia="Calibri" w:cs="Times New Roman"/>
                <w:sz w:val="22"/>
                <w:szCs w:val="22"/>
                <w:lang w:val="eu-ES" w:eastAsia="en-US" w:bidi="ar-SA"/>
              </w:rPr>
              <w:t xml:space="preserve">aren </w:t>
            </w:r>
            <w:r w:rsidR="006E337A">
              <w:rPr>
                <w:rFonts w:eastAsia="Calibri" w:cs="Times New Roman"/>
                <w:sz w:val="22"/>
                <w:szCs w:val="22"/>
                <w:lang w:val="eu-ES" w:eastAsia="en-US" w:bidi="ar-SA"/>
              </w:rPr>
              <w:t>25e</w:t>
            </w:r>
            <w:r w:rsidRPr="005E103C">
              <w:rPr>
                <w:rFonts w:eastAsia="Calibri" w:cs="Times New Roman"/>
                <w:sz w:val="22"/>
                <w:szCs w:val="22"/>
                <w:lang w:val="eu-ES" w:eastAsia="en-US" w:bidi="ar-SA"/>
              </w:rPr>
              <w:t>an</w:t>
            </w:r>
            <w:r w:rsidR="007428C0" w:rsidRPr="005E103C">
              <w:rPr>
                <w:rFonts w:eastAsia="Calibri" w:cs="Times New Roman"/>
                <w:sz w:val="22"/>
                <w:szCs w:val="22"/>
                <w:lang w:val="eu-ES" w:eastAsia="en-US" w:bidi="ar-SA"/>
              </w:rPr>
              <w:t xml:space="preserve"> </w:t>
            </w:r>
            <w:r w:rsidR="00FD2030" w:rsidRPr="00692AD6">
              <w:rPr>
                <w:rFonts w:eastAsia="Calibri" w:cs="Times New Roman"/>
                <w:sz w:val="22"/>
                <w:szCs w:val="22"/>
                <w:lang w:val="eu-ES" w:eastAsia="en-US" w:bidi="ar-SA"/>
              </w:rPr>
              <w:t xml:space="preserve">Arabako Foru </w:t>
            </w:r>
            <w:r w:rsidR="00FD2030" w:rsidRPr="00FD2030">
              <w:rPr>
                <w:rFonts w:eastAsia="Calibri" w:cs="Times New Roman"/>
                <w:sz w:val="22"/>
                <w:szCs w:val="22"/>
                <w:lang w:val="eu-ES" w:eastAsia="en-US" w:bidi="ar-SA"/>
              </w:rPr>
              <w:t>Aldundiaren Egoitza</w:t>
            </w:r>
            <w:r w:rsidR="00FD2030" w:rsidRPr="005F4F0E">
              <w:rPr>
                <w:rFonts w:eastAsia="Calibri" w:cs="Times New Roman"/>
                <w:sz w:val="22"/>
                <w:szCs w:val="22"/>
                <w:lang w:val="eu-ES" w:eastAsia="en-US" w:bidi="ar-SA"/>
              </w:rPr>
              <w:t xml:space="preserve"> Elektronikoan</w:t>
            </w:r>
            <w:r w:rsidR="00767117">
              <w:rPr>
                <w:rFonts w:eastAsia="Calibri" w:cs="Times New Roman"/>
                <w:sz w:val="22"/>
                <w:szCs w:val="22"/>
                <w:lang w:val="eu-ES" w:eastAsia="en-US" w:bidi="ar-SA"/>
              </w:rPr>
              <w:t xml:space="preserve"> </w:t>
            </w:r>
            <w:r w:rsidR="007428C0" w:rsidRPr="005E103C">
              <w:rPr>
                <w:rFonts w:eastAsia="Calibri" w:cs="Times New Roman"/>
                <w:sz w:val="22"/>
                <w:szCs w:val="22"/>
                <w:lang w:val="eu-ES" w:eastAsia="en-US" w:bidi="ar-SA"/>
              </w:rPr>
              <w:t xml:space="preserve">jaso da </w:t>
            </w:r>
            <w:proofErr w:type="spellStart"/>
            <w:r w:rsidR="00FD6167" w:rsidRPr="00FD6167">
              <w:rPr>
                <w:rFonts w:eastAsia="Calibri" w:cs="Times New Roman"/>
                <w:sz w:val="22"/>
                <w:szCs w:val="22"/>
                <w:highlight w:val="black"/>
                <w:lang w:val="eu-ES" w:eastAsia="en-US" w:bidi="ar-SA"/>
              </w:rPr>
              <w:t>xxxxx</w:t>
            </w:r>
            <w:r w:rsidR="006A1B85">
              <w:rPr>
                <w:rFonts w:eastAsia="Calibri" w:cs="Times New Roman"/>
                <w:sz w:val="22"/>
                <w:szCs w:val="22"/>
                <w:lang w:val="eu-ES" w:eastAsia="en-US" w:bidi="ar-SA"/>
              </w:rPr>
              <w:t>k</w:t>
            </w:r>
            <w:proofErr w:type="spellEnd"/>
            <w:r w:rsidR="006A1B85">
              <w:rPr>
                <w:rFonts w:eastAsia="Calibri" w:cs="Times New Roman"/>
                <w:sz w:val="22"/>
                <w:szCs w:val="22"/>
                <w:lang w:val="eu-ES" w:eastAsia="en-US" w:bidi="ar-SA"/>
              </w:rPr>
              <w:t xml:space="preserve"> </w:t>
            </w:r>
            <w:r w:rsidR="007428C0" w:rsidRPr="005E103C">
              <w:rPr>
                <w:rFonts w:eastAsia="Calibri" w:cs="Times New Roman"/>
                <w:sz w:val="22"/>
                <w:szCs w:val="22"/>
                <w:lang w:val="eu-ES" w:eastAsia="en-US" w:bidi="ar-SA"/>
              </w:rPr>
              <w:t>Arab</w:t>
            </w:r>
            <w:r w:rsidR="007428C0" w:rsidRPr="007428C0">
              <w:rPr>
                <w:rFonts w:eastAsia="Calibri" w:cs="Times New Roman"/>
                <w:sz w:val="22"/>
                <w:szCs w:val="22"/>
                <w:lang w:val="eu-ES" w:eastAsia="en-US" w:bidi="ar-SA"/>
              </w:rPr>
              <w:t>ako Lurralde Historikoko sektore publikoaren gardentasunaren, herritarren parte-hartzearen eta gobernu onaren otsailaren 8ko 1/2017 Foru Arauaren itzalpean informazio publikoa eskuratzeko aurkeztutako eskaera.</w:t>
            </w:r>
          </w:p>
          <w:p w14:paraId="2071E926" w14:textId="12F2870E" w:rsidR="00A95A0E" w:rsidRPr="00870D56" w:rsidRDefault="00D81957" w:rsidP="004C4BA2">
            <w:pPr>
              <w:spacing w:before="120" w:after="120"/>
              <w:rPr>
                <w:rFonts w:eastAsia="Calibri" w:cs="Times New Roman"/>
                <w:i/>
                <w:iCs/>
                <w:sz w:val="22"/>
                <w:szCs w:val="22"/>
                <w:lang w:val="eu-ES" w:eastAsia="en-US" w:bidi="ar-SA"/>
              </w:rPr>
            </w:pPr>
            <w:r>
              <w:rPr>
                <w:rFonts w:eastAsia="Calibri" w:cs="Times New Roman"/>
                <w:sz w:val="22"/>
                <w:szCs w:val="22"/>
                <w:lang w:val="eu-ES" w:eastAsia="en-US" w:bidi="ar-SA"/>
              </w:rPr>
              <w:t>I</w:t>
            </w:r>
            <w:r w:rsidRPr="00D81957">
              <w:rPr>
                <w:rFonts w:eastAsia="Calibri" w:cs="Times New Roman"/>
                <w:sz w:val="22"/>
                <w:szCs w:val="22"/>
                <w:lang w:val="eu-ES" w:eastAsia="en-US" w:bidi="ar-SA"/>
              </w:rPr>
              <w:t xml:space="preserve">nformazio publikoa eskatzen </w:t>
            </w:r>
            <w:r>
              <w:rPr>
                <w:rFonts w:eastAsia="Calibri" w:cs="Times New Roman"/>
                <w:sz w:val="22"/>
                <w:szCs w:val="22"/>
                <w:lang w:val="eu-ES" w:eastAsia="en-US" w:bidi="ar-SA"/>
              </w:rPr>
              <w:t>zuen</w:t>
            </w:r>
            <w:r w:rsidRPr="00D81957">
              <w:rPr>
                <w:rFonts w:eastAsia="Calibri" w:cs="Times New Roman"/>
                <w:sz w:val="22"/>
                <w:szCs w:val="22"/>
                <w:lang w:val="eu-ES" w:eastAsia="en-US" w:bidi="ar-SA"/>
              </w:rPr>
              <w:t>, honako hau, hain zuzen</w:t>
            </w:r>
            <w:r w:rsidR="007428C0" w:rsidRPr="00A00F26">
              <w:rPr>
                <w:rFonts w:eastAsia="Calibri" w:cs="Times New Roman"/>
                <w:i/>
                <w:iCs/>
                <w:sz w:val="22"/>
                <w:szCs w:val="22"/>
                <w:lang w:val="eu-ES" w:eastAsia="en-US" w:bidi="ar-SA"/>
              </w:rPr>
              <w:t>“</w:t>
            </w:r>
            <w:r w:rsidR="00870D56" w:rsidRPr="00870D56">
              <w:rPr>
                <w:rFonts w:eastAsia="Calibri" w:cs="Times New Roman"/>
                <w:i/>
                <w:iCs/>
                <w:sz w:val="22"/>
                <w:szCs w:val="22"/>
                <w:lang w:val="eu-ES" w:eastAsia="en-US" w:bidi="ar-SA"/>
              </w:rPr>
              <w:t>2021etik 2024ra bitarteko ekitaldietan kooperatiba sozietateen eta eraldaketarako nekazaritza sozietateen jarduera ekonomikoen gaineko zergen arloan bilketa galtzeagatik konpentsazioak eskatu dituzten Arabako udalerrien zerrenda</w:t>
            </w:r>
            <w:r w:rsidR="005B300C">
              <w:rPr>
                <w:rFonts w:eastAsia="Calibri" w:cs="Times New Roman"/>
                <w:i/>
                <w:iCs/>
                <w:sz w:val="22"/>
                <w:szCs w:val="22"/>
                <w:lang w:val="eu-ES" w:eastAsia="en-US" w:bidi="ar-SA"/>
              </w:rPr>
              <w:t>.</w:t>
            </w:r>
            <w:r w:rsidR="00CD6E21">
              <w:rPr>
                <w:rFonts w:eastAsia="Calibri" w:cs="Times New Roman"/>
                <w:i/>
                <w:iCs/>
                <w:sz w:val="22"/>
                <w:szCs w:val="22"/>
                <w:lang w:val="eu-ES" w:eastAsia="en-US" w:bidi="ar-SA"/>
              </w:rPr>
              <w:t>”</w:t>
            </w:r>
          </w:p>
          <w:p w14:paraId="1FD09D97" w14:textId="0BD1CA18" w:rsidR="003E5602" w:rsidRDefault="003E5602" w:rsidP="004C4BA2">
            <w:pPr>
              <w:spacing w:before="360"/>
              <w:rPr>
                <w:rFonts w:eastAsia="Calibri" w:cs="Times New Roman"/>
                <w:sz w:val="22"/>
                <w:szCs w:val="22"/>
                <w:lang w:val="eu-ES" w:eastAsia="en-US" w:bidi="ar-SA"/>
              </w:rPr>
            </w:pPr>
            <w:r>
              <w:rPr>
                <w:rFonts w:eastAsia="Calibri" w:cs="Times New Roman"/>
                <w:sz w:val="22"/>
                <w:szCs w:val="22"/>
                <w:lang w:val="eu-ES" w:eastAsia="en-US" w:bidi="ar-SA"/>
              </w:rPr>
              <w:t>2025eko ekainaren 25ea</w:t>
            </w:r>
            <w:r w:rsidRPr="003E5602">
              <w:rPr>
                <w:rFonts w:eastAsia="Calibri" w:cs="Times New Roman"/>
                <w:sz w:val="22"/>
                <w:szCs w:val="22"/>
                <w:lang w:val="eu-ES" w:eastAsia="en-US" w:bidi="ar-SA"/>
              </w:rPr>
              <w:t>n eskaera Ogasun, Finantza eta Aurrekontuen Idazkaritza Teknikoa</w:t>
            </w:r>
            <w:r>
              <w:rPr>
                <w:rFonts w:eastAsia="Calibri" w:cs="Times New Roman"/>
                <w:sz w:val="22"/>
                <w:szCs w:val="22"/>
                <w:lang w:val="eu-ES" w:eastAsia="en-US" w:bidi="ar-SA"/>
              </w:rPr>
              <w:t>n</w:t>
            </w:r>
            <w:r w:rsidRPr="003E5602">
              <w:rPr>
                <w:rFonts w:eastAsia="Calibri" w:cs="Times New Roman"/>
                <w:sz w:val="22"/>
                <w:szCs w:val="22"/>
                <w:lang w:val="eu-ES" w:eastAsia="en-US" w:bidi="ar-SA"/>
              </w:rPr>
              <w:t xml:space="preserve"> jaso zen. Izan ere, horixe da izapideen ardura daukan unitate administratiboa.</w:t>
            </w:r>
          </w:p>
          <w:p w14:paraId="2B9DA45B" w14:textId="41337D2D" w:rsidR="00F32B92" w:rsidRDefault="00A129FC" w:rsidP="004C4BA2">
            <w:pPr>
              <w:spacing w:before="240"/>
              <w:rPr>
                <w:rFonts w:eastAsia="Calibri" w:cs="Times New Roman"/>
                <w:sz w:val="22"/>
                <w:szCs w:val="22"/>
                <w:lang w:val="eu-ES" w:eastAsia="en-US" w:bidi="ar-SA"/>
              </w:rPr>
            </w:pPr>
            <w:r w:rsidRPr="00A129FC">
              <w:rPr>
                <w:rFonts w:eastAsia="Calibri" w:cs="Times New Roman"/>
                <w:sz w:val="22"/>
                <w:szCs w:val="22"/>
                <w:lang w:val="eu-ES" w:eastAsia="en-US" w:bidi="ar-SA"/>
              </w:rPr>
              <w:t>Interesdunak informazioa eskatzen duen gaia kudea dezaketen sailei galdetu zaie</w:t>
            </w:r>
            <w:r w:rsidR="00EC0E50" w:rsidRPr="00EC0E50">
              <w:rPr>
                <w:rFonts w:eastAsia="Calibri" w:cs="Times New Roman"/>
                <w:sz w:val="22"/>
                <w:szCs w:val="22"/>
                <w:lang w:val="eu-ES" w:eastAsia="en-US" w:bidi="ar-SA"/>
              </w:rPr>
              <w:t xml:space="preserve">, eta Arabako Foru Aldundian ez dago jasota 2021etik 2024ra bitarteko </w:t>
            </w:r>
            <w:r w:rsidRPr="00A129FC">
              <w:rPr>
                <w:rFonts w:eastAsia="Calibri" w:cs="Times New Roman"/>
                <w:sz w:val="22"/>
                <w:szCs w:val="22"/>
                <w:lang w:val="eu-ES" w:eastAsia="en-US" w:bidi="ar-SA"/>
              </w:rPr>
              <w:t xml:space="preserve">ekitaldietan kooperatiba sozietateen eta eraldaketarako nekazaritza sozietateen jarduera ekonomikoen gaineko zergen arloan bilketa galtzeagatik konpentsazioak eskatu dituzten Arabako </w:t>
            </w:r>
            <w:r w:rsidR="00EC0E50" w:rsidRPr="00EC0E50">
              <w:rPr>
                <w:rFonts w:eastAsia="Calibri" w:cs="Times New Roman"/>
                <w:sz w:val="22"/>
                <w:szCs w:val="22"/>
                <w:lang w:val="eu-ES" w:eastAsia="en-US" w:bidi="ar-SA"/>
              </w:rPr>
              <w:t>udalerriei buruzko informaziorik.</w:t>
            </w:r>
          </w:p>
          <w:p w14:paraId="1138A385" w14:textId="77777777" w:rsidR="00EC0E50" w:rsidRDefault="00EC0E50" w:rsidP="004C4BA2">
            <w:pPr>
              <w:spacing w:before="120"/>
              <w:rPr>
                <w:rFonts w:eastAsia="Calibri" w:cs="Times New Roman"/>
                <w:sz w:val="22"/>
                <w:szCs w:val="22"/>
                <w:lang w:val="eu-ES" w:eastAsia="en-US" w:bidi="ar-SA"/>
              </w:rPr>
            </w:pPr>
          </w:p>
          <w:p w14:paraId="049D9001" w14:textId="77777777" w:rsidR="000430CD" w:rsidRDefault="000430CD" w:rsidP="004C4BA2">
            <w:pPr>
              <w:rPr>
                <w:sz w:val="22"/>
                <w:szCs w:val="22"/>
                <w:lang w:val="eu-ES"/>
              </w:rPr>
            </w:pPr>
          </w:p>
          <w:p w14:paraId="35D46295" w14:textId="7874EB54" w:rsidR="000430CD" w:rsidRDefault="00EF19D7" w:rsidP="004C4BA2">
            <w:pPr>
              <w:rPr>
                <w:sz w:val="22"/>
                <w:szCs w:val="22"/>
                <w:lang w:val="eu-ES"/>
              </w:rPr>
            </w:pPr>
            <w:r w:rsidRPr="00EF19D7">
              <w:rPr>
                <w:sz w:val="22"/>
                <w:szCs w:val="22"/>
                <w:lang w:val="eu-ES"/>
              </w:rPr>
              <w:t xml:space="preserve">Gardentasunari, informazio publikoa eskuratzeko bideari eta gobernu onari buruzko abenduaren </w:t>
            </w:r>
            <w:r w:rsidRPr="00EF19D7">
              <w:rPr>
                <w:sz w:val="22"/>
                <w:szCs w:val="22"/>
                <w:lang w:val="eu-ES"/>
              </w:rPr>
              <w:lastRenderedPageBreak/>
              <w:t xml:space="preserve">9ko 19/2013 </w:t>
            </w:r>
            <w:r w:rsidRPr="00F721B3">
              <w:rPr>
                <w:sz w:val="22"/>
                <w:szCs w:val="22"/>
                <w:lang w:val="eu-ES"/>
              </w:rPr>
              <w:t xml:space="preserve">Legearen 18. artikuluan ez onartzeko kasu gisa </w:t>
            </w:r>
            <w:r w:rsidRPr="00EF19D7">
              <w:rPr>
                <w:sz w:val="22"/>
                <w:szCs w:val="22"/>
                <w:lang w:val="eu-ES"/>
              </w:rPr>
              <w:t>aurreikusita dago.</w:t>
            </w:r>
          </w:p>
          <w:p w14:paraId="7B64F5C1" w14:textId="77777777" w:rsidR="00EF19D7" w:rsidRDefault="00EF19D7" w:rsidP="004C4BA2">
            <w:pPr>
              <w:spacing w:before="120"/>
              <w:rPr>
                <w:sz w:val="22"/>
                <w:szCs w:val="22"/>
                <w:lang w:val="eu-ES"/>
              </w:rPr>
            </w:pPr>
          </w:p>
          <w:p w14:paraId="69461DCF" w14:textId="2FD6B157" w:rsidR="00871EA8" w:rsidRDefault="00871EA8" w:rsidP="004C4BA2">
            <w:pPr>
              <w:rPr>
                <w:sz w:val="22"/>
                <w:szCs w:val="22"/>
                <w:lang w:val="eu-ES"/>
              </w:rPr>
            </w:pPr>
            <w:r w:rsidRPr="00E601B6">
              <w:rPr>
                <w:sz w:val="22"/>
                <w:szCs w:val="22"/>
                <w:lang w:val="eu-ES"/>
              </w:rPr>
              <w:t>Hori dela-eta, 1</w:t>
            </w:r>
            <w:r>
              <w:rPr>
                <w:sz w:val="22"/>
                <w:szCs w:val="22"/>
                <w:lang w:val="eu-ES"/>
              </w:rPr>
              <w:t>15</w:t>
            </w:r>
            <w:r w:rsidRPr="00E601B6">
              <w:rPr>
                <w:sz w:val="22"/>
                <w:szCs w:val="22"/>
                <w:lang w:val="eu-ES"/>
              </w:rPr>
              <w:t>/2020 Foru Aginduak ematen dizkidan eskumenak erabiliz (1</w:t>
            </w:r>
            <w:r>
              <w:rPr>
                <w:sz w:val="22"/>
                <w:szCs w:val="22"/>
                <w:lang w:val="eu-ES"/>
              </w:rPr>
              <w:t>15</w:t>
            </w:r>
            <w:r w:rsidRPr="00E601B6">
              <w:rPr>
                <w:sz w:val="22"/>
                <w:szCs w:val="22"/>
                <w:lang w:val="eu-ES"/>
              </w:rPr>
              <w:t xml:space="preserve">/2020 Foru Agindua, martxoaren </w:t>
            </w:r>
            <w:r>
              <w:rPr>
                <w:sz w:val="22"/>
                <w:szCs w:val="22"/>
                <w:lang w:val="eu-ES"/>
              </w:rPr>
              <w:t>6</w:t>
            </w:r>
            <w:r w:rsidRPr="00E601B6">
              <w:rPr>
                <w:sz w:val="22"/>
                <w:szCs w:val="22"/>
                <w:lang w:val="eu-ES"/>
              </w:rPr>
              <w:t xml:space="preserve">koa; honen bidez </w:t>
            </w:r>
            <w:r>
              <w:rPr>
                <w:sz w:val="22"/>
                <w:szCs w:val="22"/>
                <w:lang w:val="eu-ES"/>
              </w:rPr>
              <w:t>Finantza eta Aurrekontuko</w:t>
            </w:r>
            <w:r w:rsidRPr="00E601B6">
              <w:rPr>
                <w:sz w:val="22"/>
                <w:szCs w:val="22"/>
                <w:lang w:val="eu-ES"/>
              </w:rPr>
              <w:t xml:space="preserve"> Zuzendaritzaren titularrari eskuordetzen zaio zuzendaritza horrek izapidetzen dituen informazioa eskuratzeko eskaerak ebazteko eskumena), honako hau</w:t>
            </w:r>
          </w:p>
          <w:p w14:paraId="3ECCD176" w14:textId="77777777" w:rsidR="00871EA8" w:rsidRDefault="00871EA8" w:rsidP="004C4BA2">
            <w:pPr>
              <w:rPr>
                <w:sz w:val="22"/>
                <w:szCs w:val="22"/>
                <w:lang w:val="eu-ES"/>
              </w:rPr>
            </w:pPr>
          </w:p>
          <w:p w14:paraId="36AB8455" w14:textId="77777777" w:rsidR="00F229AA" w:rsidRDefault="00F229AA" w:rsidP="004C4BA2">
            <w:pPr>
              <w:pStyle w:val="Default"/>
              <w:rPr>
                <w:rFonts w:eastAsia="Calibri"/>
                <w:b/>
                <w:sz w:val="22"/>
                <w:szCs w:val="22"/>
                <w:lang w:val="eu-ES" w:eastAsia="en-US"/>
              </w:rPr>
            </w:pPr>
          </w:p>
          <w:p w14:paraId="04414D00" w14:textId="545AB3AB" w:rsidR="007428C0" w:rsidRPr="000C49D1" w:rsidRDefault="007428C0" w:rsidP="004C4BA2">
            <w:pPr>
              <w:pStyle w:val="Default"/>
              <w:jc w:val="center"/>
              <w:rPr>
                <w:rFonts w:eastAsia="Calibri"/>
                <w:b/>
                <w:sz w:val="22"/>
                <w:szCs w:val="22"/>
                <w:lang w:val="eu-ES" w:eastAsia="en-US"/>
              </w:rPr>
            </w:pPr>
            <w:r w:rsidRPr="000C49D1">
              <w:rPr>
                <w:rFonts w:eastAsia="Calibri"/>
                <w:b/>
                <w:sz w:val="22"/>
                <w:szCs w:val="22"/>
                <w:lang w:val="eu-ES" w:eastAsia="en-US"/>
              </w:rPr>
              <w:t>EBAZTEN DUT</w:t>
            </w:r>
          </w:p>
          <w:p w14:paraId="18EA4A03" w14:textId="6330EF9F" w:rsidR="008B2038" w:rsidRPr="005128AD" w:rsidRDefault="007428C0" w:rsidP="004C4BA2">
            <w:pPr>
              <w:spacing w:before="240"/>
              <w:rPr>
                <w:rFonts w:eastAsia="Calibri"/>
                <w:bCs/>
                <w:sz w:val="22"/>
                <w:szCs w:val="22"/>
                <w:lang w:val="eu-ES" w:eastAsia="en-US"/>
              </w:rPr>
            </w:pPr>
            <w:r w:rsidRPr="00FD58ED">
              <w:rPr>
                <w:rFonts w:eastAsia="Calibri"/>
                <w:b/>
                <w:sz w:val="22"/>
                <w:szCs w:val="22"/>
                <w:lang w:val="eu-ES" w:eastAsia="en-US"/>
              </w:rPr>
              <w:t>LEHENENGOA</w:t>
            </w:r>
            <w:r w:rsidRPr="005A2B91">
              <w:rPr>
                <w:rFonts w:eastAsia="Calibri"/>
                <w:bCs/>
                <w:sz w:val="22"/>
                <w:szCs w:val="22"/>
                <w:lang w:val="eu-ES" w:eastAsia="en-US"/>
              </w:rPr>
              <w:t>.</w:t>
            </w:r>
            <w:r w:rsidR="005A2B91" w:rsidRPr="005A2B91">
              <w:rPr>
                <w:rFonts w:eastAsia="Calibri"/>
                <w:bCs/>
                <w:sz w:val="22"/>
                <w:szCs w:val="22"/>
                <w:lang w:val="eu-ES" w:eastAsia="en-US"/>
              </w:rPr>
              <w:t xml:space="preserve"> </w:t>
            </w:r>
            <w:r w:rsidR="00523C41">
              <w:rPr>
                <w:rFonts w:eastAsia="Calibri"/>
                <w:bCs/>
                <w:sz w:val="22"/>
                <w:szCs w:val="22"/>
                <w:lang w:val="eu-ES" w:eastAsia="en-US"/>
              </w:rPr>
              <w:t xml:space="preserve">Ez onartzea </w:t>
            </w:r>
            <w:proofErr w:type="spellStart"/>
            <w:r w:rsidR="00FD6167" w:rsidRPr="00FD6167">
              <w:rPr>
                <w:rFonts w:eastAsia="Calibri"/>
                <w:bCs/>
                <w:sz w:val="22"/>
                <w:szCs w:val="22"/>
                <w:highlight w:val="black"/>
                <w:lang w:val="eu-ES" w:eastAsia="en-US"/>
              </w:rPr>
              <w:t>xxxxx</w:t>
            </w:r>
            <w:r w:rsidR="005A2B91" w:rsidRPr="005A2B91">
              <w:rPr>
                <w:rFonts w:eastAsia="Calibri"/>
                <w:bCs/>
                <w:sz w:val="22"/>
                <w:szCs w:val="22"/>
                <w:lang w:val="eu-ES" w:eastAsia="en-US"/>
              </w:rPr>
              <w:t>k</w:t>
            </w:r>
            <w:proofErr w:type="spellEnd"/>
            <w:r w:rsidR="005A2B91" w:rsidRPr="005A2B91">
              <w:rPr>
                <w:rFonts w:eastAsia="Calibri"/>
                <w:bCs/>
                <w:sz w:val="22"/>
                <w:szCs w:val="22"/>
                <w:lang w:val="eu-ES" w:eastAsia="en-US"/>
              </w:rPr>
              <w:t xml:space="preserve"> 202</w:t>
            </w:r>
            <w:r w:rsidR="005603A7">
              <w:rPr>
                <w:rFonts w:eastAsia="Calibri"/>
                <w:bCs/>
                <w:sz w:val="22"/>
                <w:szCs w:val="22"/>
                <w:lang w:val="eu-ES" w:eastAsia="en-US"/>
              </w:rPr>
              <w:t>5e</w:t>
            </w:r>
            <w:r w:rsidR="005A2B91" w:rsidRPr="005A2B91">
              <w:rPr>
                <w:rFonts w:eastAsia="Calibri"/>
                <w:bCs/>
                <w:sz w:val="22"/>
                <w:szCs w:val="22"/>
                <w:lang w:val="eu-ES" w:eastAsia="en-US"/>
              </w:rPr>
              <w:t xml:space="preserve">ko </w:t>
            </w:r>
            <w:r w:rsidR="006C3991">
              <w:rPr>
                <w:rFonts w:eastAsia="Calibri"/>
                <w:bCs/>
                <w:sz w:val="22"/>
                <w:szCs w:val="22"/>
                <w:lang w:val="eu-ES" w:eastAsia="en-US"/>
              </w:rPr>
              <w:t>ekain</w:t>
            </w:r>
            <w:r w:rsidR="005603A7">
              <w:rPr>
                <w:rFonts w:eastAsia="Calibri"/>
                <w:bCs/>
                <w:sz w:val="22"/>
                <w:szCs w:val="22"/>
                <w:lang w:val="eu-ES" w:eastAsia="en-US"/>
              </w:rPr>
              <w:t>a</w:t>
            </w:r>
            <w:r w:rsidR="005A2B91" w:rsidRPr="005A2B91">
              <w:rPr>
                <w:rFonts w:eastAsia="Calibri"/>
                <w:bCs/>
                <w:sz w:val="22"/>
                <w:szCs w:val="22"/>
                <w:lang w:val="eu-ES" w:eastAsia="en-US"/>
              </w:rPr>
              <w:t xml:space="preserve">ren </w:t>
            </w:r>
            <w:r w:rsidR="006C3991">
              <w:rPr>
                <w:rFonts w:eastAsia="Calibri"/>
                <w:bCs/>
                <w:sz w:val="22"/>
                <w:szCs w:val="22"/>
                <w:lang w:val="eu-ES" w:eastAsia="en-US"/>
              </w:rPr>
              <w:t>25e</w:t>
            </w:r>
            <w:r w:rsidR="005A2B91" w:rsidRPr="005A2B91">
              <w:rPr>
                <w:rFonts w:eastAsia="Calibri"/>
                <w:bCs/>
                <w:sz w:val="22"/>
                <w:szCs w:val="22"/>
                <w:lang w:val="eu-ES" w:eastAsia="en-US"/>
              </w:rPr>
              <w:t>an informazio publikoa eskuratzeko aurkeztutako eskaera</w:t>
            </w:r>
            <w:r w:rsidR="00032C64">
              <w:rPr>
                <w:rFonts w:eastAsia="Calibri"/>
                <w:bCs/>
                <w:sz w:val="22"/>
                <w:szCs w:val="22"/>
                <w:lang w:val="eu-ES" w:eastAsia="en-US"/>
              </w:rPr>
              <w:t xml:space="preserve">, </w:t>
            </w:r>
            <w:r w:rsidR="00032C64" w:rsidRPr="00A4694E">
              <w:rPr>
                <w:rFonts w:eastAsia="Calibri" w:cs="Times New Roman"/>
                <w:sz w:val="22"/>
                <w:szCs w:val="22"/>
                <w:lang w:val="eu-ES" w:eastAsia="en-US" w:bidi="ar-SA"/>
              </w:rPr>
              <w:t>ebazpen honetan azaltzen denarengatik</w:t>
            </w:r>
            <w:r w:rsidR="0025337C">
              <w:rPr>
                <w:rFonts w:eastAsia="Calibri"/>
                <w:bCs/>
                <w:sz w:val="22"/>
                <w:szCs w:val="22"/>
                <w:lang w:val="eu-ES" w:eastAsia="en-US"/>
              </w:rPr>
              <w:t>.</w:t>
            </w:r>
          </w:p>
          <w:p w14:paraId="23DABF23" w14:textId="3E14F24F" w:rsidR="00AD6A23" w:rsidRPr="005D0B87" w:rsidRDefault="001F3207" w:rsidP="004C4BA2">
            <w:pPr>
              <w:spacing w:before="240"/>
              <w:rPr>
                <w:sz w:val="22"/>
                <w:lang w:val="eu-ES"/>
              </w:rPr>
            </w:pPr>
            <w:r>
              <w:rPr>
                <w:rFonts w:eastAsia="Calibri" w:cs="Times New Roman"/>
                <w:b/>
                <w:bCs/>
                <w:sz w:val="22"/>
                <w:szCs w:val="22"/>
                <w:lang w:val="eu-ES" w:eastAsia="en-US" w:bidi="ar-SA"/>
              </w:rPr>
              <w:t>BIGARRENA</w:t>
            </w:r>
            <w:r w:rsidR="007428C0" w:rsidRPr="007428C0">
              <w:rPr>
                <w:rFonts w:eastAsia="Calibri" w:cs="Times New Roman"/>
                <w:sz w:val="22"/>
                <w:szCs w:val="22"/>
                <w:lang w:val="eu-ES" w:eastAsia="en-US" w:bidi="ar-SA"/>
              </w:rPr>
              <w:t>. Ebazpen honek</w:t>
            </w:r>
            <w:r w:rsidR="00173F3C">
              <w:rPr>
                <w:rFonts w:eastAsia="Calibri" w:cs="Times New Roman"/>
                <w:sz w:val="22"/>
                <w:szCs w:val="22"/>
                <w:lang w:val="eu-ES" w:eastAsia="en-US" w:bidi="ar-SA"/>
              </w:rPr>
              <w:t xml:space="preserve"> </w:t>
            </w:r>
            <w:r w:rsidR="007428C0" w:rsidRPr="007428C0">
              <w:rPr>
                <w:rFonts w:eastAsia="Calibri" w:cs="Times New Roman"/>
                <w:sz w:val="22"/>
                <w:szCs w:val="22"/>
                <w:lang w:val="eu-ES" w:eastAsia="en-US" w:bidi="ar-SA"/>
              </w:rPr>
              <w:t>administrazio bidea amaitzen du. Beraren kontra administrazioarekiko auzi errekurtsoa aurkeztu ahal izango da Gasteizko administrazioarekiko auzien epaitegietan jakinarazten den egunaren biharamunetik bi hilabete pasatu baino lehen edo, bestela, errekurtso horren aurretik, erreklamazioa aurkeztu ahal izango da Gardentasunaren eta Gobernu Onaren Foru Kontseiluaren aurrean aurreko egun beretik hilabete pasatu baino lehen.</w:t>
            </w:r>
          </w:p>
          <w:p w14:paraId="19E370C4" w14:textId="77777777" w:rsidR="00660503" w:rsidRPr="005D0B87" w:rsidRDefault="00660503" w:rsidP="004C4BA2">
            <w:pPr>
              <w:rPr>
                <w:sz w:val="22"/>
                <w:lang w:val="eu-ES"/>
              </w:rPr>
            </w:pPr>
          </w:p>
          <w:p w14:paraId="4569DAE1" w14:textId="77777777" w:rsidR="00660503" w:rsidRPr="005D0B87" w:rsidRDefault="00660503" w:rsidP="004C4BA2">
            <w:pPr>
              <w:rPr>
                <w:sz w:val="22"/>
                <w:lang w:val="eu-ES"/>
              </w:rPr>
            </w:pPr>
          </w:p>
        </w:tc>
        <w:tc>
          <w:tcPr>
            <w:tcW w:w="568" w:type="dxa"/>
            <w:gridSpan w:val="2"/>
          </w:tcPr>
          <w:p w14:paraId="08FED51D" w14:textId="77777777" w:rsidR="00AD6A23" w:rsidRPr="005D0B87" w:rsidRDefault="00AD6A23" w:rsidP="004C4BA2">
            <w:pPr>
              <w:spacing w:after="360"/>
              <w:rPr>
                <w:sz w:val="22"/>
                <w:lang w:val="eu-ES"/>
              </w:rPr>
            </w:pPr>
          </w:p>
        </w:tc>
        <w:tc>
          <w:tcPr>
            <w:tcW w:w="4393" w:type="dxa"/>
            <w:gridSpan w:val="2"/>
          </w:tcPr>
          <w:p w14:paraId="3342782D" w14:textId="3E36777A" w:rsidR="00AD6A23" w:rsidRPr="000F5E56" w:rsidRDefault="00163B62" w:rsidP="004C4BA2">
            <w:pPr>
              <w:tabs>
                <w:tab w:val="right" w:pos="8789"/>
              </w:tabs>
              <w:spacing w:after="360"/>
              <w:rPr>
                <w:rFonts w:cs="Times New Roman"/>
                <w:sz w:val="22"/>
                <w:lang w:val="es-ES" w:bidi="ar-SA"/>
              </w:rPr>
            </w:pPr>
            <w:r w:rsidRPr="00AD48EE">
              <w:rPr>
                <w:rFonts w:cs="Times New Roman"/>
                <w:sz w:val="22"/>
                <w:lang w:val="es-ES" w:bidi="ar-SA"/>
              </w:rPr>
              <w:t xml:space="preserve">Departamento </w:t>
            </w:r>
            <w:r w:rsidR="00AD48EE" w:rsidRPr="00AD48EE">
              <w:rPr>
                <w:rFonts w:cs="Times New Roman"/>
                <w:sz w:val="22"/>
                <w:lang w:val="es-ES" w:bidi="ar-SA"/>
              </w:rPr>
              <w:t>de Hacienda, Finanzas y Presupuestos</w:t>
            </w:r>
            <w:r w:rsidRPr="000F5E56">
              <w:rPr>
                <w:rFonts w:cs="Times New Roman"/>
                <w:sz w:val="22"/>
                <w:lang w:val="es-ES" w:bidi="ar-SA"/>
              </w:rPr>
              <w:br/>
              <w:t xml:space="preserve">Servicio de </w:t>
            </w:r>
            <w:r w:rsidR="00AD48EE">
              <w:rPr>
                <w:rFonts w:cs="Times New Roman"/>
                <w:sz w:val="22"/>
                <w:lang w:val="es-ES" w:bidi="ar-SA"/>
              </w:rPr>
              <w:t>Secretaría Técnica de Hacienda, Finanzas y Presupuestos</w:t>
            </w:r>
            <w:r w:rsidRPr="000F5E56">
              <w:rPr>
                <w:rFonts w:cs="Times New Roman"/>
                <w:sz w:val="22"/>
                <w:lang w:val="es-ES" w:bidi="ar-SA"/>
              </w:rPr>
              <w:br/>
            </w:r>
            <w:r w:rsidR="00130F3D" w:rsidRPr="000F5E56">
              <w:rPr>
                <w:rFonts w:cs="Times New Roman"/>
                <w:sz w:val="22"/>
                <w:lang w:val="es-ES" w:bidi="ar-SA"/>
              </w:rPr>
              <w:t>Nº Expte</w:t>
            </w:r>
            <w:r w:rsidR="00550EC9">
              <w:rPr>
                <w:rFonts w:cs="Times New Roman"/>
                <w:sz w:val="22"/>
                <w:lang w:val="es-ES" w:bidi="ar-SA"/>
              </w:rPr>
              <w:t>, INFOPU</w:t>
            </w:r>
            <w:r w:rsidR="00550EC9" w:rsidRPr="00AD48EE">
              <w:rPr>
                <w:rFonts w:cs="Times New Roman"/>
                <w:sz w:val="22"/>
                <w:lang w:val="es-ES" w:bidi="ar-SA"/>
              </w:rPr>
              <w:t xml:space="preserve">: </w:t>
            </w:r>
            <w:r w:rsidR="00AD48EE" w:rsidRPr="00AD48EE">
              <w:rPr>
                <w:rFonts w:cs="Times New Roman"/>
                <w:sz w:val="22"/>
                <w:lang w:val="es-ES" w:bidi="ar-SA"/>
              </w:rPr>
              <w:t>202</w:t>
            </w:r>
            <w:r w:rsidR="00AC4DA6">
              <w:rPr>
                <w:rFonts w:cs="Times New Roman"/>
                <w:sz w:val="22"/>
                <w:lang w:val="es-ES" w:bidi="ar-SA"/>
              </w:rPr>
              <w:t>5</w:t>
            </w:r>
            <w:r w:rsidR="00AD48EE" w:rsidRPr="00AD48EE">
              <w:rPr>
                <w:rFonts w:cs="Times New Roman"/>
                <w:sz w:val="22"/>
                <w:lang w:val="es-ES" w:bidi="ar-SA"/>
              </w:rPr>
              <w:t>/000</w:t>
            </w:r>
            <w:r w:rsidR="00AA7B84">
              <w:rPr>
                <w:rFonts w:cs="Times New Roman"/>
                <w:sz w:val="22"/>
                <w:lang w:val="es-ES" w:bidi="ar-SA"/>
              </w:rPr>
              <w:t>4</w:t>
            </w:r>
            <w:r w:rsidR="00710BDF">
              <w:rPr>
                <w:rFonts w:cs="Times New Roman"/>
                <w:sz w:val="22"/>
                <w:lang w:val="es-ES" w:bidi="ar-SA"/>
              </w:rPr>
              <w:t>2</w:t>
            </w:r>
            <w:r w:rsidR="00D821D6" w:rsidRPr="000F5E56">
              <w:rPr>
                <w:rFonts w:cs="Times New Roman"/>
                <w:sz w:val="22"/>
                <w:lang w:val="es-ES" w:bidi="ar-SA"/>
              </w:rPr>
              <w:t xml:space="preserve">                                             </w:t>
            </w:r>
          </w:p>
          <w:p w14:paraId="3E89FDA4" w14:textId="5734EEE4" w:rsidR="00A65BA3" w:rsidRDefault="008916A0" w:rsidP="004C4BA2">
            <w:pPr>
              <w:rPr>
                <w:rFonts w:cs="Times New Roman"/>
                <w:sz w:val="22"/>
                <w:szCs w:val="22"/>
              </w:rPr>
            </w:pPr>
            <w:r>
              <w:rPr>
                <w:rFonts w:cs="Times New Roman"/>
                <w:sz w:val="22"/>
                <w:szCs w:val="22"/>
              </w:rPr>
              <w:t>El</w:t>
            </w:r>
            <w:r w:rsidR="00D821D6" w:rsidRPr="005A67AA">
              <w:rPr>
                <w:rFonts w:cs="Times New Roman"/>
                <w:sz w:val="22"/>
                <w:szCs w:val="22"/>
              </w:rPr>
              <w:t xml:space="preserve"> </w:t>
            </w:r>
            <w:r w:rsidR="006E337A">
              <w:rPr>
                <w:rFonts w:cs="Times New Roman"/>
                <w:sz w:val="22"/>
                <w:szCs w:val="22"/>
              </w:rPr>
              <w:t>25</w:t>
            </w:r>
            <w:r w:rsidR="00A41FD8">
              <w:rPr>
                <w:rFonts w:cs="Times New Roman"/>
                <w:sz w:val="22"/>
                <w:szCs w:val="22"/>
              </w:rPr>
              <w:t xml:space="preserve"> de </w:t>
            </w:r>
            <w:r w:rsidR="006E337A">
              <w:rPr>
                <w:rFonts w:cs="Times New Roman"/>
                <w:sz w:val="22"/>
                <w:szCs w:val="22"/>
              </w:rPr>
              <w:t>junio</w:t>
            </w:r>
            <w:r w:rsidR="00A41FD8">
              <w:rPr>
                <w:rFonts w:cs="Times New Roman"/>
                <w:sz w:val="22"/>
                <w:szCs w:val="22"/>
              </w:rPr>
              <w:t xml:space="preserve"> de 202</w:t>
            </w:r>
            <w:r w:rsidR="0033407A">
              <w:rPr>
                <w:rFonts w:cs="Times New Roman"/>
                <w:sz w:val="22"/>
                <w:szCs w:val="22"/>
              </w:rPr>
              <w:t>5</w:t>
            </w:r>
            <w:r w:rsidR="00D821D6" w:rsidRPr="005A67AA">
              <w:rPr>
                <w:rFonts w:cs="Times New Roman"/>
                <w:sz w:val="22"/>
                <w:szCs w:val="22"/>
              </w:rPr>
              <w:t xml:space="preserve"> tuvo entrada en </w:t>
            </w:r>
            <w:r w:rsidR="00FD2030">
              <w:rPr>
                <w:rFonts w:cs="Times New Roman"/>
                <w:sz w:val="22"/>
                <w:szCs w:val="22"/>
              </w:rPr>
              <w:t>la Sede Electrónica de la Diputación Foral de Álava</w:t>
            </w:r>
            <w:r>
              <w:rPr>
                <w:rFonts w:cs="Times New Roman"/>
                <w:sz w:val="22"/>
                <w:szCs w:val="22"/>
              </w:rPr>
              <w:t xml:space="preserve"> una</w:t>
            </w:r>
            <w:r w:rsidR="00D821D6" w:rsidRPr="005A67AA">
              <w:rPr>
                <w:rFonts w:cs="Times New Roman"/>
                <w:sz w:val="22"/>
                <w:szCs w:val="22"/>
              </w:rPr>
              <w:t xml:space="preserve"> solicitud de acceso a la información pública </w:t>
            </w:r>
            <w:r w:rsidR="006A1B85">
              <w:rPr>
                <w:rFonts w:cs="Times New Roman"/>
                <w:sz w:val="22"/>
                <w:szCs w:val="22"/>
              </w:rPr>
              <w:t xml:space="preserve">presentada por </w:t>
            </w:r>
            <w:proofErr w:type="spellStart"/>
            <w:r w:rsidR="00FD6167" w:rsidRPr="00FD6167">
              <w:rPr>
                <w:rFonts w:cs="Times New Roman"/>
                <w:sz w:val="22"/>
                <w:szCs w:val="22"/>
                <w:highlight w:val="black"/>
              </w:rPr>
              <w:t>xxxxx</w:t>
            </w:r>
            <w:proofErr w:type="spellEnd"/>
            <w:r w:rsidR="006A1B85">
              <w:rPr>
                <w:rFonts w:cs="Times New Roman"/>
                <w:sz w:val="22"/>
                <w:szCs w:val="22"/>
              </w:rPr>
              <w:t xml:space="preserve"> </w:t>
            </w:r>
            <w:r w:rsidRPr="008916A0">
              <w:rPr>
                <w:rFonts w:cs="Times New Roman"/>
                <w:sz w:val="22"/>
                <w:szCs w:val="22"/>
              </w:rPr>
              <w:t>al amparo de la Norma Foral 1/2017, de 8 de febrero, de transparencia, participación ciudadana y buen gobierno</w:t>
            </w:r>
            <w:r w:rsidR="00550EC9">
              <w:rPr>
                <w:rFonts w:cs="Times New Roman"/>
                <w:sz w:val="22"/>
                <w:szCs w:val="22"/>
              </w:rPr>
              <w:t>.</w:t>
            </w:r>
          </w:p>
          <w:p w14:paraId="602A207D" w14:textId="610857E3" w:rsidR="00A95A0E" w:rsidRDefault="008916A0" w:rsidP="004C4BA2">
            <w:pPr>
              <w:rPr>
                <w:rFonts w:cs="Times New Roman"/>
                <w:sz w:val="22"/>
                <w:szCs w:val="22"/>
              </w:rPr>
            </w:pPr>
            <w:r w:rsidRPr="008916A0">
              <w:rPr>
                <w:rFonts w:cs="Times New Roman"/>
                <w:sz w:val="22"/>
                <w:szCs w:val="22"/>
              </w:rPr>
              <w:t xml:space="preserve">                  </w:t>
            </w:r>
          </w:p>
          <w:p w14:paraId="2DC3B2A9" w14:textId="06F60526" w:rsidR="00195C07" w:rsidRPr="00073E66" w:rsidRDefault="00D81957" w:rsidP="004C4BA2">
            <w:pPr>
              <w:spacing w:before="120"/>
              <w:rPr>
                <w:rFonts w:cs="Times New Roman"/>
                <w:i/>
                <w:iCs/>
                <w:sz w:val="22"/>
                <w:szCs w:val="22"/>
              </w:rPr>
            </w:pPr>
            <w:r w:rsidRPr="00D81957">
              <w:rPr>
                <w:rFonts w:cs="Times New Roman"/>
                <w:sz w:val="22"/>
                <w:szCs w:val="22"/>
              </w:rPr>
              <w:t>La información pública, a la que solicitó acceso consistía en</w:t>
            </w:r>
            <w:r>
              <w:rPr>
                <w:rFonts w:cs="Times New Roman"/>
                <w:sz w:val="22"/>
                <w:szCs w:val="22"/>
              </w:rPr>
              <w:t xml:space="preserve"> </w:t>
            </w:r>
            <w:r w:rsidR="007D1742">
              <w:rPr>
                <w:rFonts w:cs="Times New Roman"/>
                <w:i/>
                <w:iCs/>
                <w:sz w:val="22"/>
                <w:szCs w:val="22"/>
              </w:rPr>
              <w:t>“</w:t>
            </w:r>
            <w:r w:rsidR="00394BDD">
              <w:rPr>
                <w:rFonts w:cs="Times New Roman"/>
                <w:i/>
                <w:iCs/>
                <w:sz w:val="22"/>
                <w:szCs w:val="22"/>
              </w:rPr>
              <w:t>L</w:t>
            </w:r>
            <w:r w:rsidR="00394BDD" w:rsidRPr="00394BDD">
              <w:rPr>
                <w:rFonts w:cs="Times New Roman"/>
                <w:i/>
                <w:iCs/>
                <w:sz w:val="22"/>
                <w:szCs w:val="22"/>
              </w:rPr>
              <w:t>istado de municipios de la provincia de Araba que hayan solicitado compensaciones por perdida de recaudación en materia de impuestos de actividades económicas de sociedades cooperativas y sociedades agrarias de transformación ejercicios 2021 a 2024</w:t>
            </w:r>
            <w:r w:rsidR="00E81C71">
              <w:rPr>
                <w:rFonts w:cs="Times New Roman"/>
                <w:i/>
                <w:iCs/>
                <w:sz w:val="22"/>
                <w:szCs w:val="22"/>
              </w:rPr>
              <w:t>.</w:t>
            </w:r>
            <w:r w:rsidR="00254DC8">
              <w:rPr>
                <w:rFonts w:cs="Times New Roman"/>
                <w:i/>
                <w:iCs/>
                <w:sz w:val="22"/>
                <w:szCs w:val="22"/>
              </w:rPr>
              <w:t>”</w:t>
            </w:r>
          </w:p>
          <w:p w14:paraId="12594FEA" w14:textId="58F9780D" w:rsidR="00F40F7D" w:rsidRDefault="00F40F7D" w:rsidP="004C4BA2">
            <w:pPr>
              <w:spacing w:before="240"/>
              <w:rPr>
                <w:rFonts w:cs="Times New Roman"/>
                <w:sz w:val="22"/>
                <w:szCs w:val="22"/>
              </w:rPr>
            </w:pPr>
            <w:r>
              <w:rPr>
                <w:rFonts w:cs="Times New Roman"/>
                <w:sz w:val="22"/>
                <w:szCs w:val="22"/>
              </w:rPr>
              <w:t>El 25 de junio</w:t>
            </w:r>
            <w:r w:rsidRPr="00F40F7D">
              <w:rPr>
                <w:rFonts w:cs="Times New Roman"/>
                <w:sz w:val="22"/>
                <w:szCs w:val="22"/>
              </w:rPr>
              <w:t xml:space="preserve"> la solicitud tuvo entrada en</w:t>
            </w:r>
            <w:r>
              <w:rPr>
                <w:rFonts w:cs="Times New Roman"/>
                <w:sz w:val="22"/>
                <w:szCs w:val="22"/>
              </w:rPr>
              <w:t xml:space="preserve"> la </w:t>
            </w:r>
            <w:r w:rsidRPr="00E562EB">
              <w:rPr>
                <w:rFonts w:cs="Times New Roman"/>
                <w:sz w:val="22"/>
                <w:szCs w:val="22"/>
              </w:rPr>
              <w:t>Secretaría Técnica de Hacienda, Finanzas y Presupuestos</w:t>
            </w:r>
            <w:r w:rsidRPr="00F40F7D">
              <w:rPr>
                <w:rFonts w:cs="Times New Roman"/>
                <w:sz w:val="22"/>
                <w:szCs w:val="22"/>
              </w:rPr>
              <w:t>, unidad administrativa responsable de su tramitación.</w:t>
            </w:r>
          </w:p>
          <w:p w14:paraId="1D28FC32" w14:textId="079B7B95" w:rsidR="003B1E7F" w:rsidRPr="003C6B2D" w:rsidRDefault="003B1E7F" w:rsidP="004C4BA2">
            <w:pPr>
              <w:spacing w:before="240"/>
              <w:rPr>
                <w:rFonts w:cs="Times New Roman"/>
                <w:sz w:val="22"/>
                <w:szCs w:val="22"/>
              </w:rPr>
            </w:pPr>
            <w:r w:rsidRPr="003B1E7F">
              <w:rPr>
                <w:rFonts w:cs="Times New Roman"/>
                <w:sz w:val="22"/>
                <w:szCs w:val="22"/>
              </w:rPr>
              <w:t>Consultados</w:t>
            </w:r>
            <w:r w:rsidR="00553D69">
              <w:rPr>
                <w:rFonts w:cs="Times New Roman"/>
                <w:sz w:val="22"/>
                <w:szCs w:val="22"/>
              </w:rPr>
              <w:t xml:space="preserve"> a</w:t>
            </w:r>
            <w:r w:rsidRPr="003B1E7F">
              <w:rPr>
                <w:rFonts w:cs="Times New Roman"/>
                <w:sz w:val="22"/>
                <w:szCs w:val="22"/>
              </w:rPr>
              <w:t xml:space="preserve"> los </w:t>
            </w:r>
            <w:r w:rsidR="002F540B">
              <w:rPr>
                <w:rFonts w:cs="Times New Roman"/>
                <w:sz w:val="22"/>
                <w:szCs w:val="22"/>
              </w:rPr>
              <w:t>Departamentos</w:t>
            </w:r>
            <w:r w:rsidRPr="003B1E7F">
              <w:rPr>
                <w:rFonts w:cs="Times New Roman"/>
                <w:sz w:val="22"/>
                <w:szCs w:val="22"/>
              </w:rPr>
              <w:t xml:space="preserve"> susceptibles de gestionar el asunto por el que el interesado</w:t>
            </w:r>
            <w:r w:rsidR="00F6102E">
              <w:rPr>
                <w:rFonts w:cs="Times New Roman"/>
                <w:sz w:val="22"/>
                <w:szCs w:val="22"/>
              </w:rPr>
              <w:t xml:space="preserve"> solicita la información, </w:t>
            </w:r>
            <w:r w:rsidRPr="003B1E7F">
              <w:rPr>
                <w:rFonts w:cs="Times New Roman"/>
                <w:sz w:val="22"/>
                <w:szCs w:val="22"/>
              </w:rPr>
              <w:t xml:space="preserve">no consta información </w:t>
            </w:r>
            <w:r w:rsidR="00F6102E">
              <w:rPr>
                <w:rFonts w:cs="Times New Roman"/>
                <w:sz w:val="22"/>
                <w:szCs w:val="22"/>
              </w:rPr>
              <w:t xml:space="preserve">en la Diputación Foral de Álava </w:t>
            </w:r>
            <w:r w:rsidRPr="003B1E7F">
              <w:rPr>
                <w:rFonts w:cs="Times New Roman"/>
                <w:sz w:val="22"/>
                <w:szCs w:val="22"/>
              </w:rPr>
              <w:t xml:space="preserve">sobre </w:t>
            </w:r>
            <w:r w:rsidR="00F6102E" w:rsidRPr="003C6B2D">
              <w:rPr>
                <w:rFonts w:cs="Times New Roman"/>
                <w:sz w:val="22"/>
                <w:szCs w:val="22"/>
              </w:rPr>
              <w:t>municipios de la provincia de Araba que hayan solicitado compensaciones por perdida de recaudación en materia de impuestos de actividades económicas de sociedades cooperativas y sociedades agrarias de transformación ejercicios 2021 a 2024.</w:t>
            </w:r>
          </w:p>
          <w:p w14:paraId="2C46310D" w14:textId="77777777" w:rsidR="00E43F96" w:rsidRDefault="00E43F96" w:rsidP="004C4BA2">
            <w:pPr>
              <w:spacing w:before="120"/>
              <w:rPr>
                <w:rFonts w:cs="Times New Roman"/>
                <w:color w:val="0070C0"/>
                <w:sz w:val="22"/>
                <w:szCs w:val="22"/>
              </w:rPr>
            </w:pPr>
          </w:p>
          <w:p w14:paraId="776ED204" w14:textId="02026C58" w:rsidR="00453302" w:rsidRPr="00E43F96" w:rsidRDefault="00E43F96" w:rsidP="004C4BA2">
            <w:pPr>
              <w:rPr>
                <w:rFonts w:cs="Times New Roman"/>
                <w:sz w:val="22"/>
                <w:szCs w:val="22"/>
              </w:rPr>
            </w:pPr>
            <w:r w:rsidRPr="00E43F96">
              <w:rPr>
                <w:rFonts w:cs="Times New Roman"/>
                <w:sz w:val="22"/>
                <w:szCs w:val="22"/>
              </w:rPr>
              <w:t>Supuesto este previsto como de inadmisión en el</w:t>
            </w:r>
            <w:r w:rsidR="00F6102E" w:rsidRPr="00E43F96">
              <w:rPr>
                <w:rFonts w:cs="Times New Roman"/>
                <w:sz w:val="22"/>
                <w:szCs w:val="22"/>
              </w:rPr>
              <w:t xml:space="preserve"> </w:t>
            </w:r>
            <w:r w:rsidR="00F6102E" w:rsidRPr="00F721B3">
              <w:rPr>
                <w:rFonts w:cs="Times New Roman"/>
                <w:sz w:val="22"/>
                <w:szCs w:val="22"/>
              </w:rPr>
              <w:t>artículo 1</w:t>
            </w:r>
            <w:r w:rsidRPr="00F721B3">
              <w:rPr>
                <w:rFonts w:cs="Times New Roman"/>
                <w:sz w:val="22"/>
                <w:szCs w:val="22"/>
              </w:rPr>
              <w:t>8</w:t>
            </w:r>
            <w:r w:rsidR="00F6102E" w:rsidRPr="00F721B3">
              <w:rPr>
                <w:rFonts w:cs="Times New Roman"/>
                <w:sz w:val="22"/>
                <w:szCs w:val="22"/>
              </w:rPr>
              <w:t xml:space="preserve"> de la Le</w:t>
            </w:r>
            <w:r w:rsidR="00F6102E" w:rsidRPr="00E43F96">
              <w:rPr>
                <w:rFonts w:cs="Times New Roman"/>
                <w:sz w:val="22"/>
                <w:szCs w:val="22"/>
              </w:rPr>
              <w:t xml:space="preserve">y 19/2013, de 9 de diciembre, </w:t>
            </w:r>
            <w:r w:rsidR="00F6102E" w:rsidRPr="00E43F96">
              <w:rPr>
                <w:rFonts w:cs="Times New Roman"/>
                <w:sz w:val="22"/>
                <w:szCs w:val="22"/>
              </w:rPr>
              <w:lastRenderedPageBreak/>
              <w:t>de transparencia, acceso a la información pública y buen gobierno</w:t>
            </w:r>
            <w:r w:rsidRPr="00E43F96">
              <w:rPr>
                <w:rFonts w:cs="Times New Roman"/>
                <w:sz w:val="22"/>
                <w:szCs w:val="22"/>
              </w:rPr>
              <w:t>.</w:t>
            </w:r>
          </w:p>
          <w:p w14:paraId="6252E930" w14:textId="77777777" w:rsidR="00F6102E" w:rsidRDefault="00F6102E" w:rsidP="004C4BA2">
            <w:pPr>
              <w:spacing w:before="120"/>
              <w:rPr>
                <w:rFonts w:cs="Times New Roman"/>
                <w:sz w:val="22"/>
                <w:szCs w:val="22"/>
              </w:rPr>
            </w:pPr>
          </w:p>
          <w:p w14:paraId="47216C1D" w14:textId="77777777" w:rsidR="00871EA8" w:rsidRPr="00F229AA" w:rsidRDefault="00871EA8" w:rsidP="004C4BA2">
            <w:pPr>
              <w:rPr>
                <w:sz w:val="22"/>
                <w:szCs w:val="22"/>
              </w:rPr>
            </w:pPr>
            <w:r w:rsidRPr="00BF1FB1">
              <w:rPr>
                <w:sz w:val="22"/>
                <w:szCs w:val="22"/>
              </w:rPr>
              <w:t>En su virtud, haciendo uso de las competencias que me han sido otorgadas por la Orden Foral 1</w:t>
            </w:r>
            <w:r>
              <w:rPr>
                <w:sz w:val="22"/>
                <w:szCs w:val="22"/>
              </w:rPr>
              <w:t>15</w:t>
            </w:r>
            <w:r w:rsidRPr="00BF1FB1">
              <w:rPr>
                <w:sz w:val="22"/>
                <w:szCs w:val="22"/>
              </w:rPr>
              <w:t xml:space="preserve">/2020, de </w:t>
            </w:r>
            <w:r>
              <w:rPr>
                <w:sz w:val="22"/>
                <w:szCs w:val="22"/>
              </w:rPr>
              <w:t>6</w:t>
            </w:r>
            <w:r w:rsidRPr="00BF1FB1">
              <w:rPr>
                <w:sz w:val="22"/>
                <w:szCs w:val="22"/>
              </w:rPr>
              <w:t xml:space="preserve"> de marzo por la que se delega en la persona titular de la Dirección de </w:t>
            </w:r>
            <w:r>
              <w:rPr>
                <w:sz w:val="22"/>
                <w:szCs w:val="22"/>
              </w:rPr>
              <w:t>Finanzas y Presupuestos</w:t>
            </w:r>
            <w:r w:rsidRPr="00BF1FB1">
              <w:rPr>
                <w:sz w:val="22"/>
                <w:szCs w:val="22"/>
              </w:rPr>
              <w:t xml:space="preserve"> la competencia para resolver las solicitudes en materia de acceso a la información pública que se tramiten en dicha dirección, </w:t>
            </w:r>
          </w:p>
          <w:p w14:paraId="3D56D475" w14:textId="77777777" w:rsidR="00871EA8" w:rsidRDefault="00871EA8" w:rsidP="004C4BA2">
            <w:pPr>
              <w:rPr>
                <w:sz w:val="22"/>
                <w:szCs w:val="22"/>
              </w:rPr>
            </w:pPr>
          </w:p>
          <w:p w14:paraId="789A08B1" w14:textId="77777777" w:rsidR="00A95A0E" w:rsidRDefault="00A95A0E" w:rsidP="004C4BA2">
            <w:pPr>
              <w:pStyle w:val="Default"/>
              <w:rPr>
                <w:rFonts w:eastAsia="Calibri"/>
                <w:b/>
                <w:color w:val="auto"/>
                <w:sz w:val="22"/>
                <w:szCs w:val="22"/>
                <w:lang w:eastAsia="en-US"/>
              </w:rPr>
            </w:pPr>
          </w:p>
          <w:p w14:paraId="39DF9DE9" w14:textId="77259A36" w:rsidR="00841D3F" w:rsidRPr="00BF1FB1" w:rsidRDefault="00344C25" w:rsidP="004C4BA2">
            <w:pPr>
              <w:pStyle w:val="Default"/>
              <w:jc w:val="center"/>
              <w:rPr>
                <w:rFonts w:eastAsia="Calibri"/>
                <w:b/>
                <w:color w:val="auto"/>
                <w:sz w:val="22"/>
                <w:szCs w:val="22"/>
                <w:lang w:eastAsia="en-US"/>
              </w:rPr>
            </w:pPr>
            <w:r w:rsidRPr="00BF1FB1">
              <w:rPr>
                <w:rFonts w:eastAsia="Calibri"/>
                <w:b/>
                <w:color w:val="auto"/>
                <w:sz w:val="22"/>
                <w:szCs w:val="22"/>
                <w:lang w:eastAsia="en-US"/>
              </w:rPr>
              <w:t>RESUELVO</w:t>
            </w:r>
          </w:p>
          <w:p w14:paraId="616388BD" w14:textId="38698477" w:rsidR="0079190C" w:rsidRPr="00694027" w:rsidRDefault="00841D3F" w:rsidP="004C4BA2">
            <w:pPr>
              <w:spacing w:before="240"/>
              <w:rPr>
                <w:rFonts w:cs="Times New Roman"/>
                <w:sz w:val="22"/>
                <w:szCs w:val="22"/>
              </w:rPr>
            </w:pPr>
            <w:r w:rsidRPr="009E24B7">
              <w:rPr>
                <w:rFonts w:eastAsia="Calibri"/>
                <w:b/>
                <w:sz w:val="22"/>
                <w:szCs w:val="22"/>
                <w:lang w:val="es-ES" w:eastAsia="en-US"/>
              </w:rPr>
              <w:t>PRIMERO</w:t>
            </w:r>
            <w:r w:rsidRPr="009E24B7">
              <w:rPr>
                <w:rFonts w:eastAsia="Calibri"/>
                <w:sz w:val="22"/>
                <w:szCs w:val="22"/>
                <w:lang w:val="es-ES" w:eastAsia="en-US"/>
              </w:rPr>
              <w:t>.</w:t>
            </w:r>
            <w:r w:rsidR="001B1581" w:rsidRPr="009E24B7">
              <w:t xml:space="preserve"> </w:t>
            </w:r>
            <w:r w:rsidR="00694027">
              <w:rPr>
                <w:sz w:val="22"/>
                <w:szCs w:val="22"/>
              </w:rPr>
              <w:t>Inadmitir</w:t>
            </w:r>
            <w:r w:rsidR="009E24B7" w:rsidRPr="009E24B7">
              <w:rPr>
                <w:sz w:val="22"/>
                <w:szCs w:val="22"/>
              </w:rPr>
              <w:t xml:space="preserve"> la solicitud de acceso a la información presentada por </w:t>
            </w:r>
            <w:proofErr w:type="spellStart"/>
            <w:r w:rsidR="00FD6167" w:rsidRPr="00FD6167">
              <w:rPr>
                <w:sz w:val="22"/>
                <w:szCs w:val="22"/>
                <w:highlight w:val="black"/>
              </w:rPr>
              <w:t>xxxxx</w:t>
            </w:r>
            <w:proofErr w:type="spellEnd"/>
            <w:r w:rsidR="008475EB" w:rsidRPr="008548E6">
              <w:rPr>
                <w:sz w:val="22"/>
                <w:szCs w:val="22"/>
              </w:rPr>
              <w:t xml:space="preserve"> </w:t>
            </w:r>
            <w:r w:rsidR="003A1D70" w:rsidRPr="008548E6">
              <w:rPr>
                <w:sz w:val="22"/>
                <w:szCs w:val="22"/>
              </w:rPr>
              <w:t>de</w:t>
            </w:r>
            <w:r w:rsidR="008475EB" w:rsidRPr="008548E6">
              <w:rPr>
                <w:sz w:val="22"/>
                <w:szCs w:val="22"/>
              </w:rPr>
              <w:t xml:space="preserve"> </w:t>
            </w:r>
            <w:r w:rsidR="00751C3B">
              <w:rPr>
                <w:sz w:val="22"/>
                <w:szCs w:val="22"/>
              </w:rPr>
              <w:t>25</w:t>
            </w:r>
            <w:r w:rsidR="008475EB" w:rsidRPr="008548E6">
              <w:rPr>
                <w:sz w:val="22"/>
                <w:szCs w:val="22"/>
              </w:rPr>
              <w:t xml:space="preserve"> de </w:t>
            </w:r>
            <w:r w:rsidR="00751C3B">
              <w:rPr>
                <w:sz w:val="22"/>
                <w:szCs w:val="22"/>
              </w:rPr>
              <w:t>junio</w:t>
            </w:r>
            <w:r w:rsidR="008475EB" w:rsidRPr="008548E6">
              <w:rPr>
                <w:sz w:val="22"/>
                <w:szCs w:val="22"/>
              </w:rPr>
              <w:t xml:space="preserve"> de 202</w:t>
            </w:r>
            <w:r w:rsidR="001F3207" w:rsidRPr="008548E6">
              <w:rPr>
                <w:sz w:val="22"/>
                <w:szCs w:val="22"/>
              </w:rPr>
              <w:t>5,</w:t>
            </w:r>
            <w:r w:rsidR="00694027">
              <w:t xml:space="preserve"> </w:t>
            </w:r>
            <w:r w:rsidR="00694027" w:rsidRPr="00694027">
              <w:rPr>
                <w:rFonts w:cs="Times New Roman"/>
                <w:sz w:val="22"/>
                <w:szCs w:val="22"/>
              </w:rPr>
              <w:t xml:space="preserve">en virtud </w:t>
            </w:r>
            <w:r w:rsidR="00C6441F">
              <w:rPr>
                <w:rFonts w:cs="Times New Roman"/>
                <w:sz w:val="22"/>
                <w:szCs w:val="22"/>
              </w:rPr>
              <w:t xml:space="preserve">de </w:t>
            </w:r>
            <w:r w:rsidR="00694027" w:rsidRPr="00694027">
              <w:rPr>
                <w:rFonts w:cs="Times New Roman"/>
                <w:sz w:val="22"/>
                <w:szCs w:val="22"/>
              </w:rPr>
              <w:t>lo señalado en la presente resolución.</w:t>
            </w:r>
          </w:p>
          <w:p w14:paraId="6BF04631" w14:textId="046DCEEF" w:rsidR="00841D3F" w:rsidRPr="00841D3F" w:rsidRDefault="001F3207" w:rsidP="004C4BA2">
            <w:pPr>
              <w:pStyle w:val="Normal0"/>
              <w:spacing w:before="240" w:after="240"/>
              <w:ind w:right="-1"/>
              <w:rPr>
                <w:sz w:val="22"/>
                <w:highlight w:val="yellow"/>
                <w:lang w:val="es-ES"/>
              </w:rPr>
            </w:pPr>
            <w:r>
              <w:rPr>
                <w:rFonts w:eastAsia="Arial"/>
                <w:b/>
                <w:sz w:val="22"/>
                <w:szCs w:val="22"/>
                <w:lang w:val="es-ES" w:eastAsia="en-US"/>
              </w:rPr>
              <w:t>SEGUNDO</w:t>
            </w:r>
            <w:r w:rsidR="005A67AA">
              <w:rPr>
                <w:rFonts w:eastAsia="Arial"/>
                <w:sz w:val="22"/>
                <w:szCs w:val="22"/>
                <w:lang w:val="es-ES" w:eastAsia="en-US"/>
              </w:rPr>
              <w:t xml:space="preserve">. </w:t>
            </w:r>
            <w:r w:rsidR="00957D07">
              <w:rPr>
                <w:rFonts w:eastAsia="Arial"/>
                <w:sz w:val="22"/>
                <w:szCs w:val="22"/>
                <w:lang w:val="es-ES" w:eastAsia="en-US"/>
              </w:rPr>
              <w:t xml:space="preserve">Contra la presente resolución, que pone fin a la vía administrativa, podrá interponer recurso </w:t>
            </w:r>
            <w:r w:rsidR="00304CE8">
              <w:rPr>
                <w:rFonts w:eastAsia="Arial"/>
                <w:sz w:val="22"/>
                <w:szCs w:val="22"/>
                <w:lang w:val="es-ES" w:eastAsia="en-US"/>
              </w:rPr>
              <w:t>c</w:t>
            </w:r>
            <w:r w:rsidR="00957D07">
              <w:rPr>
                <w:rFonts w:eastAsia="Arial"/>
                <w:sz w:val="22"/>
                <w:szCs w:val="22"/>
                <w:lang w:val="es-ES" w:eastAsia="en-US"/>
              </w:rPr>
              <w:t>ontencioso-</w:t>
            </w:r>
            <w:r w:rsidR="00304CE8">
              <w:rPr>
                <w:rFonts w:eastAsia="Arial"/>
                <w:sz w:val="22"/>
                <w:szCs w:val="22"/>
                <w:lang w:val="es-ES" w:eastAsia="en-US"/>
              </w:rPr>
              <w:t>a</w:t>
            </w:r>
            <w:r w:rsidR="00957D07">
              <w:rPr>
                <w:rFonts w:eastAsia="Arial"/>
                <w:sz w:val="22"/>
                <w:szCs w:val="22"/>
                <w:lang w:val="es-ES" w:eastAsia="en-US"/>
              </w:rPr>
              <w:t xml:space="preserve">dministrativo ante los </w:t>
            </w:r>
            <w:r w:rsidR="00304CE8">
              <w:rPr>
                <w:rFonts w:eastAsia="Arial"/>
                <w:sz w:val="22"/>
                <w:szCs w:val="22"/>
                <w:lang w:val="es-ES" w:eastAsia="en-US"/>
              </w:rPr>
              <w:t>j</w:t>
            </w:r>
            <w:r w:rsidR="00957D07">
              <w:rPr>
                <w:rFonts w:eastAsia="Arial"/>
                <w:sz w:val="22"/>
                <w:szCs w:val="22"/>
                <w:lang w:val="es-ES" w:eastAsia="en-US"/>
              </w:rPr>
              <w:t xml:space="preserve">uzgados de lo </w:t>
            </w:r>
            <w:r w:rsidR="00304CE8">
              <w:rPr>
                <w:rFonts w:eastAsia="Arial"/>
                <w:sz w:val="22"/>
                <w:szCs w:val="22"/>
                <w:lang w:val="es-ES" w:eastAsia="en-US"/>
              </w:rPr>
              <w:t>c</w:t>
            </w:r>
            <w:r w:rsidR="00957D07">
              <w:rPr>
                <w:rFonts w:eastAsia="Arial"/>
                <w:sz w:val="22"/>
                <w:szCs w:val="22"/>
                <w:lang w:val="es-ES" w:eastAsia="en-US"/>
              </w:rPr>
              <w:t>ontencioso-</w:t>
            </w:r>
            <w:r w:rsidR="00304CE8">
              <w:rPr>
                <w:rFonts w:eastAsia="Arial"/>
                <w:sz w:val="22"/>
                <w:szCs w:val="22"/>
                <w:lang w:val="es-ES" w:eastAsia="en-US"/>
              </w:rPr>
              <w:t>a</w:t>
            </w:r>
            <w:r w:rsidR="00957D07">
              <w:rPr>
                <w:rFonts w:eastAsia="Arial"/>
                <w:sz w:val="22"/>
                <w:szCs w:val="22"/>
                <w:lang w:val="es-ES" w:eastAsia="en-US"/>
              </w:rPr>
              <w:t xml:space="preserve">dministrativo de Vitoria-Gasteiz en el plazo de dos meses o, previa y potestativamente, reclamación ante el Consejo </w:t>
            </w:r>
            <w:r w:rsidR="00CB6FE4">
              <w:rPr>
                <w:rFonts w:eastAsia="Arial"/>
                <w:sz w:val="22"/>
                <w:szCs w:val="22"/>
                <w:lang w:val="es-ES" w:eastAsia="en-US"/>
              </w:rPr>
              <w:t>F</w:t>
            </w:r>
            <w:r w:rsidR="00957D07">
              <w:rPr>
                <w:rFonts w:eastAsia="Arial"/>
                <w:sz w:val="22"/>
                <w:szCs w:val="22"/>
                <w:lang w:val="es-ES" w:eastAsia="en-US"/>
              </w:rPr>
              <w:t>oral de Transparencia y Buen Gobierno en el plazo de un mes; en ambos casos, el plazo se contará desde el día siguiente al de la notificación de la presente resolución.</w:t>
            </w:r>
          </w:p>
        </w:tc>
      </w:tr>
      <w:tr w:rsidR="00AD6A23" w14:paraId="18BC1B51" w14:textId="77777777" w:rsidTr="000002AA">
        <w:tc>
          <w:tcPr>
            <w:tcW w:w="4394" w:type="dxa"/>
            <w:gridSpan w:val="2"/>
          </w:tcPr>
          <w:p w14:paraId="26FD0F7E" w14:textId="77777777" w:rsidR="00AD6A23" w:rsidRDefault="0064133B" w:rsidP="004D6998">
            <w:pPr>
              <w:spacing w:after="240"/>
              <w:jc w:val="both"/>
              <w:rPr>
                <w:sz w:val="22"/>
              </w:rPr>
            </w:pPr>
            <w:r>
              <w:rPr>
                <w:sz w:val="22"/>
              </w:rPr>
              <w:lastRenderedPageBreak/>
              <w:t>Vitoria-Gasteiz,</w:t>
            </w:r>
          </w:p>
          <w:p w14:paraId="522F590C" w14:textId="61A876DB" w:rsidR="00B3082F" w:rsidRDefault="00B3082F" w:rsidP="004D6998">
            <w:pPr>
              <w:spacing w:after="240"/>
              <w:jc w:val="both"/>
              <w:rPr>
                <w:b/>
                <w:sz w:val="22"/>
              </w:rPr>
            </w:pPr>
          </w:p>
        </w:tc>
        <w:tc>
          <w:tcPr>
            <w:tcW w:w="568" w:type="dxa"/>
            <w:gridSpan w:val="2"/>
          </w:tcPr>
          <w:p w14:paraId="7D77F2CE" w14:textId="77777777" w:rsidR="00AD6A23" w:rsidRDefault="00AD6A23" w:rsidP="004D6998">
            <w:pPr>
              <w:spacing w:after="240"/>
              <w:jc w:val="both"/>
              <w:rPr>
                <w:b/>
                <w:sz w:val="22"/>
              </w:rPr>
            </w:pPr>
          </w:p>
        </w:tc>
        <w:tc>
          <w:tcPr>
            <w:tcW w:w="4393" w:type="dxa"/>
            <w:gridSpan w:val="2"/>
          </w:tcPr>
          <w:p w14:paraId="7DAAB3AE" w14:textId="77777777" w:rsidR="00AD6A23" w:rsidRDefault="00AD6A23" w:rsidP="004D6998">
            <w:pPr>
              <w:spacing w:after="240"/>
              <w:jc w:val="both"/>
              <w:rPr>
                <w:b/>
                <w:sz w:val="22"/>
              </w:rPr>
            </w:pPr>
          </w:p>
        </w:tc>
      </w:tr>
      <w:tr w:rsidR="00AD6A23" w14:paraId="062FE42F" w14:textId="77777777" w:rsidTr="000002AA">
        <w:tc>
          <w:tcPr>
            <w:tcW w:w="4394" w:type="dxa"/>
            <w:gridSpan w:val="2"/>
          </w:tcPr>
          <w:tbl>
            <w:tblPr>
              <w:tblW w:w="0" w:type="auto"/>
              <w:tblLayout w:type="fixed"/>
              <w:tblCellMar>
                <w:left w:w="0" w:type="dxa"/>
                <w:right w:w="0" w:type="dxa"/>
              </w:tblCellMar>
              <w:tblLook w:val="04A0" w:firstRow="1" w:lastRow="0" w:firstColumn="1" w:lastColumn="0" w:noHBand="0" w:noVBand="1"/>
            </w:tblPr>
            <w:tblGrid>
              <w:gridCol w:w="4394"/>
              <w:gridCol w:w="568"/>
            </w:tblGrid>
            <w:tr w:rsidR="002350D6" w14:paraId="491C9753" w14:textId="77777777" w:rsidTr="002350D6">
              <w:tc>
                <w:tcPr>
                  <w:tcW w:w="4394" w:type="dxa"/>
                  <w:hideMark/>
                </w:tcPr>
                <w:tbl>
                  <w:tblPr>
                    <w:tblW w:w="0" w:type="auto"/>
                    <w:tblLayout w:type="fixed"/>
                    <w:tblCellMar>
                      <w:left w:w="0" w:type="dxa"/>
                      <w:right w:w="0" w:type="dxa"/>
                    </w:tblCellMar>
                    <w:tblLook w:val="04A0" w:firstRow="1" w:lastRow="0" w:firstColumn="1" w:lastColumn="0" w:noHBand="0" w:noVBand="1"/>
                  </w:tblPr>
                  <w:tblGrid>
                    <w:gridCol w:w="4394"/>
                  </w:tblGrid>
                  <w:tr w:rsidR="002350D6" w14:paraId="445EA5F0" w14:textId="77777777">
                    <w:tc>
                      <w:tcPr>
                        <w:tcW w:w="4394" w:type="dxa"/>
                        <w:hideMark/>
                      </w:tcPr>
                      <w:p w14:paraId="305E3B63" w14:textId="1B3F3127" w:rsidR="002350D6" w:rsidRDefault="00996599" w:rsidP="004D6998">
                        <w:pPr>
                          <w:autoSpaceDE w:val="0"/>
                          <w:autoSpaceDN w:val="0"/>
                          <w:adjustRightInd w:val="0"/>
                          <w:spacing w:before="720"/>
                          <w:jc w:val="both"/>
                          <w:rPr>
                            <w:rFonts w:cs="Times New Roman"/>
                            <w:b/>
                            <w:bCs/>
                            <w:sz w:val="22"/>
                            <w:szCs w:val="22"/>
                            <w:lang w:val="es-ES" w:bidi="ar-SA"/>
                          </w:rPr>
                        </w:pPr>
                        <w:r w:rsidRPr="00996599">
                          <w:rPr>
                            <w:rFonts w:cs="Times New Roman"/>
                            <w:b/>
                            <w:bCs/>
                            <w:sz w:val="22"/>
                            <w:szCs w:val="22"/>
                            <w:lang w:val="es-ES" w:bidi="ar-SA"/>
                          </w:rPr>
                          <w:t>Iñaki Arrizabalaga Ormaechea</w:t>
                        </w:r>
                      </w:p>
                      <w:p w14:paraId="36378BA0" w14:textId="77777777" w:rsidR="00996599" w:rsidRPr="00996599" w:rsidRDefault="00996599" w:rsidP="004D6998">
                        <w:pPr>
                          <w:autoSpaceDE w:val="0"/>
                          <w:autoSpaceDN w:val="0"/>
                          <w:adjustRightInd w:val="0"/>
                          <w:jc w:val="both"/>
                          <w:rPr>
                            <w:rFonts w:cs="Times New Roman"/>
                            <w:sz w:val="22"/>
                            <w:szCs w:val="22"/>
                            <w:lang w:val="es-ES" w:bidi="ar-SA"/>
                          </w:rPr>
                        </w:pPr>
                        <w:r w:rsidRPr="00996599">
                          <w:rPr>
                            <w:rFonts w:cs="Times New Roman"/>
                            <w:sz w:val="22"/>
                            <w:szCs w:val="22"/>
                            <w:lang w:val="es-ES" w:bidi="ar-SA"/>
                          </w:rPr>
                          <w:t>Finantza eta Aurrekontu zuzendaria</w:t>
                        </w:r>
                      </w:p>
                      <w:p w14:paraId="26E54396" w14:textId="0BF45870" w:rsidR="002350D6" w:rsidRDefault="00996599" w:rsidP="004D6998">
                        <w:pPr>
                          <w:widowControl w:val="0"/>
                          <w:spacing w:after="120"/>
                          <w:jc w:val="both"/>
                          <w:rPr>
                            <w:rFonts w:cs="Times New Roman"/>
                            <w:sz w:val="22"/>
                          </w:rPr>
                        </w:pPr>
                        <w:r w:rsidRPr="00996599">
                          <w:rPr>
                            <w:rFonts w:cs="Times New Roman"/>
                            <w:sz w:val="22"/>
                            <w:szCs w:val="22"/>
                            <w:lang w:val="es-ES" w:bidi="ar-SA"/>
                          </w:rPr>
                          <w:t>Director de Finanzas y Presupuestos</w:t>
                        </w:r>
                      </w:p>
                    </w:tc>
                  </w:tr>
                  <w:tr w:rsidR="002350D6" w14:paraId="62440B7C" w14:textId="77777777">
                    <w:tc>
                      <w:tcPr>
                        <w:tcW w:w="4394" w:type="dxa"/>
                        <w:hideMark/>
                      </w:tcPr>
                      <w:p w14:paraId="7E10B6DC" w14:textId="05AA534C" w:rsidR="002350D6" w:rsidRDefault="002350D6" w:rsidP="004D6998">
                        <w:pPr>
                          <w:spacing w:before="120"/>
                          <w:jc w:val="both"/>
                          <w:rPr>
                            <w:rFonts w:cs="Times New Roman"/>
                            <w:sz w:val="22"/>
                          </w:rPr>
                        </w:pPr>
                      </w:p>
                    </w:tc>
                  </w:tr>
                </w:tbl>
                <w:p w14:paraId="67796DBC" w14:textId="77777777" w:rsidR="002350D6" w:rsidRDefault="002350D6" w:rsidP="004D6998">
                  <w:pPr>
                    <w:spacing w:after="240"/>
                    <w:jc w:val="both"/>
                    <w:rPr>
                      <w:b/>
                      <w:sz w:val="22"/>
                    </w:rPr>
                  </w:pPr>
                </w:p>
              </w:tc>
              <w:tc>
                <w:tcPr>
                  <w:tcW w:w="568" w:type="dxa"/>
                </w:tcPr>
                <w:p w14:paraId="3873AF65" w14:textId="77777777" w:rsidR="002350D6" w:rsidRDefault="002350D6" w:rsidP="004D6998">
                  <w:pPr>
                    <w:spacing w:after="240"/>
                    <w:jc w:val="both"/>
                    <w:rPr>
                      <w:b/>
                      <w:sz w:val="22"/>
                    </w:rPr>
                  </w:pPr>
                </w:p>
              </w:tc>
            </w:tr>
          </w:tbl>
          <w:p w14:paraId="5E4BAB48" w14:textId="77777777" w:rsidR="00AD6A23" w:rsidRDefault="00AD6A23" w:rsidP="004D6998">
            <w:pPr>
              <w:spacing w:after="120"/>
              <w:jc w:val="both"/>
              <w:rPr>
                <w:rFonts w:ascii="Arial" w:hAnsi="Arial"/>
              </w:rPr>
            </w:pPr>
          </w:p>
        </w:tc>
        <w:tc>
          <w:tcPr>
            <w:tcW w:w="568" w:type="dxa"/>
            <w:gridSpan w:val="2"/>
          </w:tcPr>
          <w:p w14:paraId="17F6DE59" w14:textId="77777777" w:rsidR="00AD6A23" w:rsidRDefault="00AD6A23" w:rsidP="004D6998">
            <w:pPr>
              <w:spacing w:after="120"/>
              <w:jc w:val="both"/>
              <w:rPr>
                <w:sz w:val="22"/>
              </w:rPr>
            </w:pPr>
          </w:p>
        </w:tc>
        <w:tc>
          <w:tcPr>
            <w:tcW w:w="4393" w:type="dxa"/>
            <w:gridSpan w:val="2"/>
          </w:tcPr>
          <w:p w14:paraId="74BCB31A" w14:textId="77777777" w:rsidR="00AD6A23" w:rsidRDefault="00AD6A23" w:rsidP="004D6998">
            <w:pPr>
              <w:spacing w:after="120"/>
              <w:jc w:val="both"/>
              <w:rPr>
                <w:sz w:val="22"/>
              </w:rPr>
            </w:pPr>
          </w:p>
        </w:tc>
      </w:tr>
    </w:tbl>
    <w:p w14:paraId="18877C11" w14:textId="77777777" w:rsidR="00AD6A23" w:rsidRDefault="00AD6A23" w:rsidP="004D6998">
      <w:pPr>
        <w:tabs>
          <w:tab w:val="right" w:pos="8789"/>
        </w:tabs>
        <w:spacing w:after="480"/>
        <w:jc w:val="both"/>
        <w:rPr>
          <w:sz w:val="22"/>
        </w:rPr>
      </w:pPr>
    </w:p>
    <w:sectPr w:rsidR="00AD6A23" w:rsidSect="00A95A0E">
      <w:headerReference w:type="default" r:id="rId7"/>
      <w:footerReference w:type="default" r:id="rId8"/>
      <w:headerReference w:type="first" r:id="rId9"/>
      <w:footerReference w:type="first" r:id="rId10"/>
      <w:pgSz w:w="11907" w:h="16840" w:code="9"/>
      <w:pgMar w:top="2269" w:right="851" w:bottom="1418" w:left="1701" w:header="851" w:footer="567" w:gutter="0"/>
      <w:cols w:space="720" w:equalWidth="0">
        <w:col w:w="9355"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E151" w14:textId="77777777" w:rsidR="00423D9E" w:rsidRDefault="00423D9E">
      <w:r>
        <w:separator/>
      </w:r>
    </w:p>
  </w:endnote>
  <w:endnote w:type="continuationSeparator" w:id="0">
    <w:p w14:paraId="7C32B9AD" w14:textId="77777777" w:rsidR="00423D9E" w:rsidRDefault="0042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F971" w14:textId="77777777" w:rsidR="00AD6A23" w:rsidRDefault="00AD6A23">
    <w:pPr>
      <w:pStyle w:val="Piedepgina"/>
      <w:tabs>
        <w:tab w:val="clear" w:pos="4252"/>
        <w:tab w:val="clear" w:pos="8504"/>
        <w:tab w:val="right" w:pos="9356"/>
      </w:tabs>
      <w:jc w:val="right"/>
    </w:pPr>
    <w:r>
      <w:rPr>
        <w:rStyle w:val="Nmerodepgina"/>
      </w:rPr>
      <w:fldChar w:fldCharType="begin"/>
    </w:r>
    <w:r>
      <w:rPr>
        <w:rStyle w:val="Nmerodepgina"/>
      </w:rPr>
      <w:instrText xml:space="preserve"> PAGE </w:instrText>
    </w:r>
    <w:r>
      <w:rPr>
        <w:rStyle w:val="Nmerodepgina"/>
      </w:rPr>
      <w:fldChar w:fldCharType="separate"/>
    </w:r>
    <w:r w:rsidR="00130F3D">
      <w:rPr>
        <w:rStyle w:val="Nmerodepgina"/>
        <w:noProof/>
      </w:rPr>
      <w:t>2</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130F3D">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B0EA" w14:textId="77777777" w:rsidR="00AD6A23" w:rsidRDefault="00AD6A23">
    <w:pPr>
      <w:pStyle w:val="Piedepgina"/>
      <w:tabs>
        <w:tab w:val="clear" w:pos="4252"/>
        <w:tab w:val="clear" w:pos="8504"/>
        <w:tab w:val="right" w:pos="9356"/>
      </w:tabs>
      <w:rPr>
        <w:sz w:val="16"/>
      </w:rPr>
    </w:pPr>
    <w:r>
      <w:rPr>
        <w:sz w:val="16"/>
      </w:rPr>
      <w:tab/>
    </w:r>
    <w:r>
      <w:rPr>
        <w:rStyle w:val="Nmerodepgina"/>
      </w:rPr>
      <w:fldChar w:fldCharType="begin"/>
    </w:r>
    <w:r>
      <w:rPr>
        <w:rStyle w:val="Nmerodepgina"/>
      </w:rPr>
      <w:instrText xml:space="preserve"> PAGE </w:instrText>
    </w:r>
    <w:r>
      <w:rPr>
        <w:rStyle w:val="Nmerodepgina"/>
      </w:rPr>
      <w:fldChar w:fldCharType="separate"/>
    </w:r>
    <w:r w:rsidR="00130F3D">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130F3D">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55C5" w14:textId="77777777" w:rsidR="00423D9E" w:rsidRDefault="00423D9E">
      <w:r>
        <w:separator/>
      </w:r>
    </w:p>
  </w:footnote>
  <w:footnote w:type="continuationSeparator" w:id="0">
    <w:p w14:paraId="460C153C" w14:textId="77777777" w:rsidR="00423D9E" w:rsidRDefault="0042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AD6A23" w14:paraId="48067B7B" w14:textId="77777777">
      <w:trPr>
        <w:cantSplit/>
        <w:trHeight w:val="338"/>
      </w:trPr>
      <w:tc>
        <w:tcPr>
          <w:tcW w:w="3997" w:type="dxa"/>
          <w:tcBorders>
            <w:top w:val="nil"/>
            <w:left w:val="nil"/>
            <w:bottom w:val="single" w:sz="4" w:space="0" w:color="auto"/>
          </w:tcBorders>
        </w:tcPr>
        <w:p w14:paraId="30FB9ECC" w14:textId="77777777" w:rsidR="00AD6A23" w:rsidRDefault="00AD6A23">
          <w:pPr>
            <w:pStyle w:val="Encabezado"/>
          </w:pPr>
        </w:p>
      </w:tc>
      <w:tc>
        <w:tcPr>
          <w:tcW w:w="1361" w:type="dxa"/>
          <w:vMerge w:val="restart"/>
        </w:tcPr>
        <w:p w14:paraId="4007B28E" w14:textId="3E031903" w:rsidR="00AD6A23" w:rsidRDefault="00E31A1B">
          <w:pPr>
            <w:pStyle w:val="Encabezado"/>
            <w:jc w:val="center"/>
          </w:pPr>
          <w:r>
            <w:rPr>
              <w:noProof/>
            </w:rPr>
            <w:drawing>
              <wp:inline distT="0" distB="0" distL="0" distR="0" wp14:anchorId="579DBF03" wp14:editId="61E23473">
                <wp:extent cx="428625" cy="428625"/>
                <wp:effectExtent l="0" t="0" r="0" b="0"/>
                <wp:docPr id="864309167" name="Imagen 864309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97" w:type="dxa"/>
          <w:tcBorders>
            <w:top w:val="nil"/>
            <w:bottom w:val="single" w:sz="4" w:space="0" w:color="auto"/>
            <w:right w:val="nil"/>
          </w:tcBorders>
        </w:tcPr>
        <w:p w14:paraId="0259BF24" w14:textId="77777777" w:rsidR="00AD6A23" w:rsidRDefault="00AD6A23">
          <w:pPr>
            <w:pStyle w:val="Encabezado"/>
          </w:pPr>
        </w:p>
      </w:tc>
    </w:tr>
    <w:tr w:rsidR="00AD6A23" w14:paraId="49E574B1" w14:textId="77777777">
      <w:trPr>
        <w:cantSplit/>
        <w:trHeight w:val="337"/>
      </w:trPr>
      <w:tc>
        <w:tcPr>
          <w:tcW w:w="3997" w:type="dxa"/>
          <w:tcBorders>
            <w:top w:val="single" w:sz="4" w:space="0" w:color="auto"/>
            <w:left w:val="nil"/>
            <w:bottom w:val="nil"/>
          </w:tcBorders>
        </w:tcPr>
        <w:p w14:paraId="3BBBE864" w14:textId="77777777" w:rsidR="00AD6A23" w:rsidRDefault="00AD6A23">
          <w:pPr>
            <w:pStyle w:val="Encabezado"/>
          </w:pPr>
        </w:p>
      </w:tc>
      <w:tc>
        <w:tcPr>
          <w:tcW w:w="1361" w:type="dxa"/>
          <w:vMerge/>
        </w:tcPr>
        <w:p w14:paraId="32CF127B" w14:textId="77777777" w:rsidR="00AD6A23" w:rsidRDefault="00AD6A23">
          <w:pPr>
            <w:pStyle w:val="Encabezado"/>
            <w:jc w:val="center"/>
          </w:pPr>
        </w:p>
      </w:tc>
      <w:tc>
        <w:tcPr>
          <w:tcW w:w="3997" w:type="dxa"/>
          <w:tcBorders>
            <w:top w:val="single" w:sz="4" w:space="0" w:color="auto"/>
            <w:bottom w:val="nil"/>
            <w:right w:val="nil"/>
          </w:tcBorders>
        </w:tcPr>
        <w:p w14:paraId="4D04BD78" w14:textId="77777777" w:rsidR="00AD6A23" w:rsidRDefault="00AD6A23">
          <w:pPr>
            <w:pStyle w:val="Encabezado"/>
          </w:pPr>
        </w:p>
      </w:tc>
    </w:tr>
  </w:tbl>
  <w:p w14:paraId="02BA8AD0" w14:textId="77777777" w:rsidR="00AD6A23" w:rsidRDefault="00AD6A23">
    <w:pPr>
      <w:pStyle w:val="Encabezado"/>
    </w:pPr>
  </w:p>
  <w:p w14:paraId="496BFF3D" w14:textId="77777777" w:rsidR="00AD6A23" w:rsidRDefault="00AD6A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619"/>
      <w:gridCol w:w="3585"/>
    </w:tblGrid>
    <w:tr w:rsidR="00AD6A23" w14:paraId="1119FFF0" w14:textId="77777777" w:rsidTr="00D821D6">
      <w:trPr>
        <w:trHeight w:val="2269"/>
      </w:trPr>
      <w:tc>
        <w:tcPr>
          <w:tcW w:w="6619" w:type="dxa"/>
        </w:tcPr>
        <w:bookmarkStart w:id="0" w:name="_MON_1284444778"/>
        <w:bookmarkEnd w:id="0"/>
        <w:p w14:paraId="035984CD" w14:textId="77777777" w:rsidR="00AD6A23" w:rsidRDefault="00AD6A23">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59B5B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24279392" r:id="rId2"/>
            </w:object>
          </w:r>
        </w:p>
        <w:p w14:paraId="1C485F5A" w14:textId="77777777" w:rsidR="00AD6A23" w:rsidRDefault="00AD6A23">
          <w:pPr>
            <w:pStyle w:val="Encabezado"/>
            <w:ind w:left="1064"/>
            <w:rPr>
              <w:rFonts w:ascii="Arial" w:hAnsi="Arial"/>
              <w:noProof/>
              <w:sz w:val="16"/>
            </w:rPr>
          </w:pPr>
        </w:p>
      </w:tc>
      <w:tc>
        <w:tcPr>
          <w:tcW w:w="3585" w:type="dxa"/>
        </w:tcPr>
        <w:tbl>
          <w:tblPr>
            <w:tblW w:w="9660" w:type="dxa"/>
            <w:tblInd w:w="102" w:type="dxa"/>
            <w:tblBorders>
              <w:insideH w:val="nil"/>
              <w:insideV w:val="nil"/>
            </w:tblBorders>
            <w:tblLayout w:type="fixed"/>
            <w:tblLook w:val="04A0" w:firstRow="1" w:lastRow="0" w:firstColumn="1" w:lastColumn="0" w:noHBand="0" w:noVBand="1"/>
          </w:tblPr>
          <w:tblGrid>
            <w:gridCol w:w="9660"/>
          </w:tblGrid>
          <w:tr w:rsidR="00F127B4" w:rsidRPr="00A30A62" w14:paraId="5C97FA8A" w14:textId="77777777" w:rsidTr="00A30A62">
            <w:trPr>
              <w:trHeight w:val="156"/>
            </w:trPr>
            <w:tc>
              <w:tcPr>
                <w:tcW w:w="9660" w:type="dxa"/>
                <w:tcBorders>
                  <w:top w:val="nil"/>
                  <w:left w:val="nil"/>
                  <w:bottom w:val="single" w:sz="4" w:space="0" w:color="auto"/>
                  <w:right w:val="nil"/>
                </w:tcBorders>
                <w:shd w:val="clear" w:color="auto" w:fill="auto"/>
                <w:vAlign w:val="bottom"/>
                <w:hideMark/>
              </w:tcPr>
              <w:p w14:paraId="1F7EBFFC" w14:textId="77777777" w:rsidR="00F127B4" w:rsidRPr="00A30A62" w:rsidRDefault="00F127B4" w:rsidP="00F127B4">
                <w:pPr>
                  <w:rPr>
                    <w:rFonts w:ascii="Arial" w:hAnsi="Arial"/>
                    <w:color w:val="000000"/>
                    <w:sz w:val="12"/>
                    <w:szCs w:val="12"/>
                    <w:lang w:bidi="ar-SA"/>
                  </w:rPr>
                </w:pPr>
              </w:p>
            </w:tc>
          </w:tr>
          <w:tr w:rsidR="00F127B4" w:rsidRPr="00A30A62" w14:paraId="60DEAE22" w14:textId="77777777" w:rsidTr="00A30A62">
            <w:trPr>
              <w:trHeight w:val="317"/>
            </w:trPr>
            <w:tc>
              <w:tcPr>
                <w:tcW w:w="9660" w:type="dxa"/>
                <w:tcBorders>
                  <w:top w:val="single" w:sz="4" w:space="0" w:color="auto"/>
                  <w:left w:val="nil"/>
                  <w:bottom w:val="nil"/>
                  <w:right w:val="nil"/>
                </w:tcBorders>
                <w:shd w:val="clear" w:color="auto" w:fill="auto"/>
                <w:hideMark/>
              </w:tcPr>
              <w:p w14:paraId="4D7371B9" w14:textId="1ABD992C" w:rsidR="00F127B4" w:rsidRPr="00A30A62" w:rsidRDefault="00F127B4" w:rsidP="00F127B4">
                <w:pPr>
                  <w:rPr>
                    <w:rFonts w:ascii="Arial" w:hAnsi="Arial"/>
                    <w:color w:val="4472C4"/>
                    <w:sz w:val="16"/>
                    <w:szCs w:val="16"/>
                  </w:rPr>
                </w:pPr>
                <w:r w:rsidRPr="00A30A62">
                  <w:rPr>
                    <w:rFonts w:ascii="Arial" w:hAnsi="Arial"/>
                    <w:noProof/>
                    <w:sz w:val="16"/>
                    <w:szCs w:val="16"/>
                  </w:rPr>
                  <w:t>INFOPU-</w:t>
                </w:r>
                <w:r w:rsidRPr="009639CF">
                  <w:rPr>
                    <w:rFonts w:ascii="Arial" w:hAnsi="Arial"/>
                    <w:noProof/>
                    <w:sz w:val="16"/>
                    <w:szCs w:val="16"/>
                  </w:rPr>
                  <w:t>20</w:t>
                </w:r>
                <w:r w:rsidR="009639CF" w:rsidRPr="009639CF">
                  <w:rPr>
                    <w:rFonts w:ascii="Arial" w:hAnsi="Arial"/>
                    <w:noProof/>
                    <w:sz w:val="16"/>
                    <w:szCs w:val="16"/>
                  </w:rPr>
                  <w:t>2</w:t>
                </w:r>
                <w:r w:rsidR="00AC4DA6">
                  <w:rPr>
                    <w:rFonts w:ascii="Arial" w:hAnsi="Arial"/>
                    <w:noProof/>
                    <w:sz w:val="16"/>
                    <w:szCs w:val="16"/>
                  </w:rPr>
                  <w:t>5</w:t>
                </w:r>
                <w:r w:rsidRPr="009639CF">
                  <w:rPr>
                    <w:rFonts w:ascii="Arial" w:hAnsi="Arial"/>
                    <w:noProof/>
                    <w:sz w:val="16"/>
                    <w:szCs w:val="16"/>
                  </w:rPr>
                  <w:t>/000</w:t>
                </w:r>
                <w:r w:rsidR="00AC4DA6">
                  <w:rPr>
                    <w:rFonts w:ascii="Arial" w:hAnsi="Arial"/>
                    <w:noProof/>
                    <w:sz w:val="16"/>
                    <w:szCs w:val="16"/>
                  </w:rPr>
                  <w:t>4</w:t>
                </w:r>
                <w:r w:rsidR="00746330">
                  <w:rPr>
                    <w:rFonts w:ascii="Arial" w:hAnsi="Arial"/>
                    <w:noProof/>
                    <w:sz w:val="16"/>
                    <w:szCs w:val="16"/>
                  </w:rPr>
                  <w:t>2</w:t>
                </w:r>
              </w:p>
            </w:tc>
          </w:tr>
          <w:tr w:rsidR="00F127B4" w:rsidRPr="00A30A62" w14:paraId="6172D5BD" w14:textId="77777777" w:rsidTr="00A30A62">
            <w:trPr>
              <w:trHeight w:val="158"/>
            </w:trPr>
            <w:tc>
              <w:tcPr>
                <w:tcW w:w="9660" w:type="dxa"/>
                <w:tcBorders>
                  <w:top w:val="nil"/>
                  <w:left w:val="nil"/>
                  <w:bottom w:val="single" w:sz="4" w:space="0" w:color="auto"/>
                  <w:right w:val="nil"/>
                </w:tcBorders>
                <w:shd w:val="clear" w:color="auto" w:fill="auto"/>
                <w:vAlign w:val="bottom"/>
                <w:hideMark/>
              </w:tcPr>
              <w:p w14:paraId="59CB25B7" w14:textId="77777777" w:rsidR="00F127B4" w:rsidRPr="00A30A62" w:rsidRDefault="00F127B4" w:rsidP="00F127B4">
                <w:pPr>
                  <w:rPr>
                    <w:rFonts w:ascii="Arial" w:hAnsi="Arial"/>
                    <w:color w:val="000000"/>
                    <w:sz w:val="12"/>
                    <w:szCs w:val="12"/>
                  </w:rPr>
                </w:pPr>
                <w:r w:rsidRPr="00A30A62">
                  <w:rPr>
                    <w:rFonts w:ascii="Arial" w:hAnsi="Arial"/>
                    <w:color w:val="000000"/>
                    <w:sz w:val="12"/>
                    <w:szCs w:val="12"/>
                  </w:rPr>
                  <w:t xml:space="preserve">Saila </w:t>
                </w:r>
                <w:r w:rsidRPr="00A30A62">
                  <w:rPr>
                    <w:rFonts w:ascii="Arial" w:hAnsi="Arial"/>
                    <w:color w:val="000000"/>
                    <w:sz w:val="16"/>
                    <w:szCs w:val="16"/>
                  </w:rPr>
                  <w:t>▪</w:t>
                </w:r>
                <w:r w:rsidRPr="00A30A62">
                  <w:rPr>
                    <w:rFonts w:ascii="Arial" w:hAnsi="Arial"/>
                    <w:color w:val="000000"/>
                    <w:sz w:val="12"/>
                    <w:szCs w:val="12"/>
                  </w:rPr>
                  <w:t xml:space="preserve"> Departamento</w:t>
                </w:r>
              </w:p>
            </w:tc>
          </w:tr>
          <w:tr w:rsidR="00F127B4" w:rsidRPr="00A30A62" w14:paraId="08401287" w14:textId="77777777" w:rsidTr="00A30A62">
            <w:trPr>
              <w:trHeight w:val="619"/>
            </w:trPr>
            <w:tc>
              <w:tcPr>
                <w:tcW w:w="9660" w:type="dxa"/>
                <w:tcBorders>
                  <w:top w:val="single" w:sz="4" w:space="0" w:color="auto"/>
                  <w:left w:val="nil"/>
                  <w:bottom w:val="nil"/>
                  <w:right w:val="nil"/>
                </w:tcBorders>
                <w:shd w:val="clear" w:color="auto" w:fill="auto"/>
              </w:tcPr>
              <w:p w14:paraId="02F553D4" w14:textId="77777777" w:rsidR="009639CF" w:rsidRPr="009639CF" w:rsidRDefault="009639CF" w:rsidP="009639CF">
                <w:pPr>
                  <w:pStyle w:val="Textoindependiente"/>
                  <w:spacing w:before="20" w:after="0" w:line="200" w:lineRule="exact"/>
                  <w:rPr>
                    <w:rFonts w:ascii="Tms Rmn" w:hAnsi="Tms Rmn"/>
                    <w:sz w:val="16"/>
                  </w:rPr>
                </w:pPr>
                <w:r w:rsidRPr="009639CF">
                  <w:rPr>
                    <w:rFonts w:ascii="Tms Rmn" w:hAnsi="Tms Rmn"/>
                    <w:sz w:val="16"/>
                  </w:rPr>
                  <w:t>Ogasuna, Finantzak eta Aurrekontuak</w:t>
                </w:r>
                <w:r w:rsidR="00F127B4" w:rsidRPr="009639CF">
                  <w:rPr>
                    <w:rFonts w:ascii="Tms Rmn" w:hAnsi="Tms Rmn"/>
                    <w:sz w:val="16"/>
                  </w:rPr>
                  <w:t xml:space="preserve"> / </w:t>
                </w:r>
              </w:p>
              <w:p w14:paraId="0D7EA1F5" w14:textId="23E0D26D" w:rsidR="00F127B4" w:rsidRPr="00A30A62" w:rsidRDefault="009639CF" w:rsidP="009639CF">
                <w:pPr>
                  <w:pStyle w:val="Textoindependiente"/>
                  <w:spacing w:before="20" w:after="0" w:line="200" w:lineRule="exact"/>
                  <w:rPr>
                    <w:rFonts w:ascii="Arial" w:hAnsi="Arial" w:cs="Times New Roman"/>
                    <w:sz w:val="16"/>
                  </w:rPr>
                </w:pPr>
                <w:r w:rsidRPr="009639CF">
                  <w:rPr>
                    <w:rFonts w:ascii="Tms Rmn" w:hAnsi="Tms Rmn"/>
                    <w:sz w:val="16"/>
                  </w:rPr>
                  <w:t>Hacienda, Finanzas y Presupuestos</w:t>
                </w:r>
              </w:p>
              <w:p w14:paraId="4E17F5DE" w14:textId="77777777" w:rsidR="00F127B4" w:rsidRPr="00A30A62" w:rsidRDefault="00F127B4" w:rsidP="00A30A62">
                <w:pPr>
                  <w:rPr>
                    <w:rFonts w:ascii="Arial" w:hAnsi="Arial"/>
                    <w:color w:val="4472C4"/>
                    <w:sz w:val="16"/>
                    <w:szCs w:val="16"/>
                  </w:rPr>
                </w:pPr>
              </w:p>
            </w:tc>
          </w:tr>
        </w:tbl>
        <w:p w14:paraId="1D138675" w14:textId="77777777" w:rsidR="00AD6A23" w:rsidRDefault="00AD6A23">
          <w:pPr>
            <w:pStyle w:val="Encabezado"/>
            <w:tabs>
              <w:tab w:val="clear" w:pos="4252"/>
            </w:tabs>
            <w:spacing w:after="240" w:line="240" w:lineRule="exact"/>
            <w:ind w:left="-68"/>
            <w:rPr>
              <w:rFonts w:ascii="Arial" w:hAnsi="Arial"/>
              <w:noProof/>
              <w:sz w:val="18"/>
            </w:rPr>
          </w:pPr>
        </w:p>
      </w:tc>
    </w:tr>
  </w:tbl>
  <w:p w14:paraId="2D7C4DF7" w14:textId="77777777" w:rsidR="00AD6A23" w:rsidRDefault="00AD6A23">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5E6"/>
    <w:multiLevelType w:val="hybridMultilevel"/>
    <w:tmpl w:val="65C0FF74"/>
    <w:lvl w:ilvl="0" w:tplc="ABDCA3C8">
      <w:start w:val="1"/>
      <w:numFmt w:val="lowerLetter"/>
      <w:lvlText w:val="%1)"/>
      <w:lvlJc w:val="left"/>
      <w:pPr>
        <w:ind w:left="-990" w:hanging="360"/>
      </w:pPr>
      <w:rPr>
        <w:rFonts w:ascii="Times New Roman" w:eastAsia="Times New Roman" w:hAnsi="Times New Roman" w:cs="Times New Roman" w:hint="default"/>
        <w:w w:val="99"/>
        <w:sz w:val="24"/>
        <w:szCs w:val="24"/>
        <w:lang w:val="es-ES" w:eastAsia="en-US" w:bidi="ar-SA"/>
      </w:rPr>
    </w:lvl>
    <w:lvl w:ilvl="1" w:tplc="CEE0EF86">
      <w:numFmt w:val="bullet"/>
      <w:lvlText w:val="•"/>
      <w:lvlJc w:val="left"/>
      <w:pPr>
        <w:ind w:left="-22" w:hanging="360"/>
      </w:pPr>
      <w:rPr>
        <w:rFonts w:hint="default"/>
        <w:lang w:val="es-ES" w:eastAsia="en-US" w:bidi="ar-SA"/>
      </w:rPr>
    </w:lvl>
    <w:lvl w:ilvl="2" w:tplc="B1FC9D08">
      <w:numFmt w:val="bullet"/>
      <w:lvlText w:val="•"/>
      <w:lvlJc w:val="left"/>
      <w:pPr>
        <w:ind w:left="938" w:hanging="360"/>
      </w:pPr>
      <w:rPr>
        <w:rFonts w:hint="default"/>
        <w:lang w:val="es-ES" w:eastAsia="en-US" w:bidi="ar-SA"/>
      </w:rPr>
    </w:lvl>
    <w:lvl w:ilvl="3" w:tplc="DE6EE57C">
      <w:numFmt w:val="bullet"/>
      <w:lvlText w:val="•"/>
      <w:lvlJc w:val="left"/>
      <w:pPr>
        <w:ind w:left="1898" w:hanging="360"/>
      </w:pPr>
      <w:rPr>
        <w:rFonts w:hint="default"/>
        <w:lang w:val="es-ES" w:eastAsia="en-US" w:bidi="ar-SA"/>
      </w:rPr>
    </w:lvl>
    <w:lvl w:ilvl="4" w:tplc="7E0E863A">
      <w:numFmt w:val="bullet"/>
      <w:lvlText w:val="•"/>
      <w:lvlJc w:val="left"/>
      <w:pPr>
        <w:ind w:left="2858" w:hanging="360"/>
      </w:pPr>
      <w:rPr>
        <w:rFonts w:hint="default"/>
        <w:lang w:val="es-ES" w:eastAsia="en-US" w:bidi="ar-SA"/>
      </w:rPr>
    </w:lvl>
    <w:lvl w:ilvl="5" w:tplc="05F4B664">
      <w:numFmt w:val="bullet"/>
      <w:lvlText w:val="•"/>
      <w:lvlJc w:val="left"/>
      <w:pPr>
        <w:ind w:left="3818" w:hanging="360"/>
      </w:pPr>
      <w:rPr>
        <w:rFonts w:hint="default"/>
        <w:lang w:val="es-ES" w:eastAsia="en-US" w:bidi="ar-SA"/>
      </w:rPr>
    </w:lvl>
    <w:lvl w:ilvl="6" w:tplc="901A99A4">
      <w:numFmt w:val="bullet"/>
      <w:lvlText w:val="•"/>
      <w:lvlJc w:val="left"/>
      <w:pPr>
        <w:ind w:left="4778" w:hanging="360"/>
      </w:pPr>
      <w:rPr>
        <w:rFonts w:hint="default"/>
        <w:lang w:val="es-ES" w:eastAsia="en-US" w:bidi="ar-SA"/>
      </w:rPr>
    </w:lvl>
    <w:lvl w:ilvl="7" w:tplc="A5F09250">
      <w:numFmt w:val="bullet"/>
      <w:lvlText w:val="•"/>
      <w:lvlJc w:val="left"/>
      <w:pPr>
        <w:ind w:left="5738" w:hanging="360"/>
      </w:pPr>
      <w:rPr>
        <w:rFonts w:hint="default"/>
        <w:lang w:val="es-ES" w:eastAsia="en-US" w:bidi="ar-SA"/>
      </w:rPr>
    </w:lvl>
    <w:lvl w:ilvl="8" w:tplc="992E1C18">
      <w:numFmt w:val="bullet"/>
      <w:lvlText w:val="•"/>
      <w:lvlJc w:val="left"/>
      <w:pPr>
        <w:ind w:left="6698" w:hanging="360"/>
      </w:pPr>
      <w:rPr>
        <w:rFonts w:hint="default"/>
        <w:lang w:val="es-ES" w:eastAsia="en-US" w:bidi="ar-SA"/>
      </w:rPr>
    </w:lvl>
  </w:abstractNum>
  <w:abstractNum w:abstractNumId="1"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 w15:restartNumberingAfterBreak="0">
    <w:nsid w:val="6AAC21F8"/>
    <w:multiLevelType w:val="hybridMultilevel"/>
    <w:tmpl w:val="ED72D33A"/>
    <w:lvl w:ilvl="0" w:tplc="BE402668">
      <w:start w:val="1"/>
      <w:numFmt w:val="bullet"/>
      <w:lvlText w:val=""/>
      <w:lvlJc w:val="left"/>
      <w:pPr>
        <w:ind w:left="720" w:hanging="360"/>
      </w:pPr>
      <w:rPr>
        <w:rFonts w:ascii="Symbol" w:hAnsi="Symbol" w:hint="default"/>
      </w:rPr>
    </w:lvl>
    <w:lvl w:ilvl="1" w:tplc="EDC8A174">
      <w:start w:val="1"/>
      <w:numFmt w:val="bullet"/>
      <w:lvlText w:val="o"/>
      <w:lvlJc w:val="left"/>
      <w:pPr>
        <w:ind w:left="1440" w:hanging="360"/>
      </w:pPr>
      <w:rPr>
        <w:rFonts w:ascii="Courier New" w:hAnsi="Courier New" w:cs="Courier New" w:hint="default"/>
      </w:rPr>
    </w:lvl>
    <w:lvl w:ilvl="2" w:tplc="75A0DADA">
      <w:start w:val="1"/>
      <w:numFmt w:val="bullet"/>
      <w:lvlText w:val=""/>
      <w:lvlJc w:val="left"/>
      <w:pPr>
        <w:ind w:left="2160" w:hanging="360"/>
      </w:pPr>
      <w:rPr>
        <w:rFonts w:ascii="Wingdings" w:hAnsi="Wingdings" w:hint="default"/>
      </w:rPr>
    </w:lvl>
    <w:lvl w:ilvl="3" w:tplc="9F167DE0">
      <w:start w:val="1"/>
      <w:numFmt w:val="bullet"/>
      <w:lvlText w:val=""/>
      <w:lvlJc w:val="left"/>
      <w:pPr>
        <w:ind w:left="2880" w:hanging="360"/>
      </w:pPr>
      <w:rPr>
        <w:rFonts w:ascii="Symbol" w:hAnsi="Symbol" w:hint="default"/>
      </w:rPr>
    </w:lvl>
    <w:lvl w:ilvl="4" w:tplc="5EA0A610">
      <w:start w:val="1"/>
      <w:numFmt w:val="bullet"/>
      <w:lvlText w:val="o"/>
      <w:lvlJc w:val="left"/>
      <w:pPr>
        <w:ind w:left="3600" w:hanging="360"/>
      </w:pPr>
      <w:rPr>
        <w:rFonts w:ascii="Courier New" w:hAnsi="Courier New" w:cs="Courier New" w:hint="default"/>
      </w:rPr>
    </w:lvl>
    <w:lvl w:ilvl="5" w:tplc="35AC743E">
      <w:start w:val="1"/>
      <w:numFmt w:val="bullet"/>
      <w:lvlText w:val=""/>
      <w:lvlJc w:val="left"/>
      <w:pPr>
        <w:ind w:left="4320" w:hanging="360"/>
      </w:pPr>
      <w:rPr>
        <w:rFonts w:ascii="Wingdings" w:hAnsi="Wingdings" w:hint="default"/>
      </w:rPr>
    </w:lvl>
    <w:lvl w:ilvl="6" w:tplc="E0969310">
      <w:start w:val="1"/>
      <w:numFmt w:val="bullet"/>
      <w:lvlText w:val=""/>
      <w:lvlJc w:val="left"/>
      <w:pPr>
        <w:ind w:left="5040" w:hanging="360"/>
      </w:pPr>
      <w:rPr>
        <w:rFonts w:ascii="Symbol" w:hAnsi="Symbol" w:hint="default"/>
      </w:rPr>
    </w:lvl>
    <w:lvl w:ilvl="7" w:tplc="3F6EB236">
      <w:start w:val="1"/>
      <w:numFmt w:val="bullet"/>
      <w:lvlText w:val="o"/>
      <w:lvlJc w:val="left"/>
      <w:pPr>
        <w:ind w:left="5760" w:hanging="360"/>
      </w:pPr>
      <w:rPr>
        <w:rFonts w:ascii="Courier New" w:hAnsi="Courier New" w:cs="Courier New" w:hint="default"/>
      </w:rPr>
    </w:lvl>
    <w:lvl w:ilvl="8" w:tplc="4FBE7A9C">
      <w:start w:val="1"/>
      <w:numFmt w:val="bullet"/>
      <w:lvlText w:val=""/>
      <w:lvlJc w:val="left"/>
      <w:pPr>
        <w:ind w:left="6480" w:hanging="360"/>
      </w:pPr>
      <w:rPr>
        <w:rFonts w:ascii="Wingdings" w:hAnsi="Wingdings" w:hint="default"/>
      </w:rPr>
    </w:lvl>
  </w:abstractNum>
  <w:num w:numId="1" w16cid:durableId="241334637">
    <w:abstractNumId w:val="1"/>
  </w:num>
  <w:num w:numId="2" w16cid:durableId="533541551">
    <w:abstractNumId w:val="2"/>
  </w:num>
  <w:num w:numId="3" w16cid:durableId="67144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788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D1"/>
    <w:rsid w:val="00000189"/>
    <w:rsid w:val="000002AA"/>
    <w:rsid w:val="00011486"/>
    <w:rsid w:val="0001716C"/>
    <w:rsid w:val="0002459A"/>
    <w:rsid w:val="00025164"/>
    <w:rsid w:val="00025317"/>
    <w:rsid w:val="0003227C"/>
    <w:rsid w:val="00032C64"/>
    <w:rsid w:val="000430CD"/>
    <w:rsid w:val="00044B45"/>
    <w:rsid w:val="00047B33"/>
    <w:rsid w:val="000608DE"/>
    <w:rsid w:val="00073E66"/>
    <w:rsid w:val="00075651"/>
    <w:rsid w:val="0008619F"/>
    <w:rsid w:val="000A6975"/>
    <w:rsid w:val="000A764F"/>
    <w:rsid w:val="000B3DF6"/>
    <w:rsid w:val="000C0206"/>
    <w:rsid w:val="000C49D1"/>
    <w:rsid w:val="000C5CBF"/>
    <w:rsid w:val="000E7D63"/>
    <w:rsid w:val="000F5E56"/>
    <w:rsid w:val="00100433"/>
    <w:rsid w:val="00113717"/>
    <w:rsid w:val="00114369"/>
    <w:rsid w:val="00116543"/>
    <w:rsid w:val="00130F3D"/>
    <w:rsid w:val="0013433E"/>
    <w:rsid w:val="00135C22"/>
    <w:rsid w:val="00157C75"/>
    <w:rsid w:val="00163B62"/>
    <w:rsid w:val="00167074"/>
    <w:rsid w:val="00173F3C"/>
    <w:rsid w:val="00182953"/>
    <w:rsid w:val="00185A4B"/>
    <w:rsid w:val="00192820"/>
    <w:rsid w:val="001946C1"/>
    <w:rsid w:val="00195C07"/>
    <w:rsid w:val="00197F4A"/>
    <w:rsid w:val="001A5E69"/>
    <w:rsid w:val="001A70F1"/>
    <w:rsid w:val="001B023C"/>
    <w:rsid w:val="001B1581"/>
    <w:rsid w:val="001C261E"/>
    <w:rsid w:val="001C6AA5"/>
    <w:rsid w:val="001D2725"/>
    <w:rsid w:val="001D38A8"/>
    <w:rsid w:val="001D47BF"/>
    <w:rsid w:val="001E281B"/>
    <w:rsid w:val="001F2165"/>
    <w:rsid w:val="001F3207"/>
    <w:rsid w:val="001F3DCA"/>
    <w:rsid w:val="002023E2"/>
    <w:rsid w:val="00203D4A"/>
    <w:rsid w:val="00211835"/>
    <w:rsid w:val="002268C3"/>
    <w:rsid w:val="002350D6"/>
    <w:rsid w:val="0025337C"/>
    <w:rsid w:val="00253F06"/>
    <w:rsid w:val="00254DC8"/>
    <w:rsid w:val="0026161A"/>
    <w:rsid w:val="00264855"/>
    <w:rsid w:val="00271D12"/>
    <w:rsid w:val="00275A7D"/>
    <w:rsid w:val="00275D30"/>
    <w:rsid w:val="00276356"/>
    <w:rsid w:val="002859A7"/>
    <w:rsid w:val="00293A6C"/>
    <w:rsid w:val="002A4456"/>
    <w:rsid w:val="002B0DC6"/>
    <w:rsid w:val="002D5924"/>
    <w:rsid w:val="002D69DF"/>
    <w:rsid w:val="002D6B5B"/>
    <w:rsid w:val="002E7D16"/>
    <w:rsid w:val="002F4CF7"/>
    <w:rsid w:val="002F540B"/>
    <w:rsid w:val="002F5F12"/>
    <w:rsid w:val="00304CE8"/>
    <w:rsid w:val="003201A5"/>
    <w:rsid w:val="003209A3"/>
    <w:rsid w:val="0033407A"/>
    <w:rsid w:val="00337995"/>
    <w:rsid w:val="0034140F"/>
    <w:rsid w:val="00343AC3"/>
    <w:rsid w:val="00344C25"/>
    <w:rsid w:val="00357DA7"/>
    <w:rsid w:val="00360725"/>
    <w:rsid w:val="0036385B"/>
    <w:rsid w:val="00382734"/>
    <w:rsid w:val="00384C03"/>
    <w:rsid w:val="003901EE"/>
    <w:rsid w:val="003920AE"/>
    <w:rsid w:val="00394BDD"/>
    <w:rsid w:val="003A1D70"/>
    <w:rsid w:val="003A5833"/>
    <w:rsid w:val="003B1E7F"/>
    <w:rsid w:val="003B1F8C"/>
    <w:rsid w:val="003B3BE7"/>
    <w:rsid w:val="003C1509"/>
    <w:rsid w:val="003C2363"/>
    <w:rsid w:val="003C6B2D"/>
    <w:rsid w:val="003C752F"/>
    <w:rsid w:val="003D2BA3"/>
    <w:rsid w:val="003E4CF9"/>
    <w:rsid w:val="003E5602"/>
    <w:rsid w:val="003F726C"/>
    <w:rsid w:val="00404E39"/>
    <w:rsid w:val="0040738F"/>
    <w:rsid w:val="0041741D"/>
    <w:rsid w:val="00423D9E"/>
    <w:rsid w:val="00434FE1"/>
    <w:rsid w:val="004402C1"/>
    <w:rsid w:val="004421CE"/>
    <w:rsid w:val="004459A2"/>
    <w:rsid w:val="00446101"/>
    <w:rsid w:val="00453302"/>
    <w:rsid w:val="00462091"/>
    <w:rsid w:val="00467D93"/>
    <w:rsid w:val="00477A58"/>
    <w:rsid w:val="004820C1"/>
    <w:rsid w:val="004871BF"/>
    <w:rsid w:val="004874CF"/>
    <w:rsid w:val="00494868"/>
    <w:rsid w:val="00495277"/>
    <w:rsid w:val="00496387"/>
    <w:rsid w:val="004A2260"/>
    <w:rsid w:val="004A6497"/>
    <w:rsid w:val="004B4853"/>
    <w:rsid w:val="004C375C"/>
    <w:rsid w:val="004C4BA2"/>
    <w:rsid w:val="004C7615"/>
    <w:rsid w:val="004D6998"/>
    <w:rsid w:val="004E15B3"/>
    <w:rsid w:val="004F1AFD"/>
    <w:rsid w:val="004F42E5"/>
    <w:rsid w:val="004F4AF2"/>
    <w:rsid w:val="004F77C0"/>
    <w:rsid w:val="005036AA"/>
    <w:rsid w:val="00505AA4"/>
    <w:rsid w:val="00505E09"/>
    <w:rsid w:val="005128AD"/>
    <w:rsid w:val="00513A91"/>
    <w:rsid w:val="00523C41"/>
    <w:rsid w:val="00530C62"/>
    <w:rsid w:val="0053174F"/>
    <w:rsid w:val="00547043"/>
    <w:rsid w:val="00550EC9"/>
    <w:rsid w:val="00553D69"/>
    <w:rsid w:val="005603A7"/>
    <w:rsid w:val="00563F61"/>
    <w:rsid w:val="0056428C"/>
    <w:rsid w:val="00571F8A"/>
    <w:rsid w:val="00577503"/>
    <w:rsid w:val="005800D7"/>
    <w:rsid w:val="005955BB"/>
    <w:rsid w:val="0059695F"/>
    <w:rsid w:val="005A1449"/>
    <w:rsid w:val="005A2B91"/>
    <w:rsid w:val="005A67AA"/>
    <w:rsid w:val="005A6B8F"/>
    <w:rsid w:val="005B300C"/>
    <w:rsid w:val="005B3B27"/>
    <w:rsid w:val="005D0B87"/>
    <w:rsid w:val="005E055F"/>
    <w:rsid w:val="005E103C"/>
    <w:rsid w:val="005E1419"/>
    <w:rsid w:val="005E4311"/>
    <w:rsid w:val="0061093D"/>
    <w:rsid w:val="00617C8B"/>
    <w:rsid w:val="0062586A"/>
    <w:rsid w:val="00625918"/>
    <w:rsid w:val="0064133B"/>
    <w:rsid w:val="006428C0"/>
    <w:rsid w:val="006441ED"/>
    <w:rsid w:val="00660503"/>
    <w:rsid w:val="006674A8"/>
    <w:rsid w:val="00684DF1"/>
    <w:rsid w:val="00684FC0"/>
    <w:rsid w:val="006930B0"/>
    <w:rsid w:val="006934AF"/>
    <w:rsid w:val="00694027"/>
    <w:rsid w:val="006A1B85"/>
    <w:rsid w:val="006B0C89"/>
    <w:rsid w:val="006B437E"/>
    <w:rsid w:val="006B4827"/>
    <w:rsid w:val="006C2F50"/>
    <w:rsid w:val="006C3991"/>
    <w:rsid w:val="006C5569"/>
    <w:rsid w:val="006D55DD"/>
    <w:rsid w:val="006D592D"/>
    <w:rsid w:val="006E337A"/>
    <w:rsid w:val="006E6AA0"/>
    <w:rsid w:val="006F1987"/>
    <w:rsid w:val="006F4080"/>
    <w:rsid w:val="006F57FB"/>
    <w:rsid w:val="006F677F"/>
    <w:rsid w:val="007011A8"/>
    <w:rsid w:val="00704910"/>
    <w:rsid w:val="00706360"/>
    <w:rsid w:val="00710BDF"/>
    <w:rsid w:val="0071201B"/>
    <w:rsid w:val="00712AFE"/>
    <w:rsid w:val="00720468"/>
    <w:rsid w:val="00732CBD"/>
    <w:rsid w:val="00732F85"/>
    <w:rsid w:val="007355A9"/>
    <w:rsid w:val="007428C0"/>
    <w:rsid w:val="0074542F"/>
    <w:rsid w:val="00746330"/>
    <w:rsid w:val="00751C3B"/>
    <w:rsid w:val="007540C6"/>
    <w:rsid w:val="00764951"/>
    <w:rsid w:val="00767117"/>
    <w:rsid w:val="007726B9"/>
    <w:rsid w:val="0077690F"/>
    <w:rsid w:val="00786ED1"/>
    <w:rsid w:val="00790D08"/>
    <w:rsid w:val="00791046"/>
    <w:rsid w:val="0079190C"/>
    <w:rsid w:val="007927D0"/>
    <w:rsid w:val="007C5D8A"/>
    <w:rsid w:val="007D1742"/>
    <w:rsid w:val="007D455E"/>
    <w:rsid w:val="007D7564"/>
    <w:rsid w:val="007E32CF"/>
    <w:rsid w:val="007E5EB6"/>
    <w:rsid w:val="007F577D"/>
    <w:rsid w:val="008073C0"/>
    <w:rsid w:val="00807759"/>
    <w:rsid w:val="00814AFC"/>
    <w:rsid w:val="00820D96"/>
    <w:rsid w:val="008268B1"/>
    <w:rsid w:val="0082778F"/>
    <w:rsid w:val="00827E75"/>
    <w:rsid w:val="00841D3F"/>
    <w:rsid w:val="008475EB"/>
    <w:rsid w:val="00847CC1"/>
    <w:rsid w:val="0085248E"/>
    <w:rsid w:val="008548E6"/>
    <w:rsid w:val="00861670"/>
    <w:rsid w:val="00864316"/>
    <w:rsid w:val="00865626"/>
    <w:rsid w:val="00870D56"/>
    <w:rsid w:val="00871EA8"/>
    <w:rsid w:val="008775FA"/>
    <w:rsid w:val="008916A0"/>
    <w:rsid w:val="008B2038"/>
    <w:rsid w:val="008B4AA6"/>
    <w:rsid w:val="008B6179"/>
    <w:rsid w:val="008B7C23"/>
    <w:rsid w:val="008C1D76"/>
    <w:rsid w:val="008C403E"/>
    <w:rsid w:val="008C4E9A"/>
    <w:rsid w:val="008D17BC"/>
    <w:rsid w:val="008E1D89"/>
    <w:rsid w:val="008F62A1"/>
    <w:rsid w:val="00902D36"/>
    <w:rsid w:val="009047BC"/>
    <w:rsid w:val="00910A72"/>
    <w:rsid w:val="009138B8"/>
    <w:rsid w:val="00922BA9"/>
    <w:rsid w:val="00922E76"/>
    <w:rsid w:val="00934FE9"/>
    <w:rsid w:val="009367A2"/>
    <w:rsid w:val="00936CD2"/>
    <w:rsid w:val="00942B8C"/>
    <w:rsid w:val="00942E76"/>
    <w:rsid w:val="00947E38"/>
    <w:rsid w:val="00954343"/>
    <w:rsid w:val="00957D07"/>
    <w:rsid w:val="009639CF"/>
    <w:rsid w:val="00964888"/>
    <w:rsid w:val="00983A1D"/>
    <w:rsid w:val="00994F48"/>
    <w:rsid w:val="00996599"/>
    <w:rsid w:val="009A1538"/>
    <w:rsid w:val="009A5E0B"/>
    <w:rsid w:val="009C0A97"/>
    <w:rsid w:val="009C5224"/>
    <w:rsid w:val="009E24B7"/>
    <w:rsid w:val="009E4E97"/>
    <w:rsid w:val="009F5A7E"/>
    <w:rsid w:val="00A00F26"/>
    <w:rsid w:val="00A129FC"/>
    <w:rsid w:val="00A269D7"/>
    <w:rsid w:val="00A30A62"/>
    <w:rsid w:val="00A375B2"/>
    <w:rsid w:val="00A41FD8"/>
    <w:rsid w:val="00A458F8"/>
    <w:rsid w:val="00A614AA"/>
    <w:rsid w:val="00A622E1"/>
    <w:rsid w:val="00A644EB"/>
    <w:rsid w:val="00A649AE"/>
    <w:rsid w:val="00A65BA3"/>
    <w:rsid w:val="00A73881"/>
    <w:rsid w:val="00A85CA4"/>
    <w:rsid w:val="00A90D92"/>
    <w:rsid w:val="00A913E7"/>
    <w:rsid w:val="00A9498A"/>
    <w:rsid w:val="00A95A0E"/>
    <w:rsid w:val="00A974C9"/>
    <w:rsid w:val="00AA1DAA"/>
    <w:rsid w:val="00AA2BBB"/>
    <w:rsid w:val="00AA7B84"/>
    <w:rsid w:val="00AB1FFC"/>
    <w:rsid w:val="00AB66C7"/>
    <w:rsid w:val="00AC4DA6"/>
    <w:rsid w:val="00AC65DE"/>
    <w:rsid w:val="00AC7D3B"/>
    <w:rsid w:val="00AD3801"/>
    <w:rsid w:val="00AD3FE0"/>
    <w:rsid w:val="00AD48EE"/>
    <w:rsid w:val="00AD6A23"/>
    <w:rsid w:val="00AE2560"/>
    <w:rsid w:val="00AE3B57"/>
    <w:rsid w:val="00AF27D1"/>
    <w:rsid w:val="00B02741"/>
    <w:rsid w:val="00B121F0"/>
    <w:rsid w:val="00B3082F"/>
    <w:rsid w:val="00B4570E"/>
    <w:rsid w:val="00B45B30"/>
    <w:rsid w:val="00B531CA"/>
    <w:rsid w:val="00B543A9"/>
    <w:rsid w:val="00B54D7F"/>
    <w:rsid w:val="00B54DFC"/>
    <w:rsid w:val="00B606AF"/>
    <w:rsid w:val="00B7046D"/>
    <w:rsid w:val="00B723A5"/>
    <w:rsid w:val="00B73E0E"/>
    <w:rsid w:val="00B808AB"/>
    <w:rsid w:val="00B84B91"/>
    <w:rsid w:val="00B86D1A"/>
    <w:rsid w:val="00B93EF0"/>
    <w:rsid w:val="00BA2081"/>
    <w:rsid w:val="00BA66E6"/>
    <w:rsid w:val="00BB4E26"/>
    <w:rsid w:val="00BC783D"/>
    <w:rsid w:val="00BF0BA3"/>
    <w:rsid w:val="00BF1FB1"/>
    <w:rsid w:val="00BF540D"/>
    <w:rsid w:val="00BF5F96"/>
    <w:rsid w:val="00C164A2"/>
    <w:rsid w:val="00C21D4E"/>
    <w:rsid w:val="00C25BF1"/>
    <w:rsid w:val="00C33C8E"/>
    <w:rsid w:val="00C41084"/>
    <w:rsid w:val="00C43F7E"/>
    <w:rsid w:val="00C47BF7"/>
    <w:rsid w:val="00C575C1"/>
    <w:rsid w:val="00C62433"/>
    <w:rsid w:val="00C6441F"/>
    <w:rsid w:val="00C91359"/>
    <w:rsid w:val="00C9238E"/>
    <w:rsid w:val="00C96AF6"/>
    <w:rsid w:val="00CA0C09"/>
    <w:rsid w:val="00CB6FE4"/>
    <w:rsid w:val="00CB7C10"/>
    <w:rsid w:val="00CC086F"/>
    <w:rsid w:val="00CD1776"/>
    <w:rsid w:val="00CD239A"/>
    <w:rsid w:val="00CD2B96"/>
    <w:rsid w:val="00CD6E21"/>
    <w:rsid w:val="00CE14B8"/>
    <w:rsid w:val="00CE186A"/>
    <w:rsid w:val="00CE428C"/>
    <w:rsid w:val="00CF0560"/>
    <w:rsid w:val="00D0553E"/>
    <w:rsid w:val="00D17A58"/>
    <w:rsid w:val="00D22E90"/>
    <w:rsid w:val="00D26881"/>
    <w:rsid w:val="00D27CC8"/>
    <w:rsid w:val="00D33665"/>
    <w:rsid w:val="00D33C57"/>
    <w:rsid w:val="00D4730B"/>
    <w:rsid w:val="00D54987"/>
    <w:rsid w:val="00D601C3"/>
    <w:rsid w:val="00D67E28"/>
    <w:rsid w:val="00D73E1F"/>
    <w:rsid w:val="00D80289"/>
    <w:rsid w:val="00D81957"/>
    <w:rsid w:val="00D821D6"/>
    <w:rsid w:val="00D85105"/>
    <w:rsid w:val="00D86FEC"/>
    <w:rsid w:val="00D87186"/>
    <w:rsid w:val="00D92085"/>
    <w:rsid w:val="00D953E5"/>
    <w:rsid w:val="00D95C23"/>
    <w:rsid w:val="00DC082A"/>
    <w:rsid w:val="00DC2B3C"/>
    <w:rsid w:val="00DE3867"/>
    <w:rsid w:val="00DF23F2"/>
    <w:rsid w:val="00E16384"/>
    <w:rsid w:val="00E208C2"/>
    <w:rsid w:val="00E25466"/>
    <w:rsid w:val="00E31A1B"/>
    <w:rsid w:val="00E34461"/>
    <w:rsid w:val="00E35D1B"/>
    <w:rsid w:val="00E43F96"/>
    <w:rsid w:val="00E562EB"/>
    <w:rsid w:val="00E601B6"/>
    <w:rsid w:val="00E715CE"/>
    <w:rsid w:val="00E71D93"/>
    <w:rsid w:val="00E7731D"/>
    <w:rsid w:val="00E81C71"/>
    <w:rsid w:val="00E822F4"/>
    <w:rsid w:val="00E8569E"/>
    <w:rsid w:val="00E93F18"/>
    <w:rsid w:val="00EA60F9"/>
    <w:rsid w:val="00EB1D57"/>
    <w:rsid w:val="00EC0E50"/>
    <w:rsid w:val="00EC4968"/>
    <w:rsid w:val="00EC508B"/>
    <w:rsid w:val="00ED2686"/>
    <w:rsid w:val="00ED582F"/>
    <w:rsid w:val="00EE194B"/>
    <w:rsid w:val="00EE2891"/>
    <w:rsid w:val="00EF19D7"/>
    <w:rsid w:val="00EF6279"/>
    <w:rsid w:val="00F03784"/>
    <w:rsid w:val="00F116D9"/>
    <w:rsid w:val="00F12124"/>
    <w:rsid w:val="00F127B4"/>
    <w:rsid w:val="00F16906"/>
    <w:rsid w:val="00F229AA"/>
    <w:rsid w:val="00F309F8"/>
    <w:rsid w:val="00F32B92"/>
    <w:rsid w:val="00F3420D"/>
    <w:rsid w:val="00F379BF"/>
    <w:rsid w:val="00F40F7D"/>
    <w:rsid w:val="00F4627E"/>
    <w:rsid w:val="00F50826"/>
    <w:rsid w:val="00F5654D"/>
    <w:rsid w:val="00F56555"/>
    <w:rsid w:val="00F6102E"/>
    <w:rsid w:val="00F61089"/>
    <w:rsid w:val="00F67E51"/>
    <w:rsid w:val="00F706AC"/>
    <w:rsid w:val="00F721B3"/>
    <w:rsid w:val="00F81703"/>
    <w:rsid w:val="00F8654E"/>
    <w:rsid w:val="00F90226"/>
    <w:rsid w:val="00F9038F"/>
    <w:rsid w:val="00F92F94"/>
    <w:rsid w:val="00F97677"/>
    <w:rsid w:val="00FA05D5"/>
    <w:rsid w:val="00FA766F"/>
    <w:rsid w:val="00FA76D8"/>
    <w:rsid w:val="00FB267F"/>
    <w:rsid w:val="00FB2FFC"/>
    <w:rsid w:val="00FD0282"/>
    <w:rsid w:val="00FD2030"/>
    <w:rsid w:val="00FD390D"/>
    <w:rsid w:val="00FD58ED"/>
    <w:rsid w:val="00FD5E61"/>
    <w:rsid w:val="00FD6167"/>
    <w:rsid w:val="00FE018E"/>
    <w:rsid w:val="00FE71E9"/>
    <w:rsid w:val="00FF0D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14:docId w14:val="624CA387"/>
  <w15:chartTrackingRefBased/>
  <w15:docId w15:val="{B8B54DA8-54AB-46A6-BBF5-DD94BE86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after="480"/>
      <w:outlineLvl w:val="0"/>
    </w:pPr>
    <w:rPr>
      <w:rFonts w:ascii="Arial" w:hAnsi="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bloque">
    <w:name w:val="Block Text"/>
    <w:basedOn w:val="Normal"/>
    <w:semiHidden/>
    <w:pPr>
      <w:spacing w:after="120"/>
      <w:ind w:left="57" w:right="57"/>
      <w:jc w:val="both"/>
    </w:pPr>
    <w:rPr>
      <w:rFonts w:ascii="Arial" w:hAnsi="Arial"/>
      <w:snapToGrid w:val="0"/>
      <w:lang w:val="es-ES"/>
    </w:rPr>
  </w:style>
  <w:style w:type="paragraph" w:styleId="Textoindependiente">
    <w:name w:val="Body Text"/>
    <w:basedOn w:val="Normal"/>
    <w:link w:val="TextoindependienteCar"/>
    <w:uiPriority w:val="99"/>
    <w:semiHidden/>
    <w:unhideWhenUsed/>
    <w:rsid w:val="00F127B4"/>
    <w:pPr>
      <w:spacing w:after="120"/>
    </w:pPr>
  </w:style>
  <w:style w:type="character" w:customStyle="1" w:styleId="TextoindependienteCar">
    <w:name w:val="Texto independiente Car"/>
    <w:link w:val="Textoindependiente"/>
    <w:uiPriority w:val="99"/>
    <w:semiHidden/>
    <w:rsid w:val="00F127B4"/>
    <w:rPr>
      <w:rFonts w:cs="Arial"/>
      <w:lang w:val="es-ES_tradnl" w:bidi="or-IN"/>
    </w:rPr>
  </w:style>
  <w:style w:type="table" w:styleId="Tablaconcuadrcula">
    <w:name w:val="Table Grid"/>
    <w:basedOn w:val="Tablanormal"/>
    <w:uiPriority w:val="59"/>
    <w:rsid w:val="00F127B4"/>
    <w:rPr>
      <w:rFonts w:ascii="Tms Rm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D821D6"/>
    <w:rPr>
      <w:lang w:val="es-ES_tradnl"/>
    </w:rPr>
  </w:style>
  <w:style w:type="paragraph" w:styleId="Prrafodelista">
    <w:name w:val="List Paragraph"/>
    <w:basedOn w:val="Normal"/>
    <w:uiPriority w:val="1"/>
    <w:qFormat/>
    <w:rsid w:val="00841D3F"/>
    <w:pPr>
      <w:widowControl w:val="0"/>
      <w:autoSpaceDE w:val="0"/>
      <w:autoSpaceDN w:val="0"/>
      <w:ind w:left="972" w:hanging="361"/>
    </w:pPr>
    <w:rPr>
      <w:rFonts w:cs="Times New Roman"/>
      <w:sz w:val="22"/>
      <w:szCs w:val="22"/>
      <w:lang w:val="es-ES" w:eastAsia="en-US" w:bidi="ar-SA"/>
    </w:rPr>
  </w:style>
  <w:style w:type="paragraph" w:customStyle="1" w:styleId="Default">
    <w:name w:val="Default"/>
    <w:rsid w:val="008775FA"/>
    <w:pPr>
      <w:autoSpaceDE w:val="0"/>
      <w:autoSpaceDN w:val="0"/>
      <w:adjustRightInd w:val="0"/>
    </w:pPr>
    <w:rPr>
      <w:color w:val="000000"/>
      <w:sz w:val="24"/>
      <w:szCs w:val="24"/>
    </w:rPr>
  </w:style>
  <w:style w:type="character" w:styleId="Refdecomentario">
    <w:name w:val="annotation reference"/>
    <w:uiPriority w:val="99"/>
    <w:semiHidden/>
    <w:unhideWhenUsed/>
    <w:rsid w:val="00530C62"/>
    <w:rPr>
      <w:sz w:val="16"/>
      <w:szCs w:val="16"/>
    </w:rPr>
  </w:style>
  <w:style w:type="paragraph" w:styleId="Textocomentario">
    <w:name w:val="annotation text"/>
    <w:basedOn w:val="Normal"/>
    <w:link w:val="TextocomentarioCar"/>
    <w:uiPriority w:val="99"/>
    <w:semiHidden/>
    <w:unhideWhenUsed/>
    <w:rsid w:val="00530C62"/>
  </w:style>
  <w:style w:type="character" w:customStyle="1" w:styleId="TextocomentarioCar">
    <w:name w:val="Texto comentario Car"/>
    <w:link w:val="Textocomentario"/>
    <w:uiPriority w:val="99"/>
    <w:semiHidden/>
    <w:rsid w:val="00530C62"/>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530C62"/>
    <w:rPr>
      <w:b/>
      <w:bCs/>
    </w:rPr>
  </w:style>
  <w:style w:type="character" w:customStyle="1" w:styleId="AsuntodelcomentarioCar">
    <w:name w:val="Asunto del comentario Car"/>
    <w:link w:val="Asuntodelcomentario"/>
    <w:uiPriority w:val="99"/>
    <w:semiHidden/>
    <w:rsid w:val="00530C62"/>
    <w:rPr>
      <w:rFonts w:cs="Arial"/>
      <w:b/>
      <w:bCs/>
      <w:lang w:val="es-ES_tradnl" w:bidi="or-IN"/>
    </w:rPr>
  </w:style>
  <w:style w:type="paragraph" w:styleId="Textodeglobo">
    <w:name w:val="Balloon Text"/>
    <w:basedOn w:val="Normal"/>
    <w:link w:val="TextodegloboCar"/>
    <w:uiPriority w:val="99"/>
    <w:semiHidden/>
    <w:unhideWhenUsed/>
    <w:rsid w:val="00530C62"/>
    <w:rPr>
      <w:rFonts w:ascii="Segoe UI" w:hAnsi="Segoe UI" w:cs="Segoe UI"/>
      <w:sz w:val="18"/>
      <w:szCs w:val="18"/>
    </w:rPr>
  </w:style>
  <w:style w:type="character" w:customStyle="1" w:styleId="TextodegloboCar">
    <w:name w:val="Texto de globo Car"/>
    <w:link w:val="Textodeglobo"/>
    <w:uiPriority w:val="99"/>
    <w:semiHidden/>
    <w:rsid w:val="00530C62"/>
    <w:rPr>
      <w:rFonts w:ascii="Segoe UI" w:hAnsi="Segoe UI" w:cs="Segoe UI"/>
      <w:sz w:val="18"/>
      <w:szCs w:val="18"/>
      <w:lang w:val="es-ES_tradnl" w:bidi="or-IN"/>
    </w:rPr>
  </w:style>
  <w:style w:type="character" w:styleId="Hipervnculo">
    <w:name w:val="Hyperlink"/>
    <w:basedOn w:val="Fuentedeprrafopredeter"/>
    <w:uiPriority w:val="99"/>
    <w:unhideWhenUsed/>
    <w:rsid w:val="00E562EB"/>
    <w:rPr>
      <w:color w:val="0563C1" w:themeColor="hyperlink"/>
      <w:u w:val="single"/>
    </w:rPr>
  </w:style>
  <w:style w:type="character" w:styleId="Mencinsinresolver">
    <w:name w:val="Unresolved Mention"/>
    <w:basedOn w:val="Fuentedeprrafopredeter"/>
    <w:uiPriority w:val="99"/>
    <w:semiHidden/>
    <w:unhideWhenUsed/>
    <w:rsid w:val="00E562EB"/>
    <w:rPr>
      <w:color w:val="605E5C"/>
      <w:shd w:val="clear" w:color="auto" w:fill="E1DFDD"/>
    </w:rPr>
  </w:style>
  <w:style w:type="character" w:styleId="Hipervnculovisitado">
    <w:name w:val="FollowedHyperlink"/>
    <w:basedOn w:val="Fuentedeprrafopredeter"/>
    <w:uiPriority w:val="99"/>
    <w:semiHidden/>
    <w:unhideWhenUsed/>
    <w:rsid w:val="00861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4947">
      <w:bodyDiv w:val="1"/>
      <w:marLeft w:val="0"/>
      <w:marRight w:val="0"/>
      <w:marTop w:val="0"/>
      <w:marBottom w:val="0"/>
      <w:divBdr>
        <w:top w:val="none" w:sz="0" w:space="0" w:color="auto"/>
        <w:left w:val="none" w:sz="0" w:space="0" w:color="auto"/>
        <w:bottom w:val="none" w:sz="0" w:space="0" w:color="auto"/>
        <w:right w:val="none" w:sz="0" w:space="0" w:color="auto"/>
      </w:divBdr>
    </w:div>
    <w:div w:id="939491110">
      <w:bodyDiv w:val="1"/>
      <w:marLeft w:val="0"/>
      <w:marRight w:val="0"/>
      <w:marTop w:val="0"/>
      <w:marBottom w:val="0"/>
      <w:divBdr>
        <w:top w:val="none" w:sz="0" w:space="0" w:color="auto"/>
        <w:left w:val="none" w:sz="0" w:space="0" w:color="auto"/>
        <w:bottom w:val="none" w:sz="0" w:space="0" w:color="auto"/>
        <w:right w:val="none" w:sz="0" w:space="0" w:color="auto"/>
      </w:divBdr>
    </w:div>
    <w:div w:id="981346018">
      <w:bodyDiv w:val="1"/>
      <w:marLeft w:val="0"/>
      <w:marRight w:val="0"/>
      <w:marTop w:val="0"/>
      <w:marBottom w:val="0"/>
      <w:divBdr>
        <w:top w:val="none" w:sz="0" w:space="0" w:color="auto"/>
        <w:left w:val="none" w:sz="0" w:space="0" w:color="auto"/>
        <w:bottom w:val="none" w:sz="0" w:space="0" w:color="auto"/>
        <w:right w:val="none" w:sz="0" w:space="0" w:color="auto"/>
      </w:divBdr>
    </w:div>
    <w:div w:id="1050615134">
      <w:bodyDiv w:val="1"/>
      <w:marLeft w:val="0"/>
      <w:marRight w:val="0"/>
      <w:marTop w:val="0"/>
      <w:marBottom w:val="0"/>
      <w:divBdr>
        <w:top w:val="none" w:sz="0" w:space="0" w:color="auto"/>
        <w:left w:val="none" w:sz="0" w:space="0" w:color="auto"/>
        <w:bottom w:val="none" w:sz="0" w:space="0" w:color="auto"/>
        <w:right w:val="none" w:sz="0" w:space="0" w:color="auto"/>
      </w:divBdr>
    </w:div>
    <w:div w:id="1182014463">
      <w:bodyDiv w:val="1"/>
      <w:marLeft w:val="0"/>
      <w:marRight w:val="0"/>
      <w:marTop w:val="0"/>
      <w:marBottom w:val="0"/>
      <w:divBdr>
        <w:top w:val="none" w:sz="0" w:space="0" w:color="auto"/>
        <w:left w:val="none" w:sz="0" w:space="0" w:color="auto"/>
        <w:bottom w:val="none" w:sz="0" w:space="0" w:color="auto"/>
        <w:right w:val="none" w:sz="0" w:space="0" w:color="auto"/>
      </w:divBdr>
    </w:div>
    <w:div w:id="1339888084">
      <w:bodyDiv w:val="1"/>
      <w:marLeft w:val="0"/>
      <w:marRight w:val="0"/>
      <w:marTop w:val="0"/>
      <w:marBottom w:val="0"/>
      <w:divBdr>
        <w:top w:val="none" w:sz="0" w:space="0" w:color="auto"/>
        <w:left w:val="none" w:sz="0" w:space="0" w:color="auto"/>
        <w:bottom w:val="none" w:sz="0" w:space="0" w:color="auto"/>
        <w:right w:val="none" w:sz="0" w:space="0" w:color="auto"/>
      </w:divBdr>
    </w:div>
    <w:div w:id="1392189421">
      <w:bodyDiv w:val="1"/>
      <w:marLeft w:val="0"/>
      <w:marRight w:val="0"/>
      <w:marTop w:val="0"/>
      <w:marBottom w:val="0"/>
      <w:divBdr>
        <w:top w:val="none" w:sz="0" w:space="0" w:color="auto"/>
        <w:left w:val="none" w:sz="0" w:space="0" w:color="auto"/>
        <w:bottom w:val="none" w:sz="0" w:space="0" w:color="auto"/>
        <w:right w:val="none" w:sz="0" w:space="0" w:color="auto"/>
      </w:divBdr>
    </w:div>
    <w:div w:id="1426222678">
      <w:bodyDiv w:val="1"/>
      <w:marLeft w:val="0"/>
      <w:marRight w:val="0"/>
      <w:marTop w:val="0"/>
      <w:marBottom w:val="0"/>
      <w:divBdr>
        <w:top w:val="none" w:sz="0" w:space="0" w:color="auto"/>
        <w:left w:val="none" w:sz="0" w:space="0" w:color="auto"/>
        <w:bottom w:val="none" w:sz="0" w:space="0" w:color="auto"/>
        <w:right w:val="none" w:sz="0" w:space="0" w:color="auto"/>
      </w:divBdr>
    </w:div>
    <w:div w:id="1453942936">
      <w:bodyDiv w:val="1"/>
      <w:marLeft w:val="0"/>
      <w:marRight w:val="0"/>
      <w:marTop w:val="0"/>
      <w:marBottom w:val="0"/>
      <w:divBdr>
        <w:top w:val="none" w:sz="0" w:space="0" w:color="auto"/>
        <w:left w:val="none" w:sz="0" w:space="0" w:color="auto"/>
        <w:bottom w:val="none" w:sz="0" w:space="0" w:color="auto"/>
        <w:right w:val="none" w:sz="0" w:space="0" w:color="auto"/>
      </w:divBdr>
    </w:div>
    <w:div w:id="1592082291">
      <w:bodyDiv w:val="1"/>
      <w:marLeft w:val="0"/>
      <w:marRight w:val="0"/>
      <w:marTop w:val="0"/>
      <w:marBottom w:val="0"/>
      <w:divBdr>
        <w:top w:val="none" w:sz="0" w:space="0" w:color="auto"/>
        <w:left w:val="none" w:sz="0" w:space="0" w:color="auto"/>
        <w:bottom w:val="none" w:sz="0" w:space="0" w:color="auto"/>
        <w:right w:val="none" w:sz="0" w:space="0" w:color="auto"/>
      </w:divBdr>
    </w:div>
    <w:div w:id="1631353765">
      <w:bodyDiv w:val="1"/>
      <w:marLeft w:val="0"/>
      <w:marRight w:val="0"/>
      <w:marTop w:val="0"/>
      <w:marBottom w:val="0"/>
      <w:divBdr>
        <w:top w:val="none" w:sz="0" w:space="0" w:color="auto"/>
        <w:left w:val="none" w:sz="0" w:space="0" w:color="auto"/>
        <w:bottom w:val="none" w:sz="0" w:space="0" w:color="auto"/>
        <w:right w:val="none" w:sz="0" w:space="0" w:color="auto"/>
      </w:divBdr>
    </w:div>
    <w:div w:id="2036466120">
      <w:bodyDiv w:val="1"/>
      <w:marLeft w:val="0"/>
      <w:marRight w:val="0"/>
      <w:marTop w:val="0"/>
      <w:marBottom w:val="0"/>
      <w:divBdr>
        <w:top w:val="none" w:sz="0" w:space="0" w:color="auto"/>
        <w:left w:val="none" w:sz="0" w:space="0" w:color="auto"/>
        <w:bottom w:val="none" w:sz="0" w:space="0" w:color="auto"/>
        <w:right w:val="none" w:sz="0" w:space="0" w:color="auto"/>
      </w:divBdr>
    </w:div>
    <w:div w:id="20605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4491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Plantilla de Orden Foral a dos columnas</vt:lpstr>
    </vt:vector>
  </TitlesOfParts>
  <Company>DFA-AFA</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 a dos columnas</dc:title>
  <dc:subject/>
  <dc:creator>ORMORGADO_MANGE</dc:creator>
  <cp:keywords/>
  <cp:lastModifiedBy>Urien Salterain, Karoline</cp:lastModifiedBy>
  <cp:revision>3</cp:revision>
  <cp:lastPrinted>2025-09-08T07:31:00Z</cp:lastPrinted>
  <dcterms:created xsi:type="dcterms:W3CDTF">2025-11-05T12:45:00Z</dcterms:created>
  <dcterms:modified xsi:type="dcterms:W3CDTF">2025-11-10T10:30:00Z</dcterms:modified>
</cp:coreProperties>
</file>