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DD2F" w14:textId="77777777" w:rsidR="00697B0D" w:rsidRDefault="00BA755B">
      <w:pPr>
        <w:spacing w:after="1092" w:line="259" w:lineRule="auto"/>
        <w:ind w:left="0" w:right="0" w:firstLine="0"/>
        <w:jc w:val="left"/>
      </w:pPr>
      <w:r>
        <w:rPr>
          <w:noProof/>
        </w:rPr>
        <w:drawing>
          <wp:inline distT="0" distB="0" distL="0" distR="0" wp14:anchorId="3E0BDC7D" wp14:editId="68166F7D">
            <wp:extent cx="1566000" cy="12923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566000" cy="1292335"/>
                    </a:xfrm>
                    <a:prstGeom prst="rect">
                      <a:avLst/>
                    </a:prstGeom>
                  </pic:spPr>
                </pic:pic>
              </a:graphicData>
            </a:graphic>
          </wp:inline>
        </w:drawing>
      </w:r>
    </w:p>
    <w:p w14:paraId="5B910BE5" w14:textId="77777777" w:rsidR="00697B0D" w:rsidRDefault="00BA755B">
      <w:pPr>
        <w:spacing w:after="3" w:line="259" w:lineRule="auto"/>
        <w:ind w:left="-5" w:right="0" w:hanging="10"/>
        <w:jc w:val="left"/>
      </w:pP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w:t>
      </w:r>
    </w:p>
    <w:p w14:paraId="66823664" w14:textId="77777777" w:rsidR="00697B0D" w:rsidRDefault="00BA755B">
      <w:pPr>
        <w:spacing w:after="39" w:line="259" w:lineRule="auto"/>
        <w:ind w:left="-108" w:right="-75" w:firstLine="0"/>
        <w:jc w:val="left"/>
      </w:pPr>
      <w:r>
        <w:rPr>
          <w:rFonts w:ascii="Calibri" w:eastAsia="Calibri" w:hAnsi="Calibri" w:cs="Calibri"/>
          <w:noProof/>
        </w:rPr>
        <mc:AlternateContent>
          <mc:Choice Requires="wpg">
            <w:drawing>
              <wp:inline distT="0" distB="0" distL="0" distR="0" wp14:anchorId="3FC00493" wp14:editId="447C4009">
                <wp:extent cx="2700655" cy="6350"/>
                <wp:effectExtent l="0" t="0" r="0" b="0"/>
                <wp:docPr id="2365" name="Group 2365"/>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3" name="Shape 33"/>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5" style="width:212.65pt;height:0.5pt;mso-position-horizontal-relative:char;mso-position-vertical-relative:line" coordsize="27006,63">
                <v:shape id="Shape 33" style="position:absolute;width:27006;height:0;left:0;top:0;" coordsize="2700655,0" path="m0,0l2700655,0">
                  <v:stroke weight="0.5pt" endcap="flat" joinstyle="miter" miterlimit="10" on="true" color="#000000"/>
                  <v:fill on="false" color="#000000" opacity="0"/>
                </v:shape>
              </v:group>
            </w:pict>
          </mc:Fallback>
        </mc:AlternateContent>
      </w:r>
    </w:p>
    <w:p w14:paraId="2C6D913E" w14:textId="77777777" w:rsidR="00697B0D" w:rsidRDefault="00BA755B">
      <w:pPr>
        <w:spacing w:after="159" w:line="259" w:lineRule="auto"/>
        <w:ind w:left="-5" w:right="0" w:hanging="10"/>
        <w:jc w:val="left"/>
      </w:pPr>
      <w:r>
        <w:rPr>
          <w:rFonts w:ascii="Arial" w:eastAsia="Arial" w:hAnsi="Arial" w:cs="Arial"/>
          <w:sz w:val="16"/>
        </w:rPr>
        <w:t>01244-2025/00004</w:t>
      </w:r>
    </w:p>
    <w:p w14:paraId="0269B51E" w14:textId="77777777" w:rsidR="00697B0D" w:rsidRDefault="00BA755B">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DB181CB" wp14:editId="4DCD317F">
                <wp:simplePos x="0" y="0"/>
                <wp:positionH relativeFrom="column">
                  <wp:posOffset>-68579</wp:posOffset>
                </wp:positionH>
                <wp:positionV relativeFrom="paragraph">
                  <wp:posOffset>72029</wp:posOffset>
                </wp:positionV>
                <wp:extent cx="2700655" cy="6350"/>
                <wp:effectExtent l="0" t="0" r="0" b="0"/>
                <wp:wrapNone/>
                <wp:docPr id="2366" name="Group 2366"/>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4" name="Shape 34"/>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66" style="width:212.65pt;height:0.5pt;position:absolute;z-index:28;mso-position-horizontal-relative:text;mso-position-horizontal:absolute;margin-left:-5.4pt;mso-position-vertical-relative:text;margin-top:5.67154pt;" coordsize="27006,63">
                <v:shape id="Shape 34" style="position:absolute;width:27006;height:0;left:0;top:0;" coordsize="2700655,0" path="m0,0l2700655,0">
                  <v:stroke weight="0.5pt" endcap="flat" joinstyle="miter" miterlimit="10" on="true" color="#000000"/>
                  <v:fill on="false" color="#000000" opacity="0"/>
                </v:shape>
              </v:group>
            </w:pict>
          </mc:Fallback>
        </mc:AlternateContent>
      </w: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2C55FF37" w14:textId="77777777" w:rsidR="00697B0D" w:rsidRDefault="00BA755B">
      <w:pPr>
        <w:spacing w:after="51" w:line="259" w:lineRule="auto"/>
        <w:ind w:left="-5" w:right="0" w:hanging="10"/>
        <w:jc w:val="left"/>
      </w:pPr>
      <w:proofErr w:type="spellStart"/>
      <w:r>
        <w:rPr>
          <w:rFonts w:ascii="Arial" w:eastAsia="Arial" w:hAnsi="Arial" w:cs="Arial"/>
          <w:sz w:val="12"/>
        </w:rPr>
        <w:t>Enplegu</w:t>
      </w:r>
      <w:proofErr w:type="spellEnd"/>
      <w:r>
        <w:rPr>
          <w:rFonts w:ascii="Arial" w:eastAsia="Arial" w:hAnsi="Arial" w:cs="Arial"/>
          <w:sz w:val="12"/>
        </w:rPr>
        <w:t xml:space="preserve">, </w:t>
      </w:r>
      <w:proofErr w:type="spellStart"/>
      <w:r>
        <w:rPr>
          <w:rFonts w:ascii="Arial" w:eastAsia="Arial" w:hAnsi="Arial" w:cs="Arial"/>
          <w:sz w:val="12"/>
        </w:rPr>
        <w:t>Merkataritza</w:t>
      </w:r>
      <w:proofErr w:type="spellEnd"/>
      <w:r>
        <w:rPr>
          <w:rFonts w:ascii="Arial" w:eastAsia="Arial" w:hAnsi="Arial" w:cs="Arial"/>
          <w:sz w:val="12"/>
        </w:rPr>
        <w:t xml:space="preserve">, Turismo eta Foru </w:t>
      </w:r>
      <w:proofErr w:type="spellStart"/>
      <w:r>
        <w:rPr>
          <w:rFonts w:ascii="Arial" w:eastAsia="Arial" w:hAnsi="Arial" w:cs="Arial"/>
          <w:sz w:val="12"/>
        </w:rPr>
        <w:t>Administrazioaren</w:t>
      </w:r>
      <w:proofErr w:type="spellEnd"/>
      <w:r>
        <w:rPr>
          <w:rFonts w:ascii="Arial" w:eastAsia="Arial" w:hAnsi="Arial" w:cs="Arial"/>
          <w:sz w:val="12"/>
        </w:rPr>
        <w:t xml:space="preserve"> Saila / </w:t>
      </w:r>
    </w:p>
    <w:p w14:paraId="7A2CA71D" w14:textId="77777777" w:rsidR="00697B0D" w:rsidRDefault="00BA755B">
      <w:pPr>
        <w:spacing w:after="3" w:line="259" w:lineRule="auto"/>
        <w:ind w:left="-5" w:right="0" w:hanging="10"/>
        <w:jc w:val="left"/>
      </w:pPr>
      <w:r>
        <w:rPr>
          <w:rFonts w:ascii="Arial" w:eastAsia="Arial" w:hAnsi="Arial" w:cs="Arial"/>
          <w:sz w:val="12"/>
        </w:rPr>
        <w:t>Departamento de Empleo, Comercio, Turismo y Administración Foral</w:t>
      </w:r>
    </w:p>
    <w:p w14:paraId="37250B74" w14:textId="6E207D89" w:rsidR="00697B0D" w:rsidRDefault="00BA755B">
      <w:pPr>
        <w:spacing w:after="43" w:line="259" w:lineRule="auto"/>
        <w:ind w:left="-5" w:right="0" w:hanging="10"/>
        <w:jc w:val="left"/>
      </w:pPr>
      <w:proofErr w:type="spellStart"/>
      <w:r w:rsidRPr="00BA755B">
        <w:rPr>
          <w:rFonts w:ascii="Arial" w:eastAsia="Arial" w:hAnsi="Arial" w:cs="Arial"/>
          <w:b/>
          <w:sz w:val="18"/>
          <w:highlight w:val="black"/>
        </w:rPr>
        <w:t>xxxxx</w:t>
      </w:r>
      <w:proofErr w:type="spellEnd"/>
    </w:p>
    <w:p w14:paraId="23353CEE" w14:textId="77777777" w:rsidR="00697B0D" w:rsidRDefault="00697B0D">
      <w:pPr>
        <w:sectPr w:rsidR="00697B0D">
          <w:headerReference w:type="even" r:id="rId8"/>
          <w:headerReference w:type="first" r:id="rId9"/>
          <w:pgSz w:w="11907" w:h="16840"/>
          <w:pgMar w:top="284" w:right="1095" w:bottom="1440" w:left="1350" w:header="127" w:footer="720" w:gutter="0"/>
          <w:cols w:num="2" w:space="720" w:equalWidth="0">
            <w:col w:w="4070" w:space="466"/>
            <w:col w:w="4926"/>
          </w:cols>
        </w:sectPr>
      </w:pPr>
    </w:p>
    <w:p w14:paraId="4C6F3D7E" w14:textId="77777777" w:rsidR="00697B0D" w:rsidRDefault="00BA755B">
      <w:pPr>
        <w:tabs>
          <w:tab w:val="center" w:pos="6624"/>
        </w:tabs>
        <w:spacing w:after="187" w:line="259" w:lineRule="auto"/>
        <w:ind w:left="0" w:right="0" w:firstLine="0"/>
        <w:jc w:val="left"/>
      </w:pPr>
      <w:r>
        <w:rPr>
          <w:rFonts w:ascii="Arial" w:eastAsia="Arial" w:hAnsi="Arial" w:cs="Arial"/>
          <w:b/>
          <w:sz w:val="16"/>
        </w:rPr>
        <w:t xml:space="preserve">Gaia: </w:t>
      </w:r>
      <w:r>
        <w:rPr>
          <w:sz w:val="16"/>
        </w:rPr>
        <w:t xml:space="preserve">EBAZPENA </w:t>
      </w:r>
      <w:proofErr w:type="spellStart"/>
      <w:r>
        <w:rPr>
          <w:rFonts w:ascii="Arial" w:eastAsia="Arial" w:hAnsi="Arial" w:cs="Arial"/>
          <w:b/>
          <w:sz w:val="16"/>
        </w:rPr>
        <w:t>jakinaraztea</w:t>
      </w:r>
      <w:proofErr w:type="spellEnd"/>
      <w:r>
        <w:rPr>
          <w:rFonts w:ascii="Arial" w:eastAsia="Arial" w:hAnsi="Arial" w:cs="Arial"/>
          <w:b/>
          <w:sz w:val="16"/>
        </w:rPr>
        <w:t>.</w:t>
      </w:r>
      <w:r>
        <w:rPr>
          <w:rFonts w:ascii="Arial" w:eastAsia="Arial" w:hAnsi="Arial" w:cs="Arial"/>
          <w:b/>
          <w:sz w:val="16"/>
        </w:rPr>
        <w:tab/>
        <w:t xml:space="preserve">Asunto: Comunicación de </w:t>
      </w:r>
      <w:r>
        <w:rPr>
          <w:sz w:val="16"/>
        </w:rPr>
        <w:t>RESOLUCIÓN</w:t>
      </w:r>
    </w:p>
    <w:p w14:paraId="6296EC1A" w14:textId="77777777" w:rsidR="00697B0D" w:rsidRDefault="00BA755B">
      <w:pPr>
        <w:tabs>
          <w:tab w:val="right" w:pos="9708"/>
        </w:tabs>
        <w:spacing w:after="0" w:line="259" w:lineRule="auto"/>
        <w:ind w:left="-15" w:right="0" w:firstLine="0"/>
        <w:jc w:val="left"/>
      </w:pPr>
      <w:r>
        <w:rPr>
          <w:rFonts w:ascii="Arial" w:eastAsia="Arial" w:hAnsi="Arial" w:cs="Arial"/>
          <w:sz w:val="16"/>
        </w:rPr>
        <w:t xml:space="preserve">Funtzio </w:t>
      </w:r>
      <w:proofErr w:type="spellStart"/>
      <w:r>
        <w:rPr>
          <w:rFonts w:ascii="Arial" w:eastAsia="Arial" w:hAnsi="Arial" w:cs="Arial"/>
          <w:sz w:val="16"/>
        </w:rPr>
        <w:t>Publikoko</w:t>
      </w:r>
      <w:proofErr w:type="spellEnd"/>
      <w:r>
        <w:rPr>
          <w:rFonts w:ascii="Arial" w:eastAsia="Arial" w:hAnsi="Arial" w:cs="Arial"/>
          <w:sz w:val="16"/>
        </w:rPr>
        <w:t xml:space="preserve"> </w:t>
      </w:r>
      <w:proofErr w:type="spellStart"/>
      <w:r>
        <w:rPr>
          <w:rFonts w:ascii="Arial" w:eastAsia="Arial" w:hAnsi="Arial" w:cs="Arial"/>
          <w:sz w:val="16"/>
        </w:rPr>
        <w:t>Zuzendariak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data </w:t>
      </w:r>
      <w:r>
        <w:rPr>
          <w:rFonts w:ascii="Arial" w:eastAsia="Arial" w:hAnsi="Arial" w:cs="Arial"/>
          <w:sz w:val="16"/>
        </w:rPr>
        <w:tab/>
        <w:t xml:space="preserve">La </w:t>
      </w:r>
      <w:proofErr w:type="gramStart"/>
      <w:r>
        <w:rPr>
          <w:rFonts w:ascii="Arial" w:eastAsia="Arial" w:hAnsi="Arial" w:cs="Arial"/>
          <w:sz w:val="16"/>
        </w:rPr>
        <w:t>Directora</w:t>
      </w:r>
      <w:proofErr w:type="gramEnd"/>
      <w:r>
        <w:rPr>
          <w:rFonts w:ascii="Arial" w:eastAsia="Arial" w:hAnsi="Arial" w:cs="Arial"/>
          <w:sz w:val="16"/>
        </w:rPr>
        <w:t xml:space="preserve"> de Función Pública, se ha servido dictar la siguiente </w:t>
      </w:r>
    </w:p>
    <w:tbl>
      <w:tblPr>
        <w:tblStyle w:val="TableGrid"/>
        <w:tblW w:w="9212" w:type="dxa"/>
        <w:tblInd w:w="0" w:type="dxa"/>
        <w:tblLook w:val="04A0" w:firstRow="1" w:lastRow="0" w:firstColumn="1" w:lastColumn="0" w:noHBand="0" w:noVBand="1"/>
      </w:tblPr>
      <w:tblGrid>
        <w:gridCol w:w="4391"/>
        <w:gridCol w:w="996"/>
        <w:gridCol w:w="4108"/>
      </w:tblGrid>
      <w:tr w:rsidR="00697B0D" w14:paraId="04743EC7" w14:textId="77777777">
        <w:trPr>
          <w:trHeight w:val="351"/>
        </w:trPr>
        <w:tc>
          <w:tcPr>
            <w:tcW w:w="2772" w:type="dxa"/>
            <w:tcBorders>
              <w:top w:val="nil"/>
              <w:left w:val="nil"/>
              <w:bottom w:val="nil"/>
              <w:right w:val="nil"/>
            </w:tcBorders>
          </w:tcPr>
          <w:p w14:paraId="52EC9FC6" w14:textId="77777777" w:rsidR="00697B0D" w:rsidRDefault="00BA755B">
            <w:pPr>
              <w:spacing w:after="0" w:line="259" w:lineRule="auto"/>
              <w:ind w:left="0" w:right="0" w:firstLine="0"/>
              <w:jc w:val="left"/>
            </w:pPr>
            <w:proofErr w:type="spellStart"/>
            <w:r>
              <w:rPr>
                <w:rFonts w:ascii="Arial" w:eastAsia="Arial" w:hAnsi="Arial" w:cs="Arial"/>
                <w:sz w:val="16"/>
              </w:rPr>
              <w:t>honetan</w:t>
            </w:r>
            <w:proofErr w:type="spellEnd"/>
            <w:r>
              <w:rPr>
                <w:rFonts w:ascii="Arial" w:eastAsia="Arial" w:hAnsi="Arial" w:cs="Arial"/>
                <w:sz w:val="16"/>
              </w:rPr>
              <w:t>.</w:t>
            </w:r>
          </w:p>
        </w:tc>
        <w:tc>
          <w:tcPr>
            <w:tcW w:w="2332" w:type="dxa"/>
            <w:tcBorders>
              <w:top w:val="nil"/>
              <w:left w:val="nil"/>
              <w:bottom w:val="nil"/>
              <w:right w:val="nil"/>
            </w:tcBorders>
          </w:tcPr>
          <w:p w14:paraId="5ABA5235" w14:textId="77777777" w:rsidR="00697B0D" w:rsidRDefault="00697B0D">
            <w:pPr>
              <w:spacing w:after="160" w:line="259" w:lineRule="auto"/>
              <w:ind w:left="0" w:right="0" w:firstLine="0"/>
              <w:jc w:val="left"/>
            </w:pPr>
          </w:p>
        </w:tc>
        <w:tc>
          <w:tcPr>
            <w:tcW w:w="4108" w:type="dxa"/>
            <w:tcBorders>
              <w:top w:val="nil"/>
              <w:left w:val="nil"/>
              <w:bottom w:val="nil"/>
              <w:right w:val="nil"/>
            </w:tcBorders>
          </w:tcPr>
          <w:p w14:paraId="38F0AEF2" w14:textId="77777777" w:rsidR="00697B0D" w:rsidRDefault="00BA755B">
            <w:pPr>
              <w:spacing w:after="0" w:line="259" w:lineRule="auto"/>
              <w:ind w:left="0" w:right="0" w:firstLine="0"/>
              <w:jc w:val="left"/>
            </w:pPr>
            <w:r>
              <w:rPr>
                <w:rFonts w:ascii="Arial" w:eastAsia="Arial" w:hAnsi="Arial" w:cs="Arial"/>
                <w:sz w:val="16"/>
              </w:rPr>
              <w:t>Resolución, en la fecha que se señala.</w:t>
            </w:r>
          </w:p>
        </w:tc>
      </w:tr>
      <w:tr w:rsidR="00697B0D" w14:paraId="41B6A6D1" w14:textId="77777777">
        <w:trPr>
          <w:trHeight w:val="354"/>
        </w:trPr>
        <w:tc>
          <w:tcPr>
            <w:tcW w:w="2772" w:type="dxa"/>
            <w:tcBorders>
              <w:top w:val="nil"/>
              <w:left w:val="nil"/>
              <w:bottom w:val="nil"/>
              <w:right w:val="nil"/>
            </w:tcBorders>
            <w:vAlign w:val="bottom"/>
          </w:tcPr>
          <w:p w14:paraId="7A9908FE" w14:textId="77777777" w:rsidR="00697B0D" w:rsidRDefault="00BA755B">
            <w:pPr>
              <w:spacing w:after="0" w:line="259" w:lineRule="auto"/>
              <w:ind w:left="525" w:right="0" w:firstLine="0"/>
              <w:jc w:val="left"/>
            </w:pPr>
            <w:proofErr w:type="spellStart"/>
            <w:r>
              <w:rPr>
                <w:rFonts w:ascii="Arial" w:eastAsia="Arial" w:hAnsi="Arial" w:cs="Arial"/>
                <w:b/>
                <w:sz w:val="16"/>
              </w:rPr>
              <w:t>Ebazpenaren</w:t>
            </w:r>
            <w:proofErr w:type="spellEnd"/>
            <w:r>
              <w:rPr>
                <w:rFonts w:ascii="Arial" w:eastAsia="Arial" w:hAnsi="Arial" w:cs="Arial"/>
                <w:b/>
                <w:sz w:val="16"/>
              </w:rPr>
              <w:t xml:space="preserve"> data</w:t>
            </w:r>
          </w:p>
        </w:tc>
        <w:tc>
          <w:tcPr>
            <w:tcW w:w="2332" w:type="dxa"/>
            <w:tcBorders>
              <w:top w:val="nil"/>
              <w:left w:val="nil"/>
              <w:bottom w:val="nil"/>
              <w:right w:val="nil"/>
            </w:tcBorders>
            <w:vAlign w:val="bottom"/>
          </w:tcPr>
          <w:p w14:paraId="5BFAFB06" w14:textId="77777777" w:rsidR="00697B0D" w:rsidRDefault="00BA755B">
            <w:pPr>
              <w:spacing w:after="0" w:line="259" w:lineRule="auto"/>
              <w:ind w:left="0" w:right="0" w:firstLine="0"/>
              <w:jc w:val="left"/>
            </w:pPr>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p>
        </w:tc>
        <w:tc>
          <w:tcPr>
            <w:tcW w:w="4108" w:type="dxa"/>
            <w:tcBorders>
              <w:top w:val="nil"/>
              <w:left w:val="nil"/>
              <w:bottom w:val="nil"/>
              <w:right w:val="nil"/>
            </w:tcBorders>
            <w:vAlign w:val="bottom"/>
          </w:tcPr>
          <w:p w14:paraId="467CEDAC" w14:textId="77777777" w:rsidR="00697B0D" w:rsidRDefault="00BA755B">
            <w:pPr>
              <w:tabs>
                <w:tab w:val="center" w:pos="1131"/>
                <w:tab w:val="center" w:pos="3116"/>
              </w:tabs>
              <w:spacing w:after="0" w:line="259" w:lineRule="auto"/>
              <w:ind w:left="0" w:right="0" w:firstLine="0"/>
              <w:jc w:val="left"/>
            </w:pPr>
            <w:r>
              <w:rPr>
                <w:rFonts w:ascii="Calibri" w:eastAsia="Calibri" w:hAnsi="Calibri" w:cs="Calibri"/>
              </w:rPr>
              <w:tab/>
            </w:r>
            <w:r>
              <w:rPr>
                <w:rFonts w:ascii="Arial" w:eastAsia="Arial" w:hAnsi="Arial" w:cs="Arial"/>
                <w:b/>
                <w:sz w:val="16"/>
              </w:rPr>
              <w:t>Fecha Resolución</w:t>
            </w:r>
            <w:r>
              <w:rPr>
                <w:rFonts w:ascii="Arial" w:eastAsia="Arial" w:hAnsi="Arial" w:cs="Arial"/>
                <w:b/>
                <w:sz w:val="16"/>
              </w:rPr>
              <w:tab/>
            </w:r>
            <w:proofErr w:type="spellStart"/>
            <w:r>
              <w:rPr>
                <w:rFonts w:ascii="Arial" w:eastAsia="Arial" w:hAnsi="Arial" w:cs="Arial"/>
                <w:b/>
                <w:sz w:val="16"/>
              </w:rPr>
              <w:t>Nº</w:t>
            </w:r>
            <w:proofErr w:type="spellEnd"/>
            <w:r>
              <w:rPr>
                <w:rFonts w:ascii="Arial" w:eastAsia="Arial" w:hAnsi="Arial" w:cs="Arial"/>
                <w:b/>
                <w:sz w:val="16"/>
              </w:rPr>
              <w:t xml:space="preserve"> Resolución</w:t>
            </w:r>
          </w:p>
        </w:tc>
      </w:tr>
      <w:tr w:rsidR="00697B0D" w14:paraId="01C23452" w14:textId="77777777">
        <w:trPr>
          <w:trHeight w:val="30"/>
        </w:trPr>
        <w:tc>
          <w:tcPr>
            <w:tcW w:w="2772" w:type="dxa"/>
            <w:tcBorders>
              <w:top w:val="nil"/>
              <w:left w:val="nil"/>
              <w:bottom w:val="nil"/>
              <w:right w:val="nil"/>
            </w:tcBorders>
            <w:vAlign w:val="bottom"/>
          </w:tcPr>
          <w:p w14:paraId="172A76C5" w14:textId="77777777" w:rsidR="00697B0D" w:rsidRDefault="00BA755B">
            <w:pPr>
              <w:spacing w:after="0" w:line="259" w:lineRule="auto"/>
              <w:ind w:left="14" w:right="-1619" w:firstLine="0"/>
              <w:jc w:val="left"/>
            </w:pPr>
            <w:r>
              <w:rPr>
                <w:rFonts w:ascii="Calibri" w:eastAsia="Calibri" w:hAnsi="Calibri" w:cs="Calibri"/>
                <w:noProof/>
              </w:rPr>
              <mc:AlternateContent>
                <mc:Choice Requires="wpg">
                  <w:drawing>
                    <wp:inline distT="0" distB="0" distL="0" distR="0" wp14:anchorId="53F0AC94" wp14:editId="531982A1">
                      <wp:extent cx="2779395" cy="6350"/>
                      <wp:effectExtent l="0" t="0" r="0" b="0"/>
                      <wp:docPr id="2696" name="Group 2696"/>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43" name="Shape 43"/>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96" style="width:218.85pt;height:0.5pt;mso-position-horizontal-relative:char;mso-position-vertical-relative:line" coordsize="27793,63">
                      <v:shape id="Shape 43" style="position:absolute;width:27793;height:0;left:0;top:0;" coordsize="2779395,0" path="m0,0l2779395,0">
                        <v:stroke weight="0.5pt" endcap="flat" joinstyle="miter" miterlimit="10" on="true" color="#000000"/>
                        <v:fill on="false" color="#000000" opacity="0"/>
                      </v:shape>
                    </v:group>
                  </w:pict>
                </mc:Fallback>
              </mc:AlternateContent>
            </w:r>
          </w:p>
        </w:tc>
        <w:tc>
          <w:tcPr>
            <w:tcW w:w="2332" w:type="dxa"/>
            <w:tcBorders>
              <w:top w:val="nil"/>
              <w:left w:val="nil"/>
              <w:bottom w:val="nil"/>
              <w:right w:val="nil"/>
            </w:tcBorders>
          </w:tcPr>
          <w:p w14:paraId="531B2B0C" w14:textId="77777777" w:rsidR="00697B0D" w:rsidRDefault="00697B0D">
            <w:pPr>
              <w:spacing w:after="160" w:line="259" w:lineRule="auto"/>
              <w:ind w:left="0" w:right="0" w:firstLine="0"/>
              <w:jc w:val="left"/>
            </w:pPr>
          </w:p>
        </w:tc>
        <w:tc>
          <w:tcPr>
            <w:tcW w:w="4108" w:type="dxa"/>
            <w:tcBorders>
              <w:top w:val="nil"/>
              <w:left w:val="nil"/>
              <w:bottom w:val="nil"/>
              <w:right w:val="nil"/>
            </w:tcBorders>
            <w:vAlign w:val="bottom"/>
          </w:tcPr>
          <w:p w14:paraId="544F5023" w14:textId="77777777" w:rsidR="00697B0D" w:rsidRDefault="00BA755B">
            <w:pPr>
              <w:spacing w:after="0" w:line="259" w:lineRule="auto"/>
              <w:ind w:left="138" w:right="0" w:firstLine="0"/>
              <w:jc w:val="left"/>
            </w:pPr>
            <w:r>
              <w:rPr>
                <w:rFonts w:ascii="Calibri" w:eastAsia="Calibri" w:hAnsi="Calibri" w:cs="Calibri"/>
                <w:noProof/>
              </w:rPr>
              <mc:AlternateContent>
                <mc:Choice Requires="wpg">
                  <w:drawing>
                    <wp:inline distT="0" distB="0" distL="0" distR="0" wp14:anchorId="14B544AA" wp14:editId="0917F000">
                      <wp:extent cx="2520950" cy="6350"/>
                      <wp:effectExtent l="0" t="0" r="0" b="0"/>
                      <wp:docPr id="2700" name="Group 2700"/>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44" name="Shape 44"/>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00" style="width:198.5pt;height:0.5pt;mso-position-horizontal-relative:char;mso-position-vertical-relative:line" coordsize="25209,63">
                      <v:shape id="Shape 44" style="position:absolute;width:25209;height:0;left:0;top:0;" coordsize="2520950,0" path="m0,0l2520950,0">
                        <v:stroke weight="0.5pt" endcap="flat" joinstyle="miter" miterlimit="10" on="true" color="#000000"/>
                        <v:fill on="false" color="#000000" opacity="0"/>
                      </v:shape>
                    </v:group>
                  </w:pict>
                </mc:Fallback>
              </mc:AlternateContent>
            </w:r>
          </w:p>
        </w:tc>
      </w:tr>
      <w:tr w:rsidR="00697B0D" w14:paraId="6AFF19DB" w14:textId="77777777">
        <w:trPr>
          <w:trHeight w:val="178"/>
        </w:trPr>
        <w:tc>
          <w:tcPr>
            <w:tcW w:w="2772" w:type="dxa"/>
            <w:tcBorders>
              <w:top w:val="nil"/>
              <w:left w:val="nil"/>
              <w:bottom w:val="nil"/>
              <w:right w:val="nil"/>
            </w:tcBorders>
          </w:tcPr>
          <w:p w14:paraId="125DECF5" w14:textId="77777777" w:rsidR="00697B0D" w:rsidRDefault="00BA755B">
            <w:pPr>
              <w:spacing w:after="0" w:line="259" w:lineRule="auto"/>
              <w:ind w:left="899" w:right="0" w:firstLine="0"/>
              <w:jc w:val="left"/>
            </w:pPr>
            <w:r>
              <w:rPr>
                <w:rFonts w:ascii="Arial" w:eastAsia="Arial" w:hAnsi="Arial" w:cs="Arial"/>
                <w:sz w:val="16"/>
              </w:rPr>
              <w:t>25/02/07</w:t>
            </w:r>
          </w:p>
        </w:tc>
        <w:tc>
          <w:tcPr>
            <w:tcW w:w="2332" w:type="dxa"/>
            <w:tcBorders>
              <w:top w:val="nil"/>
              <w:left w:val="nil"/>
              <w:bottom w:val="nil"/>
              <w:right w:val="nil"/>
            </w:tcBorders>
          </w:tcPr>
          <w:p w14:paraId="38582B34" w14:textId="77777777" w:rsidR="00697B0D" w:rsidRDefault="00BA755B">
            <w:pPr>
              <w:spacing w:after="0" w:line="259" w:lineRule="auto"/>
              <w:ind w:left="493" w:right="0" w:firstLine="0"/>
              <w:jc w:val="left"/>
            </w:pPr>
            <w:r>
              <w:rPr>
                <w:rFonts w:ascii="Arial" w:eastAsia="Arial" w:hAnsi="Arial" w:cs="Arial"/>
                <w:sz w:val="16"/>
              </w:rPr>
              <w:t>962</w:t>
            </w:r>
          </w:p>
        </w:tc>
        <w:tc>
          <w:tcPr>
            <w:tcW w:w="4108" w:type="dxa"/>
            <w:tcBorders>
              <w:top w:val="nil"/>
              <w:left w:val="nil"/>
              <w:bottom w:val="nil"/>
              <w:right w:val="nil"/>
            </w:tcBorders>
          </w:tcPr>
          <w:p w14:paraId="297E3D36" w14:textId="77777777" w:rsidR="00697B0D" w:rsidRDefault="00BA755B">
            <w:pPr>
              <w:tabs>
                <w:tab w:val="center" w:pos="1131"/>
                <w:tab w:val="center" w:pos="3115"/>
              </w:tabs>
              <w:spacing w:after="0" w:line="259" w:lineRule="auto"/>
              <w:ind w:left="0" w:right="0" w:firstLine="0"/>
              <w:jc w:val="left"/>
            </w:pPr>
            <w:r>
              <w:rPr>
                <w:rFonts w:ascii="Calibri" w:eastAsia="Calibri" w:hAnsi="Calibri" w:cs="Calibri"/>
              </w:rPr>
              <w:tab/>
            </w:r>
            <w:r>
              <w:rPr>
                <w:rFonts w:ascii="Arial" w:eastAsia="Arial" w:hAnsi="Arial" w:cs="Arial"/>
                <w:sz w:val="16"/>
              </w:rPr>
              <w:t>07/02/2025</w:t>
            </w:r>
            <w:r>
              <w:rPr>
                <w:rFonts w:ascii="Arial" w:eastAsia="Arial" w:hAnsi="Arial" w:cs="Arial"/>
                <w:sz w:val="16"/>
              </w:rPr>
              <w:tab/>
              <w:t>962</w:t>
            </w:r>
          </w:p>
        </w:tc>
      </w:tr>
    </w:tbl>
    <w:p w14:paraId="578FCD36" w14:textId="77777777" w:rsidR="00697B0D" w:rsidRDefault="00BA755B">
      <w:pPr>
        <w:pStyle w:val="Ttulo1"/>
      </w:pPr>
      <w:r>
        <w:t>RESOLUCIÓN</w:t>
      </w:r>
    </w:p>
    <w:p w14:paraId="42C064C3" w14:textId="2B70977B" w:rsidR="00697B0D" w:rsidRDefault="00BA755B">
      <w:pPr>
        <w:spacing w:after="350"/>
        <w:ind w:left="347"/>
      </w:pPr>
      <w:r>
        <w:t xml:space="preserve">Servicio de Secretaría Técnica de Función Pública </w:t>
      </w:r>
      <w:proofErr w:type="spellStart"/>
      <w:r>
        <w:t>Nº</w:t>
      </w:r>
      <w:proofErr w:type="spellEnd"/>
      <w:r>
        <w:t xml:space="preserve"> </w:t>
      </w:r>
      <w:proofErr w:type="spellStart"/>
      <w:r>
        <w:t>expte</w:t>
      </w:r>
      <w:proofErr w:type="spellEnd"/>
      <w:r>
        <w:t>.: 230/2025</w:t>
      </w:r>
    </w:p>
    <w:p w14:paraId="69E66601" w14:textId="3B4802B5" w:rsidR="00697B0D" w:rsidRDefault="00BA755B">
      <w:pPr>
        <w:spacing w:after="350"/>
        <w:ind w:left="347" w:right="979" w:hanging="10"/>
      </w:pPr>
      <w:r>
        <w:rPr>
          <w:b/>
        </w:rPr>
        <w:t xml:space="preserve">Inadmitir la solicitud de acceso a información pública presentada por </w:t>
      </w:r>
      <w:proofErr w:type="spellStart"/>
      <w:r w:rsidRPr="00BA755B">
        <w:rPr>
          <w:b/>
          <w:highlight w:val="black"/>
        </w:rPr>
        <w:t>xxxxx</w:t>
      </w:r>
      <w:proofErr w:type="spellEnd"/>
      <w:r>
        <w:rPr>
          <w:b/>
        </w:rPr>
        <w:t xml:space="preserve"> en lo relativo a la información requerida no publicada en el Portal de empleo por no obrar la misma en poder de esta Dirección.</w:t>
      </w:r>
    </w:p>
    <w:p w14:paraId="46E4140C" w14:textId="05A28A58" w:rsidR="00697B0D" w:rsidRDefault="00BA755B">
      <w:pPr>
        <w:ind w:left="347" w:right="837"/>
      </w:pPr>
      <w:r>
        <w:t xml:space="preserve">En fecha 28 de enero de 2025 </w:t>
      </w:r>
      <w:proofErr w:type="spellStart"/>
      <w:r w:rsidRPr="00BA755B">
        <w:rPr>
          <w:highlight w:val="black"/>
        </w:rPr>
        <w:t>xxxxx</w:t>
      </w:r>
      <w:proofErr w:type="spellEnd"/>
      <w:r>
        <w:t xml:space="preserve"> solicita los ejercicios de las últimas cinco pruebas teóricas y teórica práctica para preparar las pruebas de la convocatoria del proceso selectivo para el ingreso como funcionario/a de carrera en la escala de administración especial, subescala técnica, clase técnico/a medio/a, ingeniero/a técnico de obras públicas, subgrupo de clasificación A2, de la Diputación Foral de Álava correspondiente a las ofertas públicas de empleo de 2021 y 2022.</w:t>
      </w:r>
    </w:p>
    <w:p w14:paraId="36E1E87A" w14:textId="77777777" w:rsidR="00697B0D" w:rsidRDefault="00BA755B">
      <w:pPr>
        <w:ind w:left="347" w:right="837"/>
      </w:pPr>
      <w:r>
        <w:t xml:space="preserve">Desde 2007 se han realizado cuatro convocatorias de plazas de Ingeniero/a Técnico/a de Obras Públicas: OPE 2007 (código </w:t>
      </w:r>
      <w:r>
        <w:rPr>
          <w:rFonts w:ascii="Calibri" w:eastAsia="Calibri" w:hAnsi="Calibri" w:cs="Calibri"/>
        </w:rPr>
        <w:t>2417)</w:t>
      </w:r>
      <w:r>
        <w:t>, las OPE excepcional (Código 2522) y la especial del año 2022 (Código 21222), y la referida por el interesado (código 2421).</w:t>
      </w:r>
    </w:p>
    <w:p w14:paraId="13A05B2D" w14:textId="77777777" w:rsidR="00697B0D" w:rsidRDefault="00BA755B">
      <w:pPr>
        <w:ind w:left="347" w:right="837"/>
      </w:pPr>
      <w:r>
        <w:t>Toda la información relativa a dichas pruebas que obran en los expedientes se encuentra publicada en el portal de empleo de esta Diputación Foral (</w:t>
      </w:r>
      <w:hyperlink r:id="rId10">
        <w:r>
          <w:rPr>
            <w:color w:val="0000FF"/>
            <w:u w:val="single" w:color="0000FF"/>
          </w:rPr>
          <w:t>https://www.araba.eus/PortalEmpleo</w:t>
        </w:r>
      </w:hyperlink>
      <w:hyperlink r:id="rId11">
        <w:r>
          <w:t>)</w:t>
        </w:r>
      </w:hyperlink>
      <w:r>
        <w:t>.</w:t>
      </w:r>
    </w:p>
    <w:p w14:paraId="09D6926F" w14:textId="77777777" w:rsidR="00697B0D" w:rsidRDefault="00BA755B">
      <w:pPr>
        <w:spacing w:after="155"/>
        <w:ind w:left="347" w:right="837"/>
      </w:pPr>
      <w:r>
        <w:t>El plazo máximo para resolver y notificar es de un mes – ex. art.35.2 de la Norma Foral 1/2017, de 8 febrero, de transparencia, participación ciudadana y buen gobierno del sector público del Territorio Histórico de Álava, en adelante «NF 1/2017»; en relación con el art. 20.1 LTAIBG, entendiéndose que transcurrido el mismo la solicitud ha sido desestimada.</w:t>
      </w:r>
    </w:p>
    <w:p w14:paraId="07BC71F0" w14:textId="5C548C85" w:rsidR="00697B0D" w:rsidRDefault="00697B0D">
      <w:pPr>
        <w:spacing w:after="0" w:line="259" w:lineRule="auto"/>
        <w:ind w:left="-245" w:right="0" w:firstLine="0"/>
        <w:jc w:val="left"/>
      </w:pPr>
    </w:p>
    <w:p w14:paraId="636BADD9" w14:textId="77777777" w:rsidR="00697B0D" w:rsidRDefault="00BA755B">
      <w:pPr>
        <w:ind w:left="347" w:right="837"/>
      </w:pPr>
      <w:r>
        <w:t>El artículo 18.1 LTAIBG, establece las causas de inadmisión de las solicitudes:</w:t>
      </w:r>
    </w:p>
    <w:p w14:paraId="34F9375F" w14:textId="77777777" w:rsidR="00697B0D" w:rsidRDefault="00BA755B">
      <w:pPr>
        <w:spacing w:after="5" w:line="248" w:lineRule="auto"/>
        <w:ind w:left="347" w:right="979"/>
      </w:pPr>
      <w:r>
        <w:rPr>
          <w:i/>
          <w:sz w:val="20"/>
        </w:rPr>
        <w:t>«1. Se inadmitirán a trámite, mediante resolución motivada, las solicitudes:</w:t>
      </w:r>
    </w:p>
    <w:p w14:paraId="57CE13AC" w14:textId="77777777" w:rsidR="00697B0D" w:rsidRDefault="00BA755B">
      <w:pPr>
        <w:numPr>
          <w:ilvl w:val="0"/>
          <w:numId w:val="1"/>
        </w:numPr>
        <w:spacing w:after="5" w:line="248" w:lineRule="auto"/>
        <w:ind w:right="979" w:hanging="217"/>
      </w:pPr>
      <w:r>
        <w:rPr>
          <w:i/>
          <w:sz w:val="20"/>
        </w:rPr>
        <w:t>Que se refieran a información que esté en curso de elaboración o de publicación general.</w:t>
      </w:r>
    </w:p>
    <w:p w14:paraId="17D5975C" w14:textId="77777777" w:rsidR="00697B0D" w:rsidRDefault="00BA755B">
      <w:pPr>
        <w:numPr>
          <w:ilvl w:val="0"/>
          <w:numId w:val="1"/>
        </w:numPr>
        <w:spacing w:after="5" w:line="248" w:lineRule="auto"/>
        <w:ind w:right="979" w:hanging="217"/>
      </w:pPr>
      <w:r>
        <w:rPr>
          <w:i/>
          <w:sz w:val="20"/>
        </w:rPr>
        <w:t>Referidas a información que tenga carácter auxiliar o de apoyo como la contenida en notas, borradores, opiniones, resúmenes, comunicaciones e informes internos o entre órganos o entidades administrativas.</w:t>
      </w:r>
    </w:p>
    <w:p w14:paraId="781C7125" w14:textId="77777777" w:rsidR="00697B0D" w:rsidRDefault="00BA755B">
      <w:pPr>
        <w:numPr>
          <w:ilvl w:val="0"/>
          <w:numId w:val="1"/>
        </w:numPr>
        <w:spacing w:after="5" w:line="248" w:lineRule="auto"/>
        <w:ind w:right="979" w:hanging="217"/>
      </w:pPr>
      <w:r>
        <w:rPr>
          <w:i/>
          <w:sz w:val="20"/>
        </w:rPr>
        <w:t>Relativas a información para cuya divulgación sea necesaria una acción previa de reelaboración.</w:t>
      </w:r>
    </w:p>
    <w:p w14:paraId="762D98A4" w14:textId="77777777" w:rsidR="00697B0D" w:rsidRDefault="00BA755B">
      <w:pPr>
        <w:numPr>
          <w:ilvl w:val="0"/>
          <w:numId w:val="1"/>
        </w:numPr>
        <w:spacing w:after="5" w:line="248" w:lineRule="auto"/>
        <w:ind w:right="979" w:hanging="217"/>
      </w:pPr>
      <w:r>
        <w:rPr>
          <w:i/>
          <w:sz w:val="20"/>
        </w:rPr>
        <w:t xml:space="preserve">Dirigidas a un órgano </w:t>
      </w:r>
      <w:r>
        <w:rPr>
          <w:b/>
          <w:i/>
          <w:sz w:val="20"/>
        </w:rPr>
        <w:t>en cuyo poder no obre la información</w:t>
      </w:r>
      <w:r>
        <w:rPr>
          <w:i/>
          <w:sz w:val="20"/>
        </w:rPr>
        <w:t xml:space="preserve"> cuando se desconozca el competente.</w:t>
      </w:r>
    </w:p>
    <w:p w14:paraId="4E45C3B0" w14:textId="77777777" w:rsidR="00697B0D" w:rsidRDefault="00BA755B">
      <w:pPr>
        <w:numPr>
          <w:ilvl w:val="0"/>
          <w:numId w:val="1"/>
        </w:numPr>
        <w:spacing w:after="393" w:line="344" w:lineRule="auto"/>
        <w:ind w:right="979" w:hanging="217"/>
      </w:pPr>
      <w:r>
        <w:rPr>
          <w:i/>
          <w:sz w:val="20"/>
        </w:rPr>
        <w:lastRenderedPageBreak/>
        <w:t xml:space="preserve">Que sean manifiestamente repetitivas o tengan un carácter abusivo no justificado con la finalidad de transparencia de esta Ley». </w:t>
      </w:r>
      <w:r>
        <w:t>(El destacado es nuestro)</w:t>
      </w:r>
    </w:p>
    <w:p w14:paraId="6571175E" w14:textId="77777777" w:rsidR="00697B0D" w:rsidRDefault="00BA755B">
      <w:pPr>
        <w:ind w:left="347" w:right="837"/>
      </w:pPr>
      <w:r>
        <w:t>En relación con el anterior precepto el artículo 34 NF 1/2017 estatuye las reglas especiales en la aplicación de las causas de inadmisión de las solicitudes de acceso, disponiendo que:</w:t>
      </w:r>
    </w:p>
    <w:p w14:paraId="3E9A6896" w14:textId="77777777" w:rsidR="00697B0D" w:rsidRDefault="00BA755B">
      <w:pPr>
        <w:spacing w:after="0" w:line="241" w:lineRule="auto"/>
        <w:ind w:left="352" w:right="372" w:firstLine="1"/>
        <w:jc w:val="left"/>
      </w:pPr>
      <w:r>
        <w:rPr>
          <w:i/>
          <w:sz w:val="20"/>
        </w:rPr>
        <w:t>«</w:t>
      </w:r>
      <w:r>
        <w:rPr>
          <w:b/>
          <w:i/>
          <w:sz w:val="20"/>
        </w:rPr>
        <w:t>1. Serán de aplicación las causas de inadmisión de solicitudes de acceso previstas en la legislación básica.</w:t>
      </w:r>
      <w:r>
        <w:rPr>
          <w:i/>
          <w:sz w:val="20"/>
        </w:rPr>
        <w:t xml:space="preserve"> </w:t>
      </w:r>
    </w:p>
    <w:p w14:paraId="44AB0A80" w14:textId="77777777" w:rsidR="00697B0D" w:rsidRDefault="00BA755B">
      <w:pPr>
        <w:spacing w:after="5" w:line="248" w:lineRule="auto"/>
        <w:ind w:left="347" w:right="979"/>
      </w:pPr>
      <w:r>
        <w:rPr>
          <w:i/>
          <w:sz w:val="20"/>
        </w:rPr>
        <w:t xml:space="preserve">2. Se seguirán las siguientes reglas en la aplicación de las causas de inadmisión de las solicitudes de acceso previstas en la legislación básica: </w:t>
      </w:r>
    </w:p>
    <w:p w14:paraId="70BE9954" w14:textId="77777777" w:rsidR="00697B0D" w:rsidRDefault="00BA755B">
      <w:pPr>
        <w:numPr>
          <w:ilvl w:val="0"/>
          <w:numId w:val="2"/>
        </w:numPr>
        <w:spacing w:after="5" w:line="248" w:lineRule="auto"/>
        <w:ind w:right="979" w:hanging="201"/>
      </w:pPr>
      <w:r>
        <w:rPr>
          <w:i/>
          <w:sz w:val="20"/>
        </w:rPr>
        <w:t xml:space="preserve">De acuerdo con el principio de máxima accesibilidad recogido en el artículo 16, las causas de inadmisión se interpretarán de forma restrictiva. </w:t>
      </w:r>
    </w:p>
    <w:p w14:paraId="5B0D1AA2" w14:textId="77777777" w:rsidR="00697B0D" w:rsidRDefault="00BA755B">
      <w:pPr>
        <w:numPr>
          <w:ilvl w:val="0"/>
          <w:numId w:val="2"/>
        </w:numPr>
        <w:spacing w:after="5" w:line="248" w:lineRule="auto"/>
        <w:ind w:right="979" w:hanging="201"/>
      </w:pPr>
      <w:r>
        <w:rPr>
          <w:i/>
          <w:sz w:val="20"/>
        </w:rPr>
        <w:t xml:space="preserve">Cuando no se admita la solicitud porque la información está en curso de elaboración o publicación general, la resolución de inadmisión deberá especificar el órgano que elabora dicha información y el tiempo previsto para su conclusión y puesta a disposición. </w:t>
      </w:r>
    </w:p>
    <w:p w14:paraId="20C3A114" w14:textId="77777777" w:rsidR="00697B0D" w:rsidRDefault="00BA755B">
      <w:pPr>
        <w:numPr>
          <w:ilvl w:val="0"/>
          <w:numId w:val="2"/>
        </w:numPr>
        <w:spacing w:after="5" w:line="248" w:lineRule="auto"/>
        <w:ind w:right="979" w:hanging="201"/>
      </w:pPr>
      <w:r>
        <w:rPr>
          <w:i/>
          <w:sz w:val="20"/>
        </w:rPr>
        <w:t xml:space="preserve">Los informes preceptivos no tendrán la consideración de información de carácter auxiliar o de apoyo. </w:t>
      </w:r>
    </w:p>
    <w:p w14:paraId="0C074925" w14:textId="77777777" w:rsidR="00697B0D" w:rsidRDefault="00BA755B">
      <w:pPr>
        <w:numPr>
          <w:ilvl w:val="0"/>
          <w:numId w:val="2"/>
        </w:numPr>
        <w:spacing w:after="263" w:line="248" w:lineRule="auto"/>
        <w:ind w:right="979" w:hanging="201"/>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7E5D9E7" wp14:editId="07E545F1">
                <wp:simplePos x="0" y="0"/>
                <wp:positionH relativeFrom="page">
                  <wp:posOffset>764540</wp:posOffset>
                </wp:positionH>
                <wp:positionV relativeFrom="page">
                  <wp:posOffset>326072</wp:posOffset>
                </wp:positionV>
                <wp:extent cx="6301106" cy="428625"/>
                <wp:effectExtent l="0" t="0" r="0" b="0"/>
                <wp:wrapTopAndBottom/>
                <wp:docPr id="2200" name="Group 2200"/>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08" name="Shape 108"/>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9" name="Shape 109"/>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3" name="Picture 113"/>
                          <pic:cNvPicPr/>
                        </pic:nvPicPr>
                        <pic:blipFill>
                          <a:blip r:embed="rId12"/>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2200" style="width:496.15pt;height:33.75pt;position:absolute;mso-position-horizontal-relative:page;mso-position-horizontal:absolute;margin-left:60.2pt;mso-position-vertical-relative:page;margin-top:25.675pt;" coordsize="63011,4286">
                <v:shape id="Shape 108" style="position:absolute;width:28803;height:0;left:0;top:2174;" coordsize="2880360,0" path="m0,0l2880360,0">
                  <v:stroke weight="0.5pt" endcap="flat" joinstyle="miter" miterlimit="10" on="true" color="#000000"/>
                  <v:fill on="false" color="#000000" opacity="0"/>
                </v:shape>
                <v:shape id="Shape 109" style="position:absolute;width:28803;height:0;left:34207;top:2174;" coordsize="2880360,0" path="m0,0l2880360,0">
                  <v:stroke weight="0.5pt" endcap="flat" joinstyle="miter" miterlimit="10" on="true" color="#000000"/>
                  <v:fill on="false" color="#000000" opacity="0"/>
                </v:shape>
                <v:shape id="Picture 113" style="position:absolute;width:4286;height:4286;left:29438;top:0;" filled="f">
                  <v:imagedata r:id="rId13"/>
                </v:shape>
                <w10:wrap type="topAndBottom"/>
              </v:group>
            </w:pict>
          </mc:Fallback>
        </mc:AlternateContent>
      </w:r>
      <w:r>
        <w:rPr>
          <w:i/>
          <w:sz w:val="20"/>
        </w:rPr>
        <w:t>Cuando la información solicitada pueda obtenerse mediante un tratamiento informatizado de uso corriente, no se considerará reelaboración de la información».</w:t>
      </w:r>
    </w:p>
    <w:p w14:paraId="0E8DD1DB" w14:textId="77777777" w:rsidR="00697B0D" w:rsidRDefault="00BA755B">
      <w:pPr>
        <w:ind w:left="347" w:right="837"/>
      </w:pPr>
      <w:r>
        <w:t>(El destacado es nuestro)</w:t>
      </w:r>
    </w:p>
    <w:p w14:paraId="71B887FC" w14:textId="77777777" w:rsidR="00697B0D" w:rsidRDefault="00BA755B">
      <w:pPr>
        <w:ind w:left="347" w:right="994"/>
      </w:pPr>
      <w:r>
        <w:t>Al albur de los preceptos citados, se deduce, en primer lugar, que existe una remisión normativa por parte de la NF 1/2017 a las causas contempladas en el artículo 18 LTAIBG; y, en segundo término, que, y en lo que aquí interesa, el citado artículo 18, en la letra d) de su apartado primero, establece para que pueda operar la causa de inadmisión en el contenida, que esté dirigida a un órgano en cuyo poder no obre la información.</w:t>
      </w:r>
    </w:p>
    <w:p w14:paraId="4F45CF0C" w14:textId="77777777" w:rsidR="00697B0D" w:rsidRDefault="00BA755B">
      <w:pPr>
        <w:ind w:left="347" w:right="837"/>
      </w:pPr>
      <w:r>
        <w:t>El artículo 13 LTAIBG relativo a la información pública estatuye que:</w:t>
      </w:r>
    </w:p>
    <w:p w14:paraId="4424ECFB" w14:textId="77777777" w:rsidR="00697B0D" w:rsidRDefault="00BA755B">
      <w:pPr>
        <w:spacing w:after="5" w:line="248" w:lineRule="auto"/>
        <w:ind w:left="347" w:right="979"/>
      </w:pPr>
      <w:r>
        <w:rPr>
          <w:i/>
          <w:sz w:val="20"/>
        </w:rPr>
        <w:t>«Artículo 13. Información pública.</w:t>
      </w:r>
    </w:p>
    <w:p w14:paraId="57A4290E" w14:textId="77777777" w:rsidR="00697B0D" w:rsidRDefault="00BA755B">
      <w:pPr>
        <w:spacing w:after="245" w:line="248" w:lineRule="auto"/>
        <w:ind w:left="347" w:right="979"/>
      </w:pPr>
      <w:r>
        <w:rPr>
          <w:i/>
          <w:sz w:val="20"/>
        </w:rPr>
        <w:t xml:space="preserve">Se entiende por información pública los contenidos o documentos, cualquiera que sea su formato o soporte, </w:t>
      </w:r>
      <w:r>
        <w:rPr>
          <w:b/>
          <w:i/>
          <w:sz w:val="20"/>
          <w:u w:val="single" w:color="000000"/>
        </w:rPr>
        <w:t>que obren en poder</w:t>
      </w:r>
      <w:r>
        <w:rPr>
          <w:i/>
          <w:sz w:val="20"/>
        </w:rPr>
        <w:t xml:space="preserve"> de alguno de los sujetos incluidos en el ámbito de aplicación de este título y que hayan sido elaborados o adquiridos en el ejercicio de sus funciones». </w:t>
      </w:r>
      <w:r>
        <w:t>(El destacado es nuestro)</w:t>
      </w:r>
    </w:p>
    <w:p w14:paraId="4FC7F00D" w14:textId="77777777" w:rsidR="00697B0D" w:rsidRDefault="00BA755B">
      <w:pPr>
        <w:spacing w:after="0"/>
        <w:ind w:left="347" w:right="994"/>
      </w:pPr>
      <w:r>
        <w:t>Sentado lo anterior, la solicitud se encuentra correctamente dirigida ante el órgano competente, pero tras la revisión de lo solicitado se deduce que, o bien se encuentra ya publicado en la página de Portal de Empleo de esta Diputación Foral (primera prueba y plantilla de respuestas de la convocatoria con código 2417, y la prueba teórico práctica de la convocatoria con código 21222), o bien la petición que se formula no se encuentra en los expedientes administrativos afectados por su petición (prueba teórico práctica de la convocatoria con código 2417) toda vez que su soporte es en papel y tras haber concluido el mismo casi quince años, no obra en aquel la información requerida, por lo que resulta materialmente imposible proporcionar la misma, de forma que ni concurre el presupuesto ni existe objeto sobre el que proyectar el derecho de acceso del solicitante.</w:t>
      </w:r>
    </w:p>
    <w:p w14:paraId="738B3FBF" w14:textId="77777777" w:rsidR="00697B0D" w:rsidRDefault="00BA755B">
      <w:pPr>
        <w:spacing w:after="197" w:line="259" w:lineRule="auto"/>
        <w:ind w:left="10" w:right="236" w:hanging="10"/>
        <w:jc w:val="right"/>
      </w:pPr>
      <w:r>
        <w:rPr>
          <w:rFonts w:ascii="Arial" w:eastAsia="Arial" w:hAnsi="Arial" w:cs="Arial"/>
          <w:color w:val="808080"/>
          <w:sz w:val="16"/>
        </w:rPr>
        <w:t>2 / 3</w:t>
      </w:r>
    </w:p>
    <w:p w14:paraId="40197C85" w14:textId="2588C38A" w:rsidR="00697B0D" w:rsidRDefault="00BA755B">
      <w:pPr>
        <w:spacing w:after="1761"/>
        <w:ind w:left="347" w:right="837"/>
      </w:pPr>
      <w:r>
        <w:t xml:space="preserve">Sin perjuicio de lo anterior, </w:t>
      </w:r>
      <w:proofErr w:type="spellStart"/>
      <w:r w:rsidRPr="00233E33">
        <w:rPr>
          <w:highlight w:val="black"/>
        </w:rPr>
        <w:t>xxxxxx</w:t>
      </w:r>
      <w:proofErr w:type="spellEnd"/>
      <w:r>
        <w:t xml:space="preserve"> tiene el resto de información publicable relativa a dicho proceso en el portal de empleo de esta Diputación Foral.</w:t>
      </w:r>
    </w:p>
    <w:p w14:paraId="2CCAD727" w14:textId="77777777" w:rsidR="00697B0D" w:rsidRDefault="00BA755B">
      <w:pPr>
        <w:pStyle w:val="Ttulo2"/>
        <w:spacing w:after="458"/>
        <w:ind w:left="-254" w:right="979"/>
      </w:pPr>
      <w:r>
        <w:lastRenderedPageBreak/>
        <w:t xml:space="preserve">                                                                         RESUELVO</w:t>
      </w:r>
    </w:p>
    <w:p w14:paraId="7CACCF07" w14:textId="226983C9" w:rsidR="00697B0D" w:rsidRDefault="00BA755B">
      <w:pPr>
        <w:ind w:left="347" w:right="994"/>
      </w:pPr>
      <w:r>
        <w:rPr>
          <w:b/>
        </w:rPr>
        <w:t>Primero.</w:t>
      </w:r>
      <w:r>
        <w:t xml:space="preserve"> Inadmitir la solicitud de acceso a información pública presentada por </w:t>
      </w:r>
      <w:proofErr w:type="spellStart"/>
      <w:r w:rsidRPr="00BA755B">
        <w:rPr>
          <w:highlight w:val="black"/>
        </w:rPr>
        <w:t>xxxxx</w:t>
      </w:r>
      <w:proofErr w:type="spellEnd"/>
      <w:r>
        <w:t xml:space="preserve"> en lo relativo a la información requerida no publicada en el Portal de empleo por no obrar la misma en poder de esta Dirección.</w:t>
      </w:r>
    </w:p>
    <w:p w14:paraId="0C8F33E9" w14:textId="0F5A086B" w:rsidR="00697B0D" w:rsidRDefault="00BA755B">
      <w:pPr>
        <w:ind w:left="347" w:right="837"/>
      </w:pPr>
      <w:r>
        <w:rPr>
          <w:b/>
        </w:rPr>
        <w:t>Segundo.</w:t>
      </w:r>
      <w:r>
        <w:t xml:space="preserve"> Notificar la Resolución a la persona interesada, haciendo constar expresamente que la misma se dicta por delegación, considerándose como dictada por el órgano delegante.</w:t>
      </w:r>
    </w:p>
    <w:p w14:paraId="6CC72891" w14:textId="336E20B5" w:rsidR="00697B0D" w:rsidRDefault="00BA755B">
      <w:pPr>
        <w:spacing w:after="1432"/>
        <w:ind w:left="347" w:right="994"/>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164C8F0" wp14:editId="227D8F82">
                <wp:simplePos x="0" y="0"/>
                <wp:positionH relativeFrom="page">
                  <wp:posOffset>764540</wp:posOffset>
                </wp:positionH>
                <wp:positionV relativeFrom="page">
                  <wp:posOffset>326072</wp:posOffset>
                </wp:positionV>
                <wp:extent cx="6301106" cy="428625"/>
                <wp:effectExtent l="0" t="0" r="0" b="0"/>
                <wp:wrapTopAndBottom/>
                <wp:docPr id="2137" name="Group 2137"/>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89" name="Shape 189"/>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94" name="Picture 194"/>
                          <pic:cNvPicPr/>
                        </pic:nvPicPr>
                        <pic:blipFill>
                          <a:blip r:embed="rId12"/>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2137" style="width:496.15pt;height:33.75pt;position:absolute;mso-position-horizontal-relative:page;mso-position-horizontal:absolute;margin-left:60.2pt;mso-position-vertical-relative:page;margin-top:25.675pt;" coordsize="63011,4286">
                <v:shape id="Shape 189" style="position:absolute;width:28803;height:0;left:0;top:2174;" coordsize="2880360,0" path="m0,0l2880360,0">
                  <v:stroke weight="0.5pt" endcap="flat" joinstyle="miter" miterlimit="10" on="true" color="#000000"/>
                  <v:fill on="false" color="#000000" opacity="0"/>
                </v:shape>
                <v:shape id="Shape 190" style="position:absolute;width:28803;height:0;left:34207;top:2174;" coordsize="2880360,0" path="m0,0l2880360,0">
                  <v:stroke weight="0.5pt" endcap="flat" joinstyle="miter" miterlimit="10" on="true" color="#000000"/>
                  <v:fill on="false" color="#000000" opacity="0"/>
                </v:shape>
                <v:shape id="Picture 194" style="position:absolute;width:4286;height:4286;left:29438;top:0;" filled="f">
                  <v:imagedata r:id="rId13"/>
                </v:shape>
                <w10:wrap type="topAndBottom"/>
              </v:group>
            </w:pict>
          </mc:Fallback>
        </mc:AlternateContent>
      </w:r>
      <w:r>
        <w:rPr>
          <w:b/>
        </w:rPr>
        <w:t>Tercero.</w:t>
      </w:r>
      <w:r>
        <w:t xml:space="preserve"> Contra la presente Resolución, que agota la vía administrativa, podrá interponerse, a partir del día siguiente a la recepción de la presente notificación, recurso contencioso 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Consejo Foral de Transparencia.  </w:t>
      </w:r>
    </w:p>
    <w:p w14:paraId="2F6C21FC" w14:textId="77777777" w:rsidR="00697B0D" w:rsidRDefault="00BA755B">
      <w:pPr>
        <w:spacing w:after="733"/>
        <w:ind w:left="347" w:right="837"/>
      </w:pPr>
      <w:r>
        <w:t>Vitoria-Gasteiz.</w:t>
      </w:r>
    </w:p>
    <w:p w14:paraId="62609C2F" w14:textId="77777777" w:rsidR="00697B0D" w:rsidRDefault="00BA755B">
      <w:pPr>
        <w:pStyle w:val="Ttulo2"/>
        <w:ind w:left="347" w:right="979"/>
      </w:pPr>
      <w:r>
        <w:t>María José Fernández Alonso</w:t>
      </w:r>
    </w:p>
    <w:p w14:paraId="2F549689" w14:textId="77777777" w:rsidR="00697B0D" w:rsidRDefault="00BA755B">
      <w:pPr>
        <w:spacing w:after="10"/>
        <w:ind w:left="347" w:right="837"/>
      </w:pPr>
      <w:r>
        <w:t xml:space="preserve">Funtzio </w:t>
      </w:r>
      <w:proofErr w:type="spellStart"/>
      <w:r>
        <w:t>Publikoko</w:t>
      </w:r>
      <w:proofErr w:type="spellEnd"/>
      <w:r>
        <w:t xml:space="preserve"> </w:t>
      </w:r>
      <w:proofErr w:type="spellStart"/>
      <w:r>
        <w:t>zuzendaria</w:t>
      </w:r>
      <w:proofErr w:type="spellEnd"/>
    </w:p>
    <w:p w14:paraId="5B1FC8FB" w14:textId="77777777" w:rsidR="00697B0D" w:rsidRDefault="00BA755B">
      <w:pPr>
        <w:spacing w:after="3738"/>
        <w:ind w:left="347" w:right="837"/>
      </w:pPr>
      <w:r>
        <w:t>Directora de Función Pública</w:t>
      </w:r>
    </w:p>
    <w:p w14:paraId="6D6E1C66" w14:textId="77777777" w:rsidR="00697B0D" w:rsidRDefault="00BA755B">
      <w:pPr>
        <w:spacing w:after="39" w:line="259" w:lineRule="auto"/>
        <w:ind w:left="-216" w:right="0" w:firstLine="0"/>
        <w:jc w:val="left"/>
      </w:pPr>
      <w:r>
        <w:rPr>
          <w:rFonts w:ascii="Calibri" w:eastAsia="Calibri" w:hAnsi="Calibri" w:cs="Calibri"/>
          <w:noProof/>
        </w:rPr>
        <mc:AlternateContent>
          <mc:Choice Requires="wpg">
            <w:drawing>
              <wp:inline distT="0" distB="0" distL="0" distR="0" wp14:anchorId="45F72C6B" wp14:editId="366FD592">
                <wp:extent cx="6210935" cy="6350"/>
                <wp:effectExtent l="0" t="0" r="0" b="0"/>
                <wp:docPr id="2138" name="Group 2138"/>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92" name="Shape 192"/>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38" style="width:489.05pt;height:0.5pt;mso-position-horizontal-relative:char;mso-position-vertical-relative:line" coordsize="62109,63">
                <v:shape id="Shape 192" style="position:absolute;width:62109;height:0;left:0;top:0;" coordsize="6210935,0" path="m0,0l6210935,0">
                  <v:stroke weight="0.5pt" endcap="flat" joinstyle="miter" miterlimit="10" on="true" color="#808080"/>
                  <v:fill on="false" color="#000000" opacity="0"/>
                </v:shape>
              </v:group>
            </w:pict>
          </mc:Fallback>
        </mc:AlternateContent>
      </w:r>
    </w:p>
    <w:p w14:paraId="34445F61" w14:textId="77777777" w:rsidR="00697B0D" w:rsidRDefault="00BA755B">
      <w:pPr>
        <w:spacing w:after="197" w:line="259" w:lineRule="auto"/>
        <w:ind w:left="10" w:right="236" w:hanging="10"/>
        <w:jc w:val="right"/>
      </w:pPr>
      <w:r>
        <w:rPr>
          <w:rFonts w:ascii="Arial" w:eastAsia="Arial" w:hAnsi="Arial" w:cs="Arial"/>
          <w:color w:val="808080"/>
          <w:sz w:val="16"/>
        </w:rPr>
        <w:t>3 / 3</w:t>
      </w:r>
    </w:p>
    <w:sectPr w:rsidR="00697B0D">
      <w:type w:val="continuous"/>
      <w:pgSz w:w="11907" w:h="16840"/>
      <w:pgMar w:top="1908" w:right="849" w:bottom="943" w:left="13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560" w14:textId="77777777" w:rsidR="00BA755B" w:rsidRDefault="00BA755B">
      <w:pPr>
        <w:spacing w:after="0" w:line="240" w:lineRule="auto"/>
      </w:pPr>
      <w:r>
        <w:separator/>
      </w:r>
    </w:p>
  </w:endnote>
  <w:endnote w:type="continuationSeparator" w:id="0">
    <w:p w14:paraId="31B62488" w14:textId="77777777" w:rsidR="00BA755B" w:rsidRDefault="00BA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511C" w14:textId="77777777" w:rsidR="00BA755B" w:rsidRDefault="00BA755B">
      <w:pPr>
        <w:spacing w:after="0" w:line="240" w:lineRule="auto"/>
      </w:pPr>
      <w:r>
        <w:separator/>
      </w:r>
    </w:p>
  </w:footnote>
  <w:footnote w:type="continuationSeparator" w:id="0">
    <w:p w14:paraId="2D609823" w14:textId="77777777" w:rsidR="00BA755B" w:rsidRDefault="00BA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118D" w14:textId="77777777" w:rsidR="00697B0D" w:rsidRDefault="00BA755B">
    <w:pPr>
      <w:spacing w:after="0" w:line="259" w:lineRule="auto"/>
      <w:ind w:left="0" w:right="-768" w:firstLine="0"/>
      <w:jc w:val="right"/>
    </w:pPr>
    <w:r>
      <w:rPr>
        <w:rFonts w:ascii="Arial" w:eastAsia="Arial" w:hAnsi="Arial" w:cs="Arial"/>
        <w:sz w:val="10"/>
      </w:rPr>
      <w:t>Jakinaraz. zkia. / Num. Notif.: 20250059757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B06D" w14:textId="77777777" w:rsidR="00697B0D" w:rsidRDefault="00BA755B">
    <w:pPr>
      <w:spacing w:after="0" w:line="259" w:lineRule="auto"/>
      <w:ind w:left="0" w:right="-768" w:firstLine="0"/>
      <w:jc w:val="right"/>
    </w:pPr>
    <w:r>
      <w:rPr>
        <w:rFonts w:ascii="Arial" w:eastAsia="Arial" w:hAnsi="Arial" w:cs="Arial"/>
        <w:sz w:val="10"/>
      </w:rPr>
      <w:t>Jakinaraz. zkia. / Num. Notif.: 20250059757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5729"/>
    <w:multiLevelType w:val="hybridMultilevel"/>
    <w:tmpl w:val="015A17EC"/>
    <w:lvl w:ilvl="0" w:tplc="052E34B2">
      <w:start w:val="1"/>
      <w:numFmt w:val="lowerLetter"/>
      <w:lvlText w:val="%1)"/>
      <w:lvlJc w:val="left"/>
      <w:pPr>
        <w:ind w:left="5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A484B8E">
      <w:start w:val="1"/>
      <w:numFmt w:val="lowerLetter"/>
      <w:lvlText w:val="%2"/>
      <w:lvlJc w:val="left"/>
      <w:pPr>
        <w:ind w:left="10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E8ACC1DC">
      <w:start w:val="1"/>
      <w:numFmt w:val="lowerRoman"/>
      <w:lvlText w:val="%3"/>
      <w:lvlJc w:val="left"/>
      <w:pPr>
        <w:ind w:left="18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3383D3E">
      <w:start w:val="1"/>
      <w:numFmt w:val="decimal"/>
      <w:lvlText w:val="%4"/>
      <w:lvlJc w:val="left"/>
      <w:pPr>
        <w:ind w:left="25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416F92A">
      <w:start w:val="1"/>
      <w:numFmt w:val="lowerLetter"/>
      <w:lvlText w:val="%5"/>
      <w:lvlJc w:val="left"/>
      <w:pPr>
        <w:ind w:left="324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8B87FA0">
      <w:start w:val="1"/>
      <w:numFmt w:val="lowerRoman"/>
      <w:lvlText w:val="%6"/>
      <w:lvlJc w:val="left"/>
      <w:pPr>
        <w:ind w:left="396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D2EDD94">
      <w:start w:val="1"/>
      <w:numFmt w:val="decimal"/>
      <w:lvlText w:val="%7"/>
      <w:lvlJc w:val="left"/>
      <w:pPr>
        <w:ind w:left="46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96C8D70">
      <w:start w:val="1"/>
      <w:numFmt w:val="lowerLetter"/>
      <w:lvlText w:val="%8"/>
      <w:lvlJc w:val="left"/>
      <w:pPr>
        <w:ind w:left="54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F84680E">
      <w:start w:val="1"/>
      <w:numFmt w:val="lowerRoman"/>
      <w:lvlText w:val="%9"/>
      <w:lvlJc w:val="left"/>
      <w:pPr>
        <w:ind w:left="61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C4630E9"/>
    <w:multiLevelType w:val="hybridMultilevel"/>
    <w:tmpl w:val="4446BF2E"/>
    <w:lvl w:ilvl="0" w:tplc="F9E20646">
      <w:start w:val="1"/>
      <w:numFmt w:val="lowerLetter"/>
      <w:lvlText w:val="%1)"/>
      <w:lvlJc w:val="left"/>
      <w:pPr>
        <w:ind w:left="55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2D6FBA4">
      <w:start w:val="1"/>
      <w:numFmt w:val="lowerLetter"/>
      <w:lvlText w:val="%2"/>
      <w:lvlJc w:val="left"/>
      <w:pPr>
        <w:ind w:left="10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BACC428">
      <w:start w:val="1"/>
      <w:numFmt w:val="lowerRoman"/>
      <w:lvlText w:val="%3"/>
      <w:lvlJc w:val="left"/>
      <w:pPr>
        <w:ind w:left="18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39C98BE">
      <w:start w:val="1"/>
      <w:numFmt w:val="decimal"/>
      <w:lvlText w:val="%4"/>
      <w:lvlJc w:val="left"/>
      <w:pPr>
        <w:ind w:left="25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B364078">
      <w:start w:val="1"/>
      <w:numFmt w:val="lowerLetter"/>
      <w:lvlText w:val="%5"/>
      <w:lvlJc w:val="left"/>
      <w:pPr>
        <w:ind w:left="324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F6C360C">
      <w:start w:val="1"/>
      <w:numFmt w:val="lowerRoman"/>
      <w:lvlText w:val="%6"/>
      <w:lvlJc w:val="left"/>
      <w:pPr>
        <w:ind w:left="396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EDFC7126">
      <w:start w:val="1"/>
      <w:numFmt w:val="decimal"/>
      <w:lvlText w:val="%7"/>
      <w:lvlJc w:val="left"/>
      <w:pPr>
        <w:ind w:left="46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642CCA2">
      <w:start w:val="1"/>
      <w:numFmt w:val="lowerLetter"/>
      <w:lvlText w:val="%8"/>
      <w:lvlJc w:val="left"/>
      <w:pPr>
        <w:ind w:left="54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E7026E6">
      <w:start w:val="1"/>
      <w:numFmt w:val="lowerRoman"/>
      <w:lvlText w:val="%9"/>
      <w:lvlJc w:val="left"/>
      <w:pPr>
        <w:ind w:left="61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16cid:durableId="263614589">
    <w:abstractNumId w:val="1"/>
  </w:num>
  <w:num w:numId="2" w16cid:durableId="102139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0D"/>
    <w:rsid w:val="00073BFB"/>
    <w:rsid w:val="00233E33"/>
    <w:rsid w:val="00697B0D"/>
    <w:rsid w:val="00BA755B"/>
    <w:rsid w:val="00C8017C"/>
    <w:rsid w:val="00FC4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3762"/>
  <w15:docId w15:val="{EC2B3AFD-C1B9-46F5-8961-4BFA19C9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6" w:line="249" w:lineRule="auto"/>
      <w:ind w:left="361" w:right="4694" w:hanging="9"/>
      <w:jc w:val="both"/>
    </w:pPr>
    <w:rPr>
      <w:rFonts w:ascii="Times New Roman" w:eastAsia="Times New Roman" w:hAnsi="Times New Roman" w:cs="Times New Roman"/>
      <w:color w:val="000000"/>
      <w:sz w:val="22"/>
    </w:rPr>
  </w:style>
  <w:style w:type="paragraph" w:styleId="Ttulo1">
    <w:name w:val="heading 1"/>
    <w:next w:val="Normal"/>
    <w:link w:val="Ttulo1Car"/>
    <w:uiPriority w:val="9"/>
    <w:qFormat/>
    <w:pPr>
      <w:keepNext/>
      <w:keepLines/>
      <w:spacing w:after="437" w:line="259" w:lineRule="auto"/>
      <w:ind w:left="352"/>
      <w:outlineLvl w:val="0"/>
    </w:pPr>
    <w:rPr>
      <w:rFonts w:ascii="Times New Roman" w:eastAsia="Times New Roman" w:hAnsi="Times New Roman" w:cs="Times New Roman"/>
      <w:b/>
      <w:color w:val="000000"/>
    </w:rPr>
  </w:style>
  <w:style w:type="paragraph" w:styleId="Ttulo2">
    <w:name w:val="heading 2"/>
    <w:next w:val="Normal"/>
    <w:link w:val="Ttulo2Car"/>
    <w:uiPriority w:val="9"/>
    <w:unhideWhenUsed/>
    <w:qFormat/>
    <w:pPr>
      <w:keepNext/>
      <w:keepLines/>
      <w:spacing w:after="135" w:line="249" w:lineRule="auto"/>
      <w:ind w:left="362" w:right="994" w:hanging="10"/>
      <w:jc w:val="both"/>
      <w:outlineLvl w:val="1"/>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rPr>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BA75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755B"/>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BA75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A755B"/>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aba.eus/PortalEmple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aba.eus/PortalEmpleo"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Urien Salterain, Karoline</dc:creator>
  <cp:keywords/>
  <cp:lastModifiedBy>Urien Salterain, Karoline</cp:lastModifiedBy>
  <cp:revision>3</cp:revision>
  <dcterms:created xsi:type="dcterms:W3CDTF">2025-06-03T12:17:00Z</dcterms:created>
  <dcterms:modified xsi:type="dcterms:W3CDTF">2025-10-27T09:57:00Z</dcterms:modified>
</cp:coreProperties>
</file>