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39C06" w14:textId="27F6198B" w:rsidR="00AD4D4A" w:rsidRPr="008C1C77" w:rsidRDefault="009C0CCB">
      <w:pPr>
        <w:pStyle w:val="Ttulo2"/>
        <w:spacing w:before="240" w:after="480"/>
        <w:jc w:val="left"/>
        <w:rPr>
          <w:bCs/>
        </w:rPr>
      </w:pPr>
      <w:r w:rsidRPr="008C1C77">
        <w:rPr>
          <w:bCs/>
          <w:szCs w:val="24"/>
          <w:lang w:val="eu-ES"/>
        </w:rPr>
        <w:t>ERABAKIA</w:t>
      </w:r>
    </w:p>
    <w:p w14:paraId="136549B4" w14:textId="77777777" w:rsidR="00AD4D4A" w:rsidRDefault="009C0CCB">
      <w:pPr>
        <w:pStyle w:val="Textoindependiente2"/>
        <w:tabs>
          <w:tab w:val="clear" w:pos="8789"/>
        </w:tabs>
        <w:rPr>
          <w:lang w:val="es-ES"/>
        </w:rPr>
      </w:pPr>
      <w:r>
        <w:rPr>
          <w:szCs w:val="22"/>
          <w:lang w:val="eu-ES"/>
        </w:rPr>
        <w:t>Ogasun, Finantza eta Aurrekontu Saila</w:t>
      </w:r>
      <w:r>
        <w:rPr>
          <w:szCs w:val="22"/>
          <w:lang w:val="eu-ES"/>
        </w:rPr>
        <w:br/>
        <w:t>Zerga Araudiaren Zerbitzua</w:t>
      </w:r>
      <w:r>
        <w:rPr>
          <w:szCs w:val="22"/>
          <w:lang w:val="eu-ES"/>
        </w:rPr>
        <w:br/>
        <w:t>Esp. zk.: 68/2025</w:t>
      </w:r>
    </w:p>
    <w:p w14:paraId="2FC948B9" w14:textId="77777777" w:rsidR="00AD4D4A" w:rsidRDefault="009C0CCB">
      <w:pPr>
        <w:rPr>
          <w:b/>
          <w:lang w:val="es-ES"/>
        </w:rPr>
      </w:pPr>
      <w:r>
        <w:rPr>
          <w:b/>
          <w:bCs/>
          <w:szCs w:val="22"/>
          <w:lang w:val="eu-ES"/>
        </w:rPr>
        <w:t>Onestea foru arau proiektua, Zerga Osagarria ezartzen duena talde multinazionalentzat eta talde nazional handientzat gutxieneko zergapetze maila globala bermatzeko.</w:t>
      </w:r>
    </w:p>
    <w:p w14:paraId="57F79BE0" w14:textId="77777777" w:rsidR="00171297" w:rsidRDefault="009C0CCB">
      <w:pPr>
        <w:rPr>
          <w:bCs/>
        </w:rPr>
      </w:pPr>
      <w:r>
        <w:rPr>
          <w:bCs/>
          <w:szCs w:val="22"/>
          <w:lang w:val="eu-ES"/>
        </w:rPr>
        <w:t>Ekonomia Lankidetza eta Garapenerako Erakundeak (ELGA) hainbat gomendio eman ditu zerga oinarriaren higadura eta etekinen lekualdaketa saihesteko (BEPS, ingelesezko sigletan). Nazioarteko neurri fiskalen multzo bat ere garatu du, besteak beste, enpresa taldeek mozkinak zergapetzen ez dituzten edo mozkinei zergapetze txikia ezartzen dieten herrialde edo lurraldeetara eramatea saihestu nahi dutenak.</w:t>
      </w:r>
    </w:p>
    <w:p w14:paraId="5123C2D4" w14:textId="77777777" w:rsidR="00EA4A35" w:rsidRDefault="009C0CCB">
      <w:pPr>
        <w:rPr>
          <w:bCs/>
        </w:rPr>
      </w:pPr>
      <w:r>
        <w:rPr>
          <w:bCs/>
          <w:szCs w:val="22"/>
          <w:lang w:val="eu-ES"/>
        </w:rPr>
        <w:t>Neurri horiek gutxieneko ezarpen maila globala ezartzen dute finkatutako negozio zifraren zenbateko garbia 750 milioi eurokoa edo handiagoa duten talde multinazionalentzat. Legegintza politikaren xede hori «Ekonomiaren digitalizazioaren ondoriozko erronka fiskalak - Zerga-oinarriaren higaduraren aurkako ereduzko arauak (Bigarren zutabea)» izeneko dokumentuan islatu zen. Agiria 2021eko abenduaren 14an onetsi zen, Europar Batasuneko estatu kideak atxiki zitzaizkion BEPSri buruzko OCDE/G20 esparru inklusiboaren bidez.</w:t>
      </w:r>
    </w:p>
    <w:p w14:paraId="63F632C7" w14:textId="77777777" w:rsidR="00171297" w:rsidRDefault="009C0CCB">
      <w:pPr>
        <w:rPr>
          <w:bCs/>
        </w:rPr>
      </w:pPr>
      <w:r>
        <w:rPr>
          <w:bCs/>
          <w:szCs w:val="22"/>
          <w:lang w:val="eu-ES"/>
        </w:rPr>
        <w:t>Horrekin bat etorriz, Europar Batasunean, 2022ko abenduaren 15eko Kontseiluaren 2022/2523 (EB) Zuzentaraua onetsi zen, Batasunean dauden enpresa multinazionalen taldeentzako eta munta handiko talde nazionalentzako gutxieneko zergapetze-maila orokorra bermatzeari buruzkoa. Europar Batasuneko zuzentarau hori estatu kide guztiek sartu behar dute beren legedian, 56. artikuluan aurreikusitako moduan.</w:t>
      </w:r>
    </w:p>
    <w:p w14:paraId="7706EE7B" w14:textId="77777777" w:rsidR="00171297" w:rsidRDefault="009C0CCB">
      <w:pPr>
        <w:rPr>
          <w:bCs/>
        </w:rPr>
      </w:pPr>
      <w:r>
        <w:rPr>
          <w:bCs/>
          <w:szCs w:val="22"/>
          <w:lang w:val="eu-ES"/>
        </w:rPr>
        <w:t>2022/2523 Zuzentarauak zerga osagarri bat ezartzen dut, bermatzen duena, talde nazional handietako edo talde multinazionaletako entitateek jurisdikzio jakin batean jasaten duten karga tasa ehuneko 15etik beherakoa bada, beste zerga bat jasanaraziko zaiela, zerga osagarria, karga tasa globala gutxienekora irits dadin, hau da, ehuneko 15era, errentak sartzeko arauaren bidez edo, bestela, gutxiegi zergapetutako mozkinen araua aplikatuz.</w:t>
      </w:r>
    </w:p>
    <w:p w14:paraId="5FF7DDFE" w14:textId="77777777" w:rsidR="00EA4A35" w:rsidRPr="00EA4A35" w:rsidRDefault="009C0CCB">
      <w:pPr>
        <w:rPr>
          <w:b/>
        </w:rPr>
      </w:pPr>
      <w:r>
        <w:rPr>
          <w:bCs/>
          <w:szCs w:val="22"/>
          <w:lang w:val="eu-ES"/>
        </w:rPr>
        <w:t>Foru arau honen bidez, aipatutako zuzentaraua Arabako Lurralde Historikoan sartzeko betebeharra bete nahi da, maiatzaren 23ko 12/2002 Legearen bidez onetsitako Euskal Autonomia Erkidegoarekiko Ekonomia Itunaren 20 bis artikuluan xedatutakoari jarraituz. Artikulu horretan ezartzen dira zerga osagarria araudi autonomoko zerga itundua izateko baldintzak.</w:t>
      </w:r>
    </w:p>
    <w:p w14:paraId="430C361C" w14:textId="77777777" w:rsidR="00AD4D4A" w:rsidRDefault="009C0CCB">
      <w:pPr>
        <w:rPr>
          <w:kern w:val="16"/>
        </w:rPr>
      </w:pPr>
      <w:r>
        <w:rPr>
          <w:kern w:val="16"/>
          <w:szCs w:val="22"/>
          <w:lang w:val="eu-ES"/>
        </w:rPr>
        <w:t>Aztertu da Zerga Araudiaren Zerbitzuak horri buruz egindako arau inpaktuaren txostena.</w:t>
      </w:r>
    </w:p>
    <w:p w14:paraId="4684AC09" w14:textId="77777777" w:rsidR="00033C27" w:rsidRPr="00E1540F" w:rsidRDefault="009C0CCB" w:rsidP="00E1540F">
      <w:pPr>
        <w:rPr>
          <w:rFonts w:cs="Arial"/>
          <w:sz w:val="20"/>
          <w:lang w:bidi="or-IN"/>
        </w:rPr>
      </w:pPr>
      <w:r>
        <w:rPr>
          <w:szCs w:val="22"/>
          <w:lang w:val="eu-ES"/>
        </w:rPr>
        <w:t>Horregatik, bigarren diputatu nagusiorde eta Ogasun, Finantza eta Aurrekontu Saileko foru diputatuak proposatuta eta Foru Gobernu Kontseiluak gaur egindako bilkuran gaia aztertu ondoren, honako hau</w:t>
      </w:r>
    </w:p>
    <w:p w14:paraId="6AC8A345" w14:textId="77777777" w:rsidR="00AD4D4A" w:rsidRPr="008C1C77" w:rsidRDefault="009C0CCB">
      <w:pPr>
        <w:pStyle w:val="Ttulo1"/>
        <w:rPr>
          <w:rFonts w:ascii="Times New Roman" w:hAnsi="Times New Roman"/>
          <w:bCs w:val="0"/>
          <w:kern w:val="16"/>
        </w:rPr>
      </w:pPr>
      <w:r w:rsidRPr="008C1C77">
        <w:rPr>
          <w:rFonts w:ascii="Times New Roman" w:hAnsi="Times New Roman"/>
          <w:bCs w:val="0"/>
          <w:kern w:val="16"/>
          <w:lang w:val="eu-ES"/>
        </w:rPr>
        <w:lastRenderedPageBreak/>
        <w:t>ERABAKITZEN DUT</w:t>
      </w:r>
    </w:p>
    <w:p w14:paraId="2E2C6B47" w14:textId="77777777" w:rsidR="00AD4D4A" w:rsidRDefault="009C0CCB">
      <w:pPr>
        <w:rPr>
          <w:b/>
          <w:u w:val="single"/>
          <w:lang w:val="es-ES"/>
        </w:rPr>
      </w:pPr>
      <w:r>
        <w:rPr>
          <w:b/>
          <w:bCs/>
          <w:szCs w:val="22"/>
          <w:lang w:val="eu-ES"/>
        </w:rPr>
        <w:t>Lehenengoa.</w:t>
      </w:r>
      <w:r>
        <w:rPr>
          <w:szCs w:val="22"/>
          <w:lang w:val="eu-ES"/>
        </w:rPr>
        <w:t xml:space="preserve"> Onestea foru arau proiektua, Zerga Osagarria ezartzen duena talde multinazionalentzat eta talde nazional handientzat gutxieneko zergapetze maila globala bermatzeko.</w:t>
      </w:r>
    </w:p>
    <w:p w14:paraId="791C5B21" w14:textId="77777777" w:rsidR="00AD4D4A" w:rsidRDefault="009C0CCB">
      <w:pPr>
        <w:rPr>
          <w:lang w:val="es-ES"/>
        </w:rPr>
      </w:pPr>
      <w:r>
        <w:rPr>
          <w:b/>
          <w:bCs/>
          <w:szCs w:val="22"/>
          <w:lang w:val="eu-ES"/>
        </w:rPr>
        <w:t>Bigarrena.</w:t>
      </w:r>
      <w:r>
        <w:rPr>
          <w:szCs w:val="22"/>
          <w:lang w:val="eu-ES"/>
        </w:rPr>
        <w:t xml:space="preserve"> Aipatutako foru arau proiektua Arabako Batzar Nagusietara bidaltzea, indarrean dagoen legeriaren arabera izapidetzeko.</w:t>
      </w:r>
    </w:p>
    <w:p w14:paraId="4FE1071C" w14:textId="77777777" w:rsidR="00AD4D4A" w:rsidRDefault="009C0CCB">
      <w:pPr>
        <w:spacing w:before="240"/>
        <w:rPr>
          <w:lang w:val="es-ES"/>
        </w:rPr>
      </w:pPr>
      <w:r>
        <w:rPr>
          <w:szCs w:val="22"/>
          <w:lang w:val="eu-ES"/>
        </w:rPr>
        <w:t>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D7488" w14:paraId="7761201D" w14:textId="77777777" w:rsidTr="000655A3">
        <w:trPr>
          <w:trHeight w:val="1541"/>
        </w:trPr>
        <w:tc>
          <w:tcPr>
            <w:tcW w:w="4605" w:type="dxa"/>
          </w:tcPr>
          <w:p w14:paraId="06DA9C69" w14:textId="77777777" w:rsidR="00236ADC" w:rsidRPr="00236ADC" w:rsidRDefault="009C0CCB" w:rsidP="00236ADC">
            <w:pPr>
              <w:spacing w:before="1560" w:after="60" w:line="240" w:lineRule="exact"/>
              <w:jc w:val="left"/>
              <w:rPr>
                <w:rFonts w:cs="Arial"/>
                <w:b/>
                <w:lang w:val="es-ES" w:bidi="or-IN"/>
              </w:rPr>
            </w:pPr>
            <w:r>
              <w:rPr>
                <w:rFonts w:cs="Arial"/>
                <w:b/>
                <w:bCs/>
                <w:szCs w:val="22"/>
                <w:lang w:val="eu-ES" w:bidi="or-IN"/>
              </w:rPr>
              <w:t>Ramiro González Vicente</w:t>
            </w:r>
          </w:p>
          <w:p w14:paraId="0BAF1674" w14:textId="77777777" w:rsidR="00236ADC" w:rsidRPr="00236ADC" w:rsidRDefault="009C0CCB" w:rsidP="00236ADC">
            <w:pPr>
              <w:spacing w:after="0" w:line="240" w:lineRule="exact"/>
              <w:jc w:val="left"/>
              <w:rPr>
                <w:rFonts w:cs="Arial"/>
                <w:lang w:val="es-ES" w:bidi="or-IN"/>
              </w:rPr>
            </w:pPr>
            <w:r>
              <w:rPr>
                <w:rFonts w:cs="Arial"/>
                <w:szCs w:val="22"/>
                <w:lang w:val="eu-ES" w:bidi="or-IN"/>
              </w:rPr>
              <w:t>Diputatu nagusia</w:t>
            </w:r>
          </w:p>
          <w:p w14:paraId="56FD1D5B" w14:textId="77777777" w:rsidR="00236ADC" w:rsidRPr="00236ADC" w:rsidRDefault="009C0CCB" w:rsidP="00236ADC">
            <w:pPr>
              <w:spacing w:after="0" w:line="240" w:lineRule="exact"/>
              <w:jc w:val="left"/>
              <w:rPr>
                <w:rFonts w:cs="Arial"/>
                <w:lang w:val="es-ES" w:bidi="or-IN"/>
              </w:rPr>
            </w:pPr>
            <w:r>
              <w:rPr>
                <w:rFonts w:cs="Arial"/>
                <w:szCs w:val="22"/>
                <w:lang w:val="eu-ES" w:bidi="or-IN"/>
              </w:rPr>
              <w:t>Diputado General</w:t>
            </w:r>
          </w:p>
        </w:tc>
        <w:tc>
          <w:tcPr>
            <w:tcW w:w="4605" w:type="dxa"/>
          </w:tcPr>
          <w:p w14:paraId="475C1542" w14:textId="77777777" w:rsidR="00236ADC" w:rsidRPr="00236ADC" w:rsidRDefault="009C0CCB" w:rsidP="00236ADC">
            <w:pPr>
              <w:keepNext/>
              <w:spacing w:before="1560" w:after="60" w:line="240" w:lineRule="exact"/>
              <w:jc w:val="left"/>
              <w:outlineLvl w:val="3"/>
              <w:rPr>
                <w:rFonts w:cs="Arial"/>
                <w:b/>
                <w:lang w:val="es-ES" w:bidi="or-IN"/>
              </w:rPr>
            </w:pPr>
            <w:r>
              <w:rPr>
                <w:b/>
                <w:bCs/>
                <w:szCs w:val="22"/>
                <w:lang w:val="eu-ES" w:bidi="or-IN"/>
              </w:rPr>
              <w:t>Itziar Gonzalo de Zuazo</w:t>
            </w:r>
          </w:p>
          <w:p w14:paraId="32A85FB7" w14:textId="77777777" w:rsidR="00236ADC" w:rsidRPr="00236ADC" w:rsidRDefault="009C0CCB" w:rsidP="00236ADC">
            <w:pPr>
              <w:autoSpaceDE w:val="0"/>
              <w:autoSpaceDN w:val="0"/>
              <w:adjustRightInd w:val="0"/>
              <w:spacing w:after="0"/>
              <w:jc w:val="left"/>
              <w:rPr>
                <w:rFonts w:ascii="TimesNewRomanPSMT" w:hAnsi="TimesNewRomanPSMT" w:cs="TimesNewRomanPSMT"/>
                <w:szCs w:val="22"/>
                <w:lang w:val="es-ES"/>
              </w:rPr>
            </w:pPr>
            <w:r>
              <w:rPr>
                <w:rFonts w:ascii="TimesNewRomanPSMT" w:eastAsia="TimesNewRomanPSMT" w:hAnsi="TimesNewRomanPSMT" w:cs="TimesNewRomanPSMT"/>
                <w:szCs w:val="22"/>
                <w:lang w:val="eu-ES"/>
              </w:rPr>
              <w:t>Bigarren diputatu nagusiorde eta Ogasun, Finantza eta Aurrekontu Saileko foru diputatua</w:t>
            </w:r>
          </w:p>
          <w:p w14:paraId="006CC80D" w14:textId="77777777" w:rsidR="00236ADC" w:rsidRPr="00236ADC" w:rsidRDefault="009C0CCB" w:rsidP="00236ADC">
            <w:pPr>
              <w:spacing w:after="0"/>
              <w:jc w:val="left"/>
              <w:rPr>
                <w:rFonts w:cs="Arial"/>
                <w:sz w:val="20"/>
                <w:lang w:bidi="or-IN"/>
              </w:rPr>
            </w:pPr>
            <w:r>
              <w:rPr>
                <w:rFonts w:ascii="TimesNewRomanPSMT" w:eastAsia="TimesNewRomanPSMT" w:hAnsi="TimesNewRomanPSMT" w:cs="TimesNewRomanPSMT"/>
                <w:szCs w:val="22"/>
                <w:lang w:val="eu-ES"/>
              </w:rPr>
              <w:t>Segunda teniente de Diputado General y Diputada Foral del Departamento de Hacienda, Finanzas y Presupuestos</w:t>
            </w:r>
          </w:p>
          <w:p w14:paraId="684342A8" w14:textId="77777777" w:rsidR="00236ADC" w:rsidRPr="00236ADC" w:rsidRDefault="00236ADC" w:rsidP="00236ADC">
            <w:pPr>
              <w:spacing w:after="0" w:line="240" w:lineRule="exact"/>
              <w:jc w:val="left"/>
              <w:rPr>
                <w:rFonts w:cs="Arial"/>
                <w:lang w:val="es-ES" w:bidi="or-IN"/>
              </w:rPr>
            </w:pPr>
          </w:p>
        </w:tc>
      </w:tr>
      <w:tr w:rsidR="002D7488" w14:paraId="3A133AE6" w14:textId="77777777" w:rsidTr="000655A3">
        <w:tc>
          <w:tcPr>
            <w:tcW w:w="4605" w:type="dxa"/>
          </w:tcPr>
          <w:p w14:paraId="6419F238" w14:textId="77777777" w:rsidR="00236ADC" w:rsidRPr="00236ADC" w:rsidRDefault="009C0CCB" w:rsidP="00236ADC">
            <w:pPr>
              <w:spacing w:before="1560" w:after="60" w:line="240" w:lineRule="exact"/>
              <w:jc w:val="left"/>
              <w:rPr>
                <w:rFonts w:cs="Arial"/>
                <w:b/>
                <w:lang w:val="es-ES" w:bidi="or-IN"/>
              </w:rPr>
            </w:pPr>
            <w:r>
              <w:rPr>
                <w:rFonts w:cs="Arial"/>
                <w:b/>
                <w:bCs/>
                <w:szCs w:val="22"/>
                <w:lang w:val="eu-ES" w:bidi="or-IN"/>
              </w:rPr>
              <w:t>María José Perea Urteaga</w:t>
            </w:r>
          </w:p>
          <w:p w14:paraId="526E2795" w14:textId="77777777" w:rsidR="00236ADC" w:rsidRPr="00236ADC" w:rsidRDefault="009C0CCB" w:rsidP="00236ADC">
            <w:pPr>
              <w:spacing w:after="0" w:line="240" w:lineRule="exact"/>
              <w:jc w:val="left"/>
              <w:rPr>
                <w:rFonts w:cs="Arial"/>
                <w:lang w:val="es-ES" w:bidi="or-IN"/>
              </w:rPr>
            </w:pPr>
            <w:r>
              <w:rPr>
                <w:rFonts w:cs="Arial"/>
                <w:szCs w:val="22"/>
                <w:lang w:val="eu-ES" w:bidi="or-IN"/>
              </w:rPr>
              <w:t>Ogasun zuzendaria</w:t>
            </w:r>
          </w:p>
          <w:p w14:paraId="66F165C7" w14:textId="77777777" w:rsidR="00236ADC" w:rsidRPr="00236ADC" w:rsidRDefault="009C0CCB" w:rsidP="00236ADC">
            <w:pPr>
              <w:spacing w:after="0" w:line="240" w:lineRule="exact"/>
              <w:jc w:val="left"/>
              <w:rPr>
                <w:rFonts w:cs="Arial"/>
                <w:lang w:val="es-ES" w:bidi="or-IN"/>
              </w:rPr>
            </w:pPr>
            <w:r>
              <w:rPr>
                <w:rFonts w:cs="Arial"/>
                <w:szCs w:val="22"/>
                <w:lang w:val="eu-ES" w:bidi="or-IN"/>
              </w:rPr>
              <w:t xml:space="preserve">Directora de Hacienda </w:t>
            </w:r>
          </w:p>
        </w:tc>
        <w:tc>
          <w:tcPr>
            <w:tcW w:w="4605" w:type="dxa"/>
          </w:tcPr>
          <w:p w14:paraId="55DA7DA6" w14:textId="77777777" w:rsidR="00236ADC" w:rsidRPr="00236ADC" w:rsidRDefault="00236ADC" w:rsidP="00236ADC">
            <w:pPr>
              <w:spacing w:after="20" w:line="240" w:lineRule="exact"/>
              <w:jc w:val="left"/>
              <w:rPr>
                <w:rFonts w:cs="Arial"/>
                <w:lang w:val="es-ES" w:bidi="or-IN"/>
              </w:rPr>
            </w:pPr>
          </w:p>
        </w:tc>
      </w:tr>
      <w:tr w:rsidR="002D7488" w14:paraId="616292E0" w14:textId="77777777">
        <w:trPr>
          <w:trHeight w:val="1541"/>
        </w:trPr>
        <w:tc>
          <w:tcPr>
            <w:tcW w:w="4605" w:type="dxa"/>
          </w:tcPr>
          <w:p w14:paraId="0EC74B1F" w14:textId="77777777" w:rsidR="00AD4D4A" w:rsidRDefault="00AD4D4A">
            <w:pPr>
              <w:spacing w:after="20" w:line="240" w:lineRule="exact"/>
              <w:jc w:val="left"/>
              <w:rPr>
                <w:lang w:val="es-ES"/>
              </w:rPr>
            </w:pPr>
          </w:p>
          <w:p w14:paraId="0E999545" w14:textId="77777777" w:rsidR="00171297" w:rsidRDefault="00171297">
            <w:pPr>
              <w:spacing w:after="20" w:line="240" w:lineRule="exact"/>
              <w:jc w:val="left"/>
              <w:rPr>
                <w:lang w:val="es-ES"/>
              </w:rPr>
            </w:pPr>
          </w:p>
        </w:tc>
        <w:tc>
          <w:tcPr>
            <w:tcW w:w="4605" w:type="dxa"/>
          </w:tcPr>
          <w:p w14:paraId="3500239A" w14:textId="77777777" w:rsidR="00AD4D4A" w:rsidRPr="000D6880" w:rsidRDefault="00AD4D4A" w:rsidP="00D244FB">
            <w:pPr>
              <w:spacing w:after="20" w:line="240" w:lineRule="exact"/>
              <w:jc w:val="left"/>
            </w:pPr>
          </w:p>
        </w:tc>
      </w:tr>
      <w:tr w:rsidR="002D7488" w14:paraId="77439B10" w14:textId="77777777">
        <w:tc>
          <w:tcPr>
            <w:tcW w:w="4605" w:type="dxa"/>
          </w:tcPr>
          <w:p w14:paraId="1DA9839A" w14:textId="77777777" w:rsidR="00AD4D4A" w:rsidRDefault="00AD4D4A">
            <w:pPr>
              <w:spacing w:after="20" w:line="240" w:lineRule="exact"/>
              <w:jc w:val="left"/>
              <w:rPr>
                <w:lang w:val="es-ES"/>
              </w:rPr>
            </w:pPr>
          </w:p>
        </w:tc>
        <w:tc>
          <w:tcPr>
            <w:tcW w:w="4605" w:type="dxa"/>
          </w:tcPr>
          <w:p w14:paraId="0B2A77D3" w14:textId="77777777" w:rsidR="00AD4D4A" w:rsidRDefault="00AD4D4A">
            <w:pPr>
              <w:spacing w:after="20" w:line="240" w:lineRule="exact"/>
              <w:rPr>
                <w:lang w:val="es-ES"/>
              </w:rPr>
            </w:pPr>
          </w:p>
        </w:tc>
      </w:tr>
    </w:tbl>
    <w:p w14:paraId="77A0A49A" w14:textId="77777777" w:rsidR="00AD4D4A" w:rsidRDefault="00AD4D4A">
      <w:pPr>
        <w:pStyle w:val="Encabezado"/>
        <w:tabs>
          <w:tab w:val="clear" w:pos="4252"/>
          <w:tab w:val="clear" w:pos="8504"/>
        </w:tabs>
        <w:spacing w:after="0"/>
        <w:rPr>
          <w:lang w:val="es-ES"/>
        </w:rPr>
      </w:pPr>
    </w:p>
    <w:p w14:paraId="68D7A872" w14:textId="77777777" w:rsidR="00AD4D4A" w:rsidRDefault="00AD4D4A">
      <w:pPr>
        <w:spacing w:before="120"/>
        <w:rPr>
          <w:lang w:val="es-ES"/>
        </w:rPr>
      </w:pPr>
    </w:p>
    <w:sectPr w:rsidR="00AD4D4A" w:rsidSect="00B736F8">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977A" w14:textId="77777777" w:rsidR="009C0CCB" w:rsidRDefault="009C0CCB">
      <w:pPr>
        <w:spacing w:after="0"/>
      </w:pPr>
      <w:r>
        <w:separator/>
      </w:r>
    </w:p>
  </w:endnote>
  <w:endnote w:type="continuationSeparator" w:id="0">
    <w:p w14:paraId="0F44D884" w14:textId="77777777" w:rsidR="009C0CCB" w:rsidRDefault="009C0C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6339" w14:textId="77777777" w:rsidR="00DF5BC0" w:rsidRDefault="00DF5B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38DF" w14:textId="77777777" w:rsidR="00AD4D4A" w:rsidRDefault="009C0CCB">
    <w:pPr>
      <w:pStyle w:val="Piedepgina"/>
      <w:tabs>
        <w:tab w:val="clear" w:pos="4252"/>
        <w:tab w:val="clear" w:pos="8504"/>
      </w:tabs>
      <w:spacing w:after="0"/>
      <w:jc w:val="right"/>
    </w:pPr>
    <w:r>
      <w:rPr>
        <w:rStyle w:val="Nmerodepgina"/>
        <w:sz w:val="20"/>
      </w:rPr>
      <w:fldChar w:fldCharType="begin"/>
    </w:r>
    <w:r>
      <w:rPr>
        <w:rStyle w:val="Nmerodepgina"/>
        <w:sz w:val="20"/>
      </w:rPr>
      <w:instrText xml:space="preserve"> PAGE </w:instrText>
    </w:r>
    <w:r>
      <w:rPr>
        <w:rStyle w:val="Nmerodepgina"/>
        <w:sz w:val="20"/>
      </w:rPr>
      <w:fldChar w:fldCharType="separate"/>
    </w:r>
    <w:r w:rsidR="00DF5BC0">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DF5BC0">
      <w:rPr>
        <w:rStyle w:val="Nmerodepgina"/>
        <w:noProof/>
        <w:sz w:val="20"/>
      </w:rPr>
      <w:t>2</w:t>
    </w:r>
    <w:r>
      <w:rPr>
        <w:rStyle w:val="Nmerodepgin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B96A" w14:textId="77777777" w:rsidR="00AD4D4A" w:rsidRDefault="009C0CCB">
    <w:pPr>
      <w:pStyle w:val="Piedepgina"/>
      <w:tabs>
        <w:tab w:val="clear" w:pos="4252"/>
        <w:tab w:val="clear" w:pos="8504"/>
        <w:tab w:val="right" w:pos="9072"/>
      </w:tabs>
      <w:spacing w:after="0"/>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DF5BC0">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DF5BC0">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2825" w14:textId="77777777" w:rsidR="009C0CCB" w:rsidRDefault="009C0CCB">
      <w:pPr>
        <w:spacing w:after="0"/>
      </w:pPr>
      <w:r>
        <w:separator/>
      </w:r>
    </w:p>
  </w:footnote>
  <w:footnote w:type="continuationSeparator" w:id="0">
    <w:p w14:paraId="429B8D66" w14:textId="77777777" w:rsidR="009C0CCB" w:rsidRDefault="009C0C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EED0" w14:textId="77777777" w:rsidR="00DF5BC0" w:rsidRDefault="00DF5B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2D7488" w14:paraId="2061F504" w14:textId="77777777">
      <w:trPr>
        <w:cantSplit/>
        <w:trHeight w:val="338"/>
      </w:trPr>
      <w:tc>
        <w:tcPr>
          <w:tcW w:w="3856" w:type="dxa"/>
        </w:tcPr>
        <w:p w14:paraId="606E05DF" w14:textId="77777777" w:rsidR="00AD4D4A" w:rsidRDefault="00AD4D4A">
          <w:pPr>
            <w:pStyle w:val="Encabezado"/>
          </w:pPr>
        </w:p>
      </w:tc>
      <w:tc>
        <w:tcPr>
          <w:tcW w:w="1361" w:type="dxa"/>
          <w:vMerge w:val="restart"/>
        </w:tcPr>
        <w:p w14:paraId="77E4291B" w14:textId="77777777" w:rsidR="00AD4D4A" w:rsidRDefault="009C0CCB">
          <w:pPr>
            <w:pStyle w:val="Encabezado"/>
            <w:jc w:val="center"/>
          </w:pPr>
          <w:r>
            <w:rPr>
              <w:noProof/>
            </w:rPr>
            <w:drawing>
              <wp:inline distT="0" distB="0" distL="0" distR="0" wp14:anchorId="6F902170" wp14:editId="075FB3C3">
                <wp:extent cx="436880" cy="43688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6880" cy="436880"/>
                        </a:xfrm>
                        <a:prstGeom prst="rect">
                          <a:avLst/>
                        </a:prstGeom>
                        <a:noFill/>
                        <a:ln>
                          <a:noFill/>
                        </a:ln>
                      </pic:spPr>
                    </pic:pic>
                  </a:graphicData>
                </a:graphic>
              </wp:inline>
            </w:drawing>
          </w:r>
        </w:p>
      </w:tc>
      <w:tc>
        <w:tcPr>
          <w:tcW w:w="3856" w:type="dxa"/>
        </w:tcPr>
        <w:p w14:paraId="0709DCA2" w14:textId="77777777" w:rsidR="00AD4D4A" w:rsidRDefault="00AD4D4A">
          <w:pPr>
            <w:pStyle w:val="Encabezado"/>
          </w:pPr>
        </w:p>
      </w:tc>
    </w:tr>
    <w:tr w:rsidR="002D7488" w14:paraId="5B920999" w14:textId="77777777">
      <w:trPr>
        <w:cantSplit/>
        <w:trHeight w:val="337"/>
      </w:trPr>
      <w:tc>
        <w:tcPr>
          <w:tcW w:w="3856" w:type="dxa"/>
        </w:tcPr>
        <w:p w14:paraId="69015CD6" w14:textId="77777777" w:rsidR="00AD4D4A" w:rsidRDefault="00AD4D4A">
          <w:pPr>
            <w:pStyle w:val="Encabezado"/>
          </w:pPr>
        </w:p>
      </w:tc>
      <w:tc>
        <w:tcPr>
          <w:tcW w:w="1361" w:type="dxa"/>
          <w:vMerge/>
        </w:tcPr>
        <w:p w14:paraId="74537B65" w14:textId="77777777" w:rsidR="00AD4D4A" w:rsidRDefault="00AD4D4A">
          <w:pPr>
            <w:pStyle w:val="Encabezado"/>
            <w:jc w:val="center"/>
          </w:pPr>
        </w:p>
      </w:tc>
      <w:tc>
        <w:tcPr>
          <w:tcW w:w="3856" w:type="dxa"/>
        </w:tcPr>
        <w:p w14:paraId="41B1C2FC" w14:textId="77777777" w:rsidR="00AD4D4A" w:rsidRDefault="00AD4D4A">
          <w:pPr>
            <w:pStyle w:val="Encabezado"/>
          </w:pPr>
        </w:p>
      </w:tc>
    </w:tr>
  </w:tbl>
  <w:p w14:paraId="0C871A70" w14:textId="77777777" w:rsidR="00AD4D4A" w:rsidRDefault="00AD4D4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2D7488" w14:paraId="2D7C4C32" w14:textId="77777777">
      <w:tc>
        <w:tcPr>
          <w:tcW w:w="6804" w:type="dxa"/>
        </w:tcPr>
        <w:p w14:paraId="0B5F5BC1" w14:textId="77777777" w:rsidR="00AD4D4A" w:rsidRDefault="009C0CCB">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D7FEC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20128384" r:id="rId2"/>
            </w:object>
          </w:r>
        </w:p>
        <w:p w14:paraId="644FB6C1" w14:textId="77777777" w:rsidR="00AD4D4A" w:rsidRDefault="00AD4D4A">
          <w:pPr>
            <w:pStyle w:val="Encabezado"/>
            <w:spacing w:after="0"/>
            <w:ind w:left="1066"/>
            <w:rPr>
              <w:rFonts w:ascii="Arial" w:hAnsi="Arial"/>
              <w:noProof/>
              <w:sz w:val="16"/>
            </w:rPr>
          </w:pPr>
        </w:p>
      </w:tc>
      <w:tc>
        <w:tcPr>
          <w:tcW w:w="3402" w:type="dxa"/>
        </w:tcPr>
        <w:p w14:paraId="6122FA6E" w14:textId="77777777" w:rsidR="00AD4D4A" w:rsidRDefault="009C0CCB">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15EE3285" w14:textId="77777777" w:rsidR="00AD4D4A" w:rsidRDefault="009C0CCB">
          <w:pPr>
            <w:pStyle w:val="Encabezado"/>
            <w:tabs>
              <w:tab w:val="clear" w:pos="4252"/>
            </w:tabs>
            <w:spacing w:line="240" w:lineRule="exact"/>
            <w:ind w:left="-68"/>
            <w:rPr>
              <w:rFonts w:ascii="Arial" w:hAnsi="Arial"/>
              <w:b/>
              <w:noProof/>
              <w:sz w:val="18"/>
            </w:rPr>
          </w:pPr>
          <w:r>
            <w:rPr>
              <w:rFonts w:ascii="Arial" w:eastAsia="Arial" w:hAnsi="Arial"/>
              <w:b/>
              <w:bCs/>
              <w:noProof/>
              <w:sz w:val="18"/>
              <w:szCs w:val="18"/>
              <w:lang w:val="eu-ES"/>
            </w:rPr>
            <w:t>Consejo de Gobierno Foral</w:t>
          </w:r>
        </w:p>
        <w:p w14:paraId="6E14C2A6" w14:textId="77777777" w:rsidR="00AD4D4A" w:rsidRDefault="00AD4D4A">
          <w:pPr>
            <w:pStyle w:val="Encabezado"/>
            <w:tabs>
              <w:tab w:val="clear" w:pos="4252"/>
            </w:tabs>
            <w:ind w:left="-70"/>
            <w:rPr>
              <w:rFonts w:ascii="Arial" w:hAnsi="Arial"/>
              <w:noProof/>
              <w:sz w:val="18"/>
            </w:rPr>
          </w:pPr>
        </w:p>
      </w:tc>
    </w:tr>
  </w:tbl>
  <w:p w14:paraId="1483F79A" w14:textId="77777777" w:rsidR="00AD4D4A" w:rsidRDefault="00AD4D4A">
    <w:pPr>
      <w:pStyle w:val="Encabezado"/>
      <w:pBdr>
        <w:top w:val="single" w:sz="4" w:space="1" w:color="auto"/>
      </w:pBdr>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61833"/>
    <w:multiLevelType w:val="singleLevel"/>
    <w:tmpl w:val="9F7CEC0A"/>
    <w:lvl w:ilvl="0">
      <w:start w:val="1"/>
      <w:numFmt w:val="bullet"/>
      <w:lvlText w:val=""/>
      <w:lvlJc w:val="left"/>
      <w:pPr>
        <w:tabs>
          <w:tab w:val="num" w:pos="644"/>
        </w:tabs>
        <w:ind w:left="284" w:firstLine="0"/>
      </w:pPr>
      <w:rPr>
        <w:rFonts w:ascii="Symbol" w:hAnsi="Symbol" w:hint="default"/>
        <w:sz w:val="22"/>
      </w:rPr>
    </w:lvl>
  </w:abstractNum>
  <w:abstractNum w:abstractNumId="1" w15:restartNumberingAfterBreak="0">
    <w:nsid w:val="76C94667"/>
    <w:multiLevelType w:val="singleLevel"/>
    <w:tmpl w:val="ADF637A6"/>
    <w:lvl w:ilvl="0">
      <w:start w:val="1"/>
      <w:numFmt w:val="bullet"/>
      <w:lvlText w:val=""/>
      <w:lvlJc w:val="left"/>
      <w:pPr>
        <w:tabs>
          <w:tab w:val="num" w:pos="360"/>
        </w:tabs>
        <w:ind w:left="227" w:hanging="227"/>
      </w:pPr>
      <w:rPr>
        <w:rFonts w:ascii="Symbol" w:hAnsi="Symbol" w:hint="default"/>
        <w:sz w:val="24"/>
      </w:rPr>
    </w:lvl>
  </w:abstractNum>
  <w:num w:numId="1" w16cid:durableId="893850205">
    <w:abstractNumId w:val="1"/>
  </w:num>
  <w:num w:numId="2" w16cid:durableId="59868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70"/>
    <w:rsid w:val="00022205"/>
    <w:rsid w:val="00033C27"/>
    <w:rsid w:val="0004129E"/>
    <w:rsid w:val="00070FEE"/>
    <w:rsid w:val="0007618E"/>
    <w:rsid w:val="000A197E"/>
    <w:rsid w:val="000C1F78"/>
    <w:rsid w:val="000D6880"/>
    <w:rsid w:val="001005A6"/>
    <w:rsid w:val="00155011"/>
    <w:rsid w:val="00171297"/>
    <w:rsid w:val="00182CDF"/>
    <w:rsid w:val="00212094"/>
    <w:rsid w:val="00236ADC"/>
    <w:rsid w:val="00246661"/>
    <w:rsid w:val="002D6D17"/>
    <w:rsid w:val="002D7488"/>
    <w:rsid w:val="002F025D"/>
    <w:rsid w:val="00347401"/>
    <w:rsid w:val="0037292A"/>
    <w:rsid w:val="00373F5A"/>
    <w:rsid w:val="00374966"/>
    <w:rsid w:val="00446805"/>
    <w:rsid w:val="004865C6"/>
    <w:rsid w:val="00493CA5"/>
    <w:rsid w:val="004B2414"/>
    <w:rsid w:val="005413B2"/>
    <w:rsid w:val="005C71C9"/>
    <w:rsid w:val="00614B70"/>
    <w:rsid w:val="006376FA"/>
    <w:rsid w:val="006724C7"/>
    <w:rsid w:val="006E73DA"/>
    <w:rsid w:val="0070148E"/>
    <w:rsid w:val="00712472"/>
    <w:rsid w:val="007A0A7C"/>
    <w:rsid w:val="007A1C90"/>
    <w:rsid w:val="0085557B"/>
    <w:rsid w:val="008667F6"/>
    <w:rsid w:val="008C1C77"/>
    <w:rsid w:val="00903B1E"/>
    <w:rsid w:val="009351B2"/>
    <w:rsid w:val="00964F65"/>
    <w:rsid w:val="009A4555"/>
    <w:rsid w:val="009C0CCB"/>
    <w:rsid w:val="00A50E9E"/>
    <w:rsid w:val="00A75A2E"/>
    <w:rsid w:val="00A905BE"/>
    <w:rsid w:val="00AD4D4A"/>
    <w:rsid w:val="00B736F8"/>
    <w:rsid w:val="00BB3A0A"/>
    <w:rsid w:val="00C014A4"/>
    <w:rsid w:val="00CE71B7"/>
    <w:rsid w:val="00D20860"/>
    <w:rsid w:val="00D244FB"/>
    <w:rsid w:val="00D60FEA"/>
    <w:rsid w:val="00DF5BC0"/>
    <w:rsid w:val="00E1540F"/>
    <w:rsid w:val="00E16BD7"/>
    <w:rsid w:val="00E452F2"/>
    <w:rsid w:val="00E46726"/>
    <w:rsid w:val="00EA4A35"/>
    <w:rsid w:val="00EC0404"/>
    <w:rsid w:val="00F319E0"/>
    <w:rsid w:val="00F729D1"/>
    <w:rsid w:val="00FB35D3"/>
    <w:rsid w:val="00FE41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4D1DF"/>
  <w15:chartTrackingRefBased/>
  <w15:docId w15:val="{B58E2607-EFE1-4313-AC19-9B50B4E5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lang w:val="es-ES_tradnl"/>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after="0"/>
      <w:outlineLvl w:val="1"/>
    </w:pPr>
    <w:rPr>
      <w:b/>
      <w:sz w:val="24"/>
    </w:rPr>
  </w:style>
  <w:style w:type="paragraph" w:styleId="Ttulo3">
    <w:name w:val="heading 3"/>
    <w:basedOn w:val="Normal"/>
    <w:next w:val="Normal"/>
    <w:qFormat/>
    <w:pPr>
      <w:keepNext/>
      <w:spacing w:before="240" w:after="360"/>
      <w:jc w:val="center"/>
      <w:outlineLvl w:val="2"/>
    </w:pPr>
    <w:rPr>
      <w:rFonts w:ascii="Arial" w:hAnsi="Arial"/>
      <w:b/>
      <w:lang w:val="es-ES"/>
    </w:rPr>
  </w:style>
  <w:style w:type="paragraph" w:styleId="Ttulo4">
    <w:name w:val="heading 4"/>
    <w:basedOn w:val="Normal"/>
    <w:next w:val="Normal"/>
    <w:qFormat/>
    <w:pPr>
      <w:keepNext/>
      <w:spacing w:before="120" w:after="120"/>
      <w:jc w:val="left"/>
      <w:outlineLvl w:val="3"/>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style>
  <w:style w:type="paragraph" w:styleId="Textoindependiente2">
    <w:name w:val="Body Text 2"/>
    <w:basedOn w:val="Normal"/>
    <w:semiHidden/>
    <w:pPr>
      <w:tabs>
        <w:tab w:val="right" w:pos="8789"/>
      </w:tabs>
      <w:spacing w:after="48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401</Words>
  <Characters>2943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HALARREA_ANA</dc:creator>
  <cp:lastModifiedBy>Peral Diez, Elena</cp:lastModifiedBy>
  <cp:revision>4</cp:revision>
  <cp:lastPrinted>2025-09-23T08:25:00Z</cp:lastPrinted>
  <dcterms:created xsi:type="dcterms:W3CDTF">2025-09-23T06:43:00Z</dcterms:created>
  <dcterms:modified xsi:type="dcterms:W3CDTF">2025-09-23T08:27:00Z</dcterms:modified>
</cp:coreProperties>
</file>