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95AC" w14:textId="77777777" w:rsidR="00062731" w:rsidRDefault="00062731" w:rsidP="00651B8D">
      <w:pPr>
        <w:jc w:val="both"/>
        <w:rPr>
          <w:b/>
          <w:sz w:val="24"/>
          <w:szCs w:val="24"/>
        </w:rPr>
      </w:pPr>
    </w:p>
    <w:p w14:paraId="300B8788" w14:textId="77777777" w:rsidR="00062731" w:rsidRPr="002E63DE" w:rsidRDefault="00062731" w:rsidP="00651B8D">
      <w:pPr>
        <w:jc w:val="both"/>
        <w:rPr>
          <w:color w:val="000000"/>
          <w:sz w:val="24"/>
          <w:szCs w:val="24"/>
          <w:lang w:val="es-ES_tradnl" w:eastAsia="es-ES_tradnl"/>
        </w:rPr>
      </w:pPr>
    </w:p>
    <w:p w14:paraId="455B311E" w14:textId="77777777" w:rsidR="00062731" w:rsidRDefault="00062731" w:rsidP="00062731">
      <w:pPr>
        <w:jc w:val="both"/>
        <w:rPr>
          <w:b/>
          <w:sz w:val="24"/>
          <w:szCs w:val="24"/>
        </w:rPr>
      </w:pPr>
    </w:p>
    <w:p w14:paraId="07E38BBF" w14:textId="77777777" w:rsidR="009010A7" w:rsidRDefault="00062731" w:rsidP="00246FC6">
      <w:pPr>
        <w:pStyle w:val="Prrafodelista"/>
        <w:ind w:left="426" w:hanging="426"/>
        <w:jc w:val="center"/>
        <w:rPr>
          <w:b/>
          <w:caps/>
          <w:sz w:val="24"/>
          <w:szCs w:val="24"/>
        </w:rPr>
      </w:pPr>
      <w:r>
        <w:rPr>
          <w:b/>
          <w:caps/>
          <w:sz w:val="24"/>
          <w:szCs w:val="24"/>
        </w:rPr>
        <w:t>resolución</w:t>
      </w:r>
      <w:r w:rsidR="009010A7">
        <w:rPr>
          <w:b/>
          <w:caps/>
          <w:sz w:val="24"/>
          <w:szCs w:val="24"/>
        </w:rPr>
        <w:t>:</w:t>
      </w:r>
    </w:p>
    <w:p w14:paraId="48CD62D6" w14:textId="5B653306" w:rsidR="008273F6" w:rsidRDefault="00062731" w:rsidP="00246FC6">
      <w:pPr>
        <w:pStyle w:val="Prrafodelista"/>
        <w:ind w:left="426" w:hanging="426"/>
        <w:jc w:val="center"/>
        <w:rPr>
          <w:b/>
          <w:caps/>
          <w:sz w:val="24"/>
          <w:szCs w:val="24"/>
        </w:rPr>
      </w:pPr>
      <w:r>
        <w:rPr>
          <w:b/>
          <w:caps/>
          <w:sz w:val="24"/>
          <w:szCs w:val="24"/>
        </w:rPr>
        <w:t xml:space="preserve"> </w:t>
      </w:r>
      <w:r w:rsidR="008273F6">
        <w:rPr>
          <w:b/>
          <w:caps/>
          <w:sz w:val="24"/>
          <w:szCs w:val="24"/>
        </w:rPr>
        <w:t>ASUNTOS</w:t>
      </w:r>
      <w:r w:rsidR="009010A7">
        <w:rPr>
          <w:b/>
          <w:caps/>
          <w:sz w:val="24"/>
          <w:szCs w:val="24"/>
        </w:rPr>
        <w:t>:</w:t>
      </w:r>
      <w:r w:rsidR="008273F6">
        <w:rPr>
          <w:b/>
          <w:caps/>
          <w:sz w:val="24"/>
          <w:szCs w:val="24"/>
        </w:rPr>
        <w:t xml:space="preserve"> CUENTAS  DE LOS CONCEJOS DE MENDIBIL Y AMÁRITA</w:t>
      </w:r>
    </w:p>
    <w:p w14:paraId="67303AC3" w14:textId="44745959" w:rsidR="002A4C24" w:rsidRDefault="002A4C24" w:rsidP="00246FC6">
      <w:pPr>
        <w:pStyle w:val="Prrafodelista"/>
        <w:ind w:left="426" w:hanging="426"/>
        <w:jc w:val="center"/>
        <w:rPr>
          <w:b/>
          <w:bCs/>
          <w:sz w:val="24"/>
          <w:szCs w:val="24"/>
        </w:rPr>
      </w:pPr>
    </w:p>
    <w:p w14:paraId="231FD483" w14:textId="3711E469" w:rsidR="00A60C5D" w:rsidRDefault="008273F6" w:rsidP="00D25B93">
      <w:pPr>
        <w:pStyle w:val="Prrafodelista"/>
        <w:ind w:left="0"/>
        <w:jc w:val="center"/>
        <w:rPr>
          <w:b/>
          <w:sz w:val="22"/>
          <w:szCs w:val="22"/>
        </w:rPr>
      </w:pPr>
      <w:r>
        <w:rPr>
          <w:b/>
          <w:sz w:val="22"/>
          <w:szCs w:val="22"/>
        </w:rPr>
        <w:t>( SESIÓN 27 MAYO 2025)</w:t>
      </w:r>
    </w:p>
    <w:p w14:paraId="1B130D84" w14:textId="77777777" w:rsidR="0010682A" w:rsidRPr="002A4C24" w:rsidRDefault="0010682A" w:rsidP="00D25B93">
      <w:pPr>
        <w:pStyle w:val="Prrafodelista"/>
        <w:ind w:left="0"/>
        <w:jc w:val="center"/>
        <w:rPr>
          <w:b/>
          <w:bCs/>
          <w:sz w:val="22"/>
          <w:szCs w:val="22"/>
        </w:rPr>
      </w:pPr>
    </w:p>
    <w:p w14:paraId="12E981A8" w14:textId="77777777" w:rsidR="00A60C5D" w:rsidRPr="002A4C24" w:rsidRDefault="00A60C5D" w:rsidP="00D25B93">
      <w:pPr>
        <w:pStyle w:val="Prrafodelista"/>
        <w:ind w:left="0"/>
        <w:jc w:val="both"/>
        <w:rPr>
          <w:b/>
          <w:bCs/>
          <w:caps/>
          <w:sz w:val="22"/>
          <w:szCs w:val="22"/>
        </w:rPr>
      </w:pPr>
    </w:p>
    <w:p w14:paraId="26C60CF3" w14:textId="77777777" w:rsidR="00D25B93" w:rsidRDefault="00D25B93" w:rsidP="0010682A">
      <w:pPr>
        <w:jc w:val="center"/>
        <w:rPr>
          <w:b/>
          <w:color w:val="000000"/>
          <w:sz w:val="24"/>
          <w:szCs w:val="24"/>
          <w:lang w:val="es-ES_tradnl" w:eastAsia="es-ES_tradnl"/>
        </w:rPr>
      </w:pPr>
      <w:r w:rsidRPr="002D0911">
        <w:rPr>
          <w:b/>
          <w:color w:val="000000"/>
          <w:sz w:val="24"/>
          <w:szCs w:val="24"/>
          <w:lang w:val="es-ES_tradnl" w:eastAsia="es-ES_tradnl"/>
        </w:rPr>
        <w:t>ANTECEDENTES DE HECHOS</w:t>
      </w:r>
    </w:p>
    <w:p w14:paraId="16EB8944" w14:textId="77777777" w:rsidR="00D25B93" w:rsidRPr="002D0911" w:rsidRDefault="00D25B93" w:rsidP="00D25B93">
      <w:pPr>
        <w:jc w:val="center"/>
        <w:rPr>
          <w:b/>
          <w:color w:val="000000"/>
          <w:sz w:val="24"/>
          <w:szCs w:val="24"/>
          <w:lang w:val="es-ES_tradnl" w:eastAsia="es-ES_tradnl"/>
        </w:rPr>
      </w:pPr>
    </w:p>
    <w:p w14:paraId="64FDB803" w14:textId="77777777" w:rsidR="00D25B93" w:rsidRPr="002D0911" w:rsidRDefault="00D25B93" w:rsidP="00D25B93">
      <w:pPr>
        <w:jc w:val="both"/>
        <w:rPr>
          <w:color w:val="000000"/>
          <w:sz w:val="24"/>
          <w:szCs w:val="24"/>
          <w:lang w:val="es-ES_tradnl" w:eastAsia="es-ES_tradnl"/>
        </w:rPr>
      </w:pPr>
    </w:p>
    <w:p w14:paraId="50AD3E57" w14:textId="15F4A48A" w:rsidR="00D25B93" w:rsidRPr="0010682A" w:rsidRDefault="00D25B93" w:rsidP="00D25B93">
      <w:pPr>
        <w:jc w:val="both"/>
        <w:rPr>
          <w:color w:val="000000"/>
          <w:sz w:val="24"/>
          <w:szCs w:val="24"/>
          <w:lang w:val="es-ES_tradnl" w:eastAsia="es-ES_tradnl"/>
        </w:rPr>
      </w:pPr>
      <w:r w:rsidRPr="002D0911">
        <w:rPr>
          <w:b/>
          <w:color w:val="000000"/>
          <w:sz w:val="24"/>
          <w:szCs w:val="24"/>
          <w:lang w:val="es-ES_tradnl" w:eastAsia="es-ES_tradnl"/>
        </w:rPr>
        <w:t>Primero</w:t>
      </w:r>
      <w:r w:rsidRPr="002D0911">
        <w:rPr>
          <w:color w:val="000000"/>
          <w:sz w:val="24"/>
          <w:szCs w:val="24"/>
          <w:lang w:val="es-ES_tradnl" w:eastAsia="es-ES_tradnl"/>
        </w:rPr>
        <w:t xml:space="preserve">.- Según se desprende de la documentación obrante en el expediente, el </w:t>
      </w:r>
      <w:r>
        <w:rPr>
          <w:color w:val="000000"/>
          <w:sz w:val="24"/>
          <w:szCs w:val="24"/>
          <w:lang w:val="es-ES_tradnl" w:eastAsia="es-ES_tradnl"/>
        </w:rPr>
        <w:t xml:space="preserve">24 de marzo de 2025 </w:t>
      </w:r>
      <w:r w:rsidR="00077790" w:rsidRPr="00077790">
        <w:rPr>
          <w:color w:val="000000"/>
          <w:sz w:val="24"/>
          <w:szCs w:val="24"/>
          <w:highlight w:val="black"/>
          <w:lang w:val="es-ES_tradnl" w:eastAsia="es-ES_tradnl"/>
        </w:rPr>
        <w:t>XXXXX</w:t>
      </w:r>
      <w:r>
        <w:rPr>
          <w:color w:val="000000"/>
          <w:sz w:val="24"/>
          <w:szCs w:val="24"/>
          <w:lang w:val="es-ES_tradnl" w:eastAsia="es-ES_tradnl"/>
        </w:rPr>
        <w:t xml:space="preserve"> </w:t>
      </w:r>
      <w:r w:rsidRPr="002D0911">
        <w:rPr>
          <w:color w:val="000000"/>
          <w:sz w:val="24"/>
          <w:szCs w:val="24"/>
          <w:lang w:val="es-ES_tradnl" w:eastAsia="es-ES_tradnl"/>
        </w:rPr>
        <w:t>presentó en</w:t>
      </w:r>
      <w:r>
        <w:rPr>
          <w:color w:val="000000"/>
          <w:sz w:val="24"/>
          <w:szCs w:val="24"/>
          <w:lang w:val="es-ES_tradnl" w:eastAsia="es-ES_tradnl"/>
        </w:rPr>
        <w:t xml:space="preserve"> el Registro de la Diputación Foral de Álava </w:t>
      </w:r>
      <w:r w:rsidRPr="002D0911">
        <w:rPr>
          <w:color w:val="000000"/>
          <w:sz w:val="24"/>
          <w:szCs w:val="24"/>
          <w:lang w:val="es-ES_tradnl" w:eastAsia="es-ES_tradnl"/>
        </w:rPr>
        <w:t xml:space="preserve">una solicitud de acceso </w:t>
      </w:r>
      <w:r>
        <w:rPr>
          <w:color w:val="000000"/>
          <w:sz w:val="24"/>
          <w:szCs w:val="24"/>
          <w:lang w:val="es-ES_tradnl" w:eastAsia="es-ES_tradnl"/>
        </w:rPr>
        <w:t xml:space="preserve">a las cuentas del Concejo de Mendibil aprobadas por esta Diputación y </w:t>
      </w:r>
      <w:r w:rsidRPr="00466BA7">
        <w:rPr>
          <w:color w:val="000000"/>
          <w:sz w:val="24"/>
          <w:szCs w:val="24"/>
          <w:lang w:val="es-ES_tradnl" w:eastAsia="es-ES_tradnl"/>
        </w:rPr>
        <w:t>correspondientes a los años 1995, 1996, 1997, 1998, 1999, 2000, 2001, 2002, 2003, 2004, 2005,</w:t>
      </w:r>
      <w:r w:rsidRPr="00466BA7">
        <w:rPr>
          <w:color w:val="000000"/>
          <w:sz w:val="24"/>
          <w:szCs w:val="24"/>
          <w:lang w:eastAsia="es-ES_tradnl"/>
        </w:rPr>
        <w:t>2006, 2007, 2008, 2009, 2010, 2011, 2012, 2013, 2014, 2015, 2016, 2017, 2018, 2019, 2020, 2021, 2022, 2023, 2024.</w:t>
      </w:r>
    </w:p>
    <w:p w14:paraId="213D81B9" w14:textId="77777777" w:rsidR="00D25B93" w:rsidRDefault="00D25B93" w:rsidP="00D25B93">
      <w:pPr>
        <w:jc w:val="both"/>
        <w:rPr>
          <w:color w:val="000000"/>
          <w:sz w:val="24"/>
          <w:szCs w:val="24"/>
          <w:lang w:eastAsia="es-ES_tradnl"/>
        </w:rPr>
      </w:pPr>
    </w:p>
    <w:p w14:paraId="4FA6622F" w14:textId="77777777" w:rsidR="00D25B93" w:rsidRDefault="00D25B93" w:rsidP="00D25B93">
      <w:pPr>
        <w:jc w:val="both"/>
        <w:rPr>
          <w:color w:val="000000"/>
          <w:sz w:val="24"/>
          <w:szCs w:val="24"/>
          <w:lang w:eastAsia="es-ES_tradnl"/>
        </w:rPr>
      </w:pPr>
      <w:r>
        <w:rPr>
          <w:color w:val="000000"/>
          <w:sz w:val="24"/>
          <w:szCs w:val="24"/>
          <w:lang w:eastAsia="es-ES_tradnl"/>
        </w:rPr>
        <w:t xml:space="preserve">Asimismo, en la misma fecha, presentó otra solicitud de acceso, referida a las cuentas del Concejo de Amárita de los años 1995, </w:t>
      </w:r>
      <w:r w:rsidRPr="00466BA7">
        <w:rPr>
          <w:color w:val="000000"/>
          <w:sz w:val="24"/>
          <w:szCs w:val="24"/>
          <w:lang w:eastAsia="es-ES_tradnl"/>
        </w:rPr>
        <w:t>2017, 2018, 2019, 2020, 2021, 2022, 2023, 2024.</w:t>
      </w:r>
    </w:p>
    <w:p w14:paraId="3D1185F5" w14:textId="77777777" w:rsidR="00D25B93" w:rsidRPr="00242E92" w:rsidRDefault="00D25B93" w:rsidP="00D25B93">
      <w:pPr>
        <w:jc w:val="both"/>
        <w:rPr>
          <w:color w:val="000000"/>
          <w:sz w:val="24"/>
          <w:szCs w:val="24"/>
          <w:lang w:eastAsia="es-ES_tradnl"/>
        </w:rPr>
      </w:pPr>
    </w:p>
    <w:p w14:paraId="644CDC85" w14:textId="198A9DF6" w:rsidR="00D25B93" w:rsidRDefault="00D25B93" w:rsidP="00D25B93">
      <w:pPr>
        <w:jc w:val="both"/>
        <w:rPr>
          <w:sz w:val="24"/>
          <w:szCs w:val="24"/>
        </w:rPr>
      </w:pPr>
      <w:r w:rsidRPr="00242E92">
        <w:rPr>
          <w:b/>
          <w:bCs/>
          <w:sz w:val="24"/>
          <w:szCs w:val="24"/>
        </w:rPr>
        <w:t>Segundo.-</w:t>
      </w:r>
      <w:r>
        <w:rPr>
          <w:sz w:val="24"/>
          <w:szCs w:val="24"/>
        </w:rPr>
        <w:t xml:space="preserve"> En respuesta a dichas solicitudes, el Director de Equilibrio Territorial, tras aclarar que recientemente se han resuelto varia</w:t>
      </w:r>
      <w:r w:rsidRPr="00466BA7">
        <w:rPr>
          <w:sz w:val="24"/>
          <w:szCs w:val="24"/>
        </w:rPr>
        <w:t xml:space="preserve">s </w:t>
      </w:r>
      <w:r>
        <w:rPr>
          <w:sz w:val="24"/>
          <w:szCs w:val="24"/>
        </w:rPr>
        <w:t>peticiones</w:t>
      </w:r>
      <w:r w:rsidRPr="00466BA7">
        <w:rPr>
          <w:sz w:val="24"/>
          <w:szCs w:val="24"/>
        </w:rPr>
        <w:t xml:space="preserve"> </w:t>
      </w:r>
      <w:r w:rsidR="001B5438">
        <w:rPr>
          <w:sz w:val="24"/>
          <w:szCs w:val="24"/>
        </w:rPr>
        <w:t>de la persona reclamante</w:t>
      </w:r>
      <w:r>
        <w:rPr>
          <w:sz w:val="24"/>
          <w:szCs w:val="24"/>
        </w:rPr>
        <w:t xml:space="preserve"> requiriendo</w:t>
      </w:r>
      <w:r w:rsidRPr="00466BA7">
        <w:rPr>
          <w:sz w:val="24"/>
          <w:szCs w:val="24"/>
        </w:rPr>
        <w:t xml:space="preserve"> la misma </w:t>
      </w:r>
      <w:r>
        <w:rPr>
          <w:sz w:val="24"/>
          <w:szCs w:val="24"/>
        </w:rPr>
        <w:t>información, el 2 de abril emitió las Resoluciones 1936 y 1950 inadmitiendo ambas peticiones</w:t>
      </w:r>
      <w:r w:rsidRPr="00D11D55">
        <w:rPr>
          <w:sz w:val="24"/>
          <w:szCs w:val="24"/>
        </w:rPr>
        <w:t xml:space="preserve"> </w:t>
      </w:r>
      <w:r>
        <w:rPr>
          <w:sz w:val="24"/>
          <w:szCs w:val="24"/>
        </w:rPr>
        <w:t>por ser manifiestamente repetitivas, de acuerdo con lo dispuesto en el apartado e) del artículo 18 de</w:t>
      </w:r>
      <w:r w:rsidRPr="00D11D55">
        <w:rPr>
          <w:sz w:val="24"/>
          <w:szCs w:val="24"/>
        </w:rPr>
        <w:t xml:space="preserve"> la Ley 19/2013, de 9 de diciembre, de transparencia, acceso a la información pública y buen gobierno, en adelante LTAIBG</w:t>
      </w:r>
      <w:r>
        <w:rPr>
          <w:sz w:val="24"/>
          <w:szCs w:val="24"/>
        </w:rPr>
        <w:t>.</w:t>
      </w:r>
      <w:r w:rsidRPr="00242E92">
        <w:rPr>
          <w:sz w:val="24"/>
          <w:szCs w:val="24"/>
        </w:rPr>
        <w:t xml:space="preserve"> </w:t>
      </w:r>
    </w:p>
    <w:p w14:paraId="73B4D652" w14:textId="77777777" w:rsidR="00D25B93" w:rsidRPr="00D11D55" w:rsidRDefault="00D25B93" w:rsidP="00D25B93">
      <w:pPr>
        <w:jc w:val="both"/>
        <w:rPr>
          <w:sz w:val="24"/>
          <w:szCs w:val="24"/>
        </w:rPr>
      </w:pPr>
    </w:p>
    <w:p w14:paraId="362A55AC" w14:textId="7E62BF61" w:rsidR="00D25B93" w:rsidRDefault="00D25B93" w:rsidP="00D25B93">
      <w:pPr>
        <w:jc w:val="both"/>
        <w:rPr>
          <w:sz w:val="24"/>
          <w:szCs w:val="24"/>
        </w:rPr>
      </w:pPr>
      <w:r w:rsidRPr="00242E92">
        <w:rPr>
          <w:b/>
          <w:bCs/>
          <w:sz w:val="24"/>
          <w:szCs w:val="24"/>
        </w:rPr>
        <w:t>Tercero.-</w:t>
      </w:r>
      <w:r>
        <w:rPr>
          <w:sz w:val="24"/>
          <w:szCs w:val="24"/>
        </w:rPr>
        <w:t xml:space="preserve"> </w:t>
      </w:r>
      <w:r w:rsidRPr="002D0911">
        <w:rPr>
          <w:sz w:val="24"/>
          <w:szCs w:val="24"/>
        </w:rPr>
        <w:t xml:space="preserve">El </w:t>
      </w:r>
      <w:r>
        <w:rPr>
          <w:sz w:val="24"/>
          <w:szCs w:val="24"/>
        </w:rPr>
        <w:t xml:space="preserve">11 de abril de 2025 </w:t>
      </w:r>
      <w:r w:rsidRPr="002D0911">
        <w:rPr>
          <w:sz w:val="24"/>
          <w:szCs w:val="24"/>
        </w:rPr>
        <w:t xml:space="preserve"> tuv</w:t>
      </w:r>
      <w:r>
        <w:rPr>
          <w:sz w:val="24"/>
          <w:szCs w:val="24"/>
        </w:rPr>
        <w:t>ieron</w:t>
      </w:r>
      <w:r w:rsidRPr="002D0911">
        <w:rPr>
          <w:sz w:val="24"/>
          <w:szCs w:val="24"/>
        </w:rPr>
        <w:t xml:space="preserve"> entrada en </w:t>
      </w:r>
      <w:r>
        <w:rPr>
          <w:sz w:val="24"/>
          <w:szCs w:val="24"/>
        </w:rPr>
        <w:t xml:space="preserve">el Registro de la Diputación Foral de Álava dos reclamaciones ante el Consejo Foral de Transparencia y Buen Gobierno de </w:t>
      </w:r>
      <w:r w:rsidR="00740BCE" w:rsidRPr="00740BCE">
        <w:rPr>
          <w:sz w:val="24"/>
          <w:szCs w:val="24"/>
          <w:highlight w:val="black"/>
        </w:rPr>
        <w:t>XXXXX</w:t>
      </w:r>
      <w:r>
        <w:rPr>
          <w:sz w:val="24"/>
          <w:szCs w:val="24"/>
        </w:rPr>
        <w:t xml:space="preserve"> en las que, adjuntando las resoluciones citadas en el antecedente de hecho segundo, requiere que se atiendan sus solicitudes. </w:t>
      </w:r>
    </w:p>
    <w:p w14:paraId="11257C88" w14:textId="77777777" w:rsidR="00D25B93" w:rsidRPr="002D0911" w:rsidRDefault="00D25B93" w:rsidP="00D25B93">
      <w:pPr>
        <w:jc w:val="both"/>
        <w:rPr>
          <w:sz w:val="24"/>
          <w:szCs w:val="24"/>
        </w:rPr>
      </w:pPr>
    </w:p>
    <w:p w14:paraId="66272719" w14:textId="77777777" w:rsidR="00D25B93" w:rsidRDefault="00D25B93" w:rsidP="00D25B93">
      <w:pPr>
        <w:jc w:val="center"/>
        <w:rPr>
          <w:b/>
          <w:color w:val="000000"/>
          <w:sz w:val="24"/>
          <w:szCs w:val="24"/>
          <w:lang w:val="es-ES_tradnl" w:eastAsia="es-ES_tradnl"/>
        </w:rPr>
      </w:pPr>
      <w:r w:rsidRPr="002D0911">
        <w:rPr>
          <w:b/>
          <w:color w:val="000000"/>
          <w:sz w:val="24"/>
          <w:szCs w:val="24"/>
          <w:lang w:val="es-ES_tradnl" w:eastAsia="es-ES_tradnl"/>
        </w:rPr>
        <w:t>FUNDAMENTOS JURÍDICOS</w:t>
      </w:r>
    </w:p>
    <w:p w14:paraId="0713E50B" w14:textId="77777777" w:rsidR="00D25B93" w:rsidRDefault="00D25B93" w:rsidP="00D25B93">
      <w:pPr>
        <w:jc w:val="center"/>
        <w:rPr>
          <w:b/>
          <w:color w:val="000000"/>
          <w:sz w:val="24"/>
          <w:szCs w:val="24"/>
          <w:lang w:val="es-ES_tradnl" w:eastAsia="es-ES_tradnl"/>
        </w:rPr>
      </w:pPr>
    </w:p>
    <w:p w14:paraId="21468D3F" w14:textId="77777777" w:rsidR="00D25B93" w:rsidRPr="00242E92" w:rsidRDefault="00D25B93" w:rsidP="00D25B93">
      <w:pPr>
        <w:jc w:val="both"/>
        <w:rPr>
          <w:bCs/>
          <w:color w:val="000000"/>
          <w:sz w:val="24"/>
          <w:szCs w:val="24"/>
          <w:lang w:val="es-ES_tradnl" w:eastAsia="es-ES_tradnl"/>
        </w:rPr>
      </w:pPr>
      <w:r>
        <w:rPr>
          <w:b/>
          <w:color w:val="000000"/>
          <w:sz w:val="24"/>
          <w:szCs w:val="24"/>
          <w:lang w:val="es-ES_tradnl" w:eastAsia="es-ES_tradnl"/>
        </w:rPr>
        <w:t xml:space="preserve">Primero. </w:t>
      </w:r>
      <w:r w:rsidRPr="00242E92">
        <w:rPr>
          <w:bCs/>
          <w:color w:val="000000"/>
          <w:sz w:val="24"/>
          <w:szCs w:val="24"/>
          <w:lang w:val="es-ES_tradnl" w:eastAsia="es-ES_tradnl"/>
        </w:rPr>
        <w:t>Antes de nada, en aplicación del principio de economía procesal que debe regir en las</w:t>
      </w:r>
    </w:p>
    <w:p w14:paraId="2AA570D8" w14:textId="77777777" w:rsidR="00D25B93" w:rsidRPr="00242E92" w:rsidRDefault="00D25B93" w:rsidP="00D25B93">
      <w:pPr>
        <w:jc w:val="both"/>
        <w:rPr>
          <w:bCs/>
          <w:color w:val="000000"/>
          <w:sz w:val="24"/>
          <w:szCs w:val="24"/>
          <w:lang w:val="es-ES_tradnl" w:eastAsia="es-ES_tradnl"/>
        </w:rPr>
      </w:pPr>
      <w:r w:rsidRPr="00242E92">
        <w:rPr>
          <w:bCs/>
          <w:color w:val="000000"/>
          <w:sz w:val="24"/>
          <w:szCs w:val="24"/>
          <w:lang w:val="es-ES_tradnl" w:eastAsia="es-ES_tradnl"/>
        </w:rPr>
        <w:t>actuaciones públicas, dado que las dos reclamaciones presentadas ante este Consejo de</w:t>
      </w:r>
      <w:r>
        <w:rPr>
          <w:bCs/>
          <w:color w:val="000000"/>
          <w:sz w:val="24"/>
          <w:szCs w:val="24"/>
          <w:lang w:val="es-ES_tradnl" w:eastAsia="es-ES_tradnl"/>
        </w:rPr>
        <w:t xml:space="preserve"> </w:t>
      </w:r>
      <w:r w:rsidRPr="00242E92">
        <w:rPr>
          <w:bCs/>
          <w:color w:val="000000"/>
          <w:sz w:val="24"/>
          <w:szCs w:val="24"/>
          <w:lang w:val="es-ES_tradnl" w:eastAsia="es-ES_tradnl"/>
        </w:rPr>
        <w:t>Transparencia tienen un contenido semejante y presentan identidad de sujetos y de</w:t>
      </w:r>
      <w:r>
        <w:rPr>
          <w:bCs/>
          <w:color w:val="000000"/>
          <w:sz w:val="24"/>
          <w:szCs w:val="24"/>
          <w:lang w:val="es-ES_tradnl" w:eastAsia="es-ES_tradnl"/>
        </w:rPr>
        <w:t xml:space="preserve"> </w:t>
      </w:r>
      <w:r w:rsidRPr="00242E92">
        <w:rPr>
          <w:bCs/>
          <w:color w:val="000000"/>
          <w:sz w:val="24"/>
          <w:szCs w:val="24"/>
          <w:lang w:val="es-ES_tradnl" w:eastAsia="es-ES_tradnl"/>
        </w:rPr>
        <w:t xml:space="preserve">pretensiones, procede resolverlas en una única </w:t>
      </w:r>
      <w:r>
        <w:rPr>
          <w:bCs/>
          <w:color w:val="000000"/>
          <w:sz w:val="24"/>
          <w:szCs w:val="24"/>
          <w:lang w:val="es-ES_tradnl" w:eastAsia="es-ES_tradnl"/>
        </w:rPr>
        <w:t>r</w:t>
      </w:r>
      <w:r w:rsidRPr="00242E92">
        <w:rPr>
          <w:bCs/>
          <w:color w:val="000000"/>
          <w:sz w:val="24"/>
          <w:szCs w:val="24"/>
          <w:lang w:val="es-ES_tradnl" w:eastAsia="es-ES_tradnl"/>
        </w:rPr>
        <w:t>esolución, conforme permite el artículo 57</w:t>
      </w:r>
      <w:r>
        <w:rPr>
          <w:bCs/>
          <w:color w:val="000000"/>
          <w:sz w:val="24"/>
          <w:szCs w:val="24"/>
          <w:lang w:val="es-ES_tradnl" w:eastAsia="es-ES_tradnl"/>
        </w:rPr>
        <w:t xml:space="preserve"> </w:t>
      </w:r>
      <w:r w:rsidRPr="00242E92">
        <w:rPr>
          <w:bCs/>
          <w:color w:val="000000"/>
          <w:sz w:val="24"/>
          <w:szCs w:val="24"/>
          <w:lang w:val="es-ES_tradnl" w:eastAsia="es-ES_tradnl"/>
        </w:rPr>
        <w:t>de la Ley 39/2015, de 1 de octubre, del Procedimiento Administrativo Común de las</w:t>
      </w:r>
      <w:r>
        <w:rPr>
          <w:bCs/>
          <w:color w:val="000000"/>
          <w:sz w:val="24"/>
          <w:szCs w:val="24"/>
          <w:lang w:val="es-ES_tradnl" w:eastAsia="es-ES_tradnl"/>
        </w:rPr>
        <w:t xml:space="preserve"> </w:t>
      </w:r>
      <w:r w:rsidRPr="00242E92">
        <w:rPr>
          <w:bCs/>
          <w:color w:val="000000"/>
          <w:sz w:val="24"/>
          <w:szCs w:val="24"/>
          <w:lang w:val="es-ES_tradnl" w:eastAsia="es-ES_tradnl"/>
        </w:rPr>
        <w:t>Administraciones Públicas cuando dispone, "</w:t>
      </w:r>
      <w:r w:rsidRPr="00242E92">
        <w:rPr>
          <w:bCs/>
          <w:i/>
          <w:iCs/>
          <w:color w:val="000000"/>
          <w:sz w:val="24"/>
          <w:szCs w:val="24"/>
          <w:lang w:val="es-ES_tradnl" w:eastAsia="es-ES_tradnl"/>
        </w:rPr>
        <w:t xml:space="preserve">El órgano administrativo que inicie o tramite un procedimiento, cualquiera que haya sido la forma de su iniciación, podrá disponer, de oficio o a instancia de parte, su acumulación a otros con los que guarde identidad sustancial o íntima conexión, siempre que sea </w:t>
      </w:r>
      <w:r w:rsidRPr="00242E92">
        <w:rPr>
          <w:bCs/>
          <w:i/>
          <w:iCs/>
          <w:color w:val="000000"/>
          <w:sz w:val="24"/>
          <w:szCs w:val="24"/>
          <w:lang w:val="es-ES_tradnl" w:eastAsia="es-ES_tradnl"/>
        </w:rPr>
        <w:lastRenderedPageBreak/>
        <w:t>el mismo órgano quien deba tramitar y resolver el procedimiento.  Contra el acuerdo de acumulación no procederá recurso alguno</w:t>
      </w:r>
      <w:r w:rsidRPr="00242E92">
        <w:rPr>
          <w:bCs/>
          <w:color w:val="000000"/>
          <w:sz w:val="24"/>
          <w:szCs w:val="24"/>
          <w:lang w:val="es-ES_tradnl" w:eastAsia="es-ES_tradnl"/>
        </w:rPr>
        <w:t>".</w:t>
      </w:r>
    </w:p>
    <w:p w14:paraId="27E6E8D6" w14:textId="77777777" w:rsidR="00D25B93" w:rsidRPr="00242E92" w:rsidRDefault="00D25B93" w:rsidP="00D25B93">
      <w:pPr>
        <w:jc w:val="both"/>
        <w:rPr>
          <w:bCs/>
          <w:color w:val="000000"/>
          <w:sz w:val="24"/>
          <w:szCs w:val="24"/>
          <w:lang w:val="es-ES_tradnl" w:eastAsia="es-ES_tradnl"/>
        </w:rPr>
      </w:pPr>
      <w:r w:rsidRPr="00242E92">
        <w:rPr>
          <w:bCs/>
          <w:color w:val="000000"/>
          <w:sz w:val="24"/>
          <w:szCs w:val="24"/>
          <w:lang w:val="es-ES_tradnl" w:eastAsia="es-ES_tradnl"/>
        </w:rPr>
        <w:t xml:space="preserve">Por ello, se acumulan los procedimientos </w:t>
      </w:r>
      <w:r>
        <w:rPr>
          <w:bCs/>
          <w:color w:val="000000"/>
          <w:sz w:val="24"/>
          <w:szCs w:val="24"/>
          <w:lang w:val="es-ES_tradnl" w:eastAsia="es-ES_tradnl"/>
        </w:rPr>
        <w:t>referidos a los expedientes 3/2025 y 4/2025</w:t>
      </w:r>
      <w:r w:rsidRPr="00242E92">
        <w:rPr>
          <w:bCs/>
          <w:color w:val="000000"/>
          <w:sz w:val="24"/>
          <w:szCs w:val="24"/>
          <w:lang w:val="es-ES_tradnl" w:eastAsia="es-ES_tradnl"/>
        </w:rPr>
        <w:t>, al guardar identidad</w:t>
      </w:r>
      <w:r>
        <w:rPr>
          <w:bCs/>
          <w:color w:val="000000"/>
          <w:sz w:val="24"/>
          <w:szCs w:val="24"/>
          <w:lang w:val="es-ES_tradnl" w:eastAsia="es-ES_tradnl"/>
        </w:rPr>
        <w:t xml:space="preserve"> </w:t>
      </w:r>
      <w:r w:rsidRPr="00242E92">
        <w:rPr>
          <w:bCs/>
          <w:color w:val="000000"/>
          <w:sz w:val="24"/>
          <w:szCs w:val="24"/>
          <w:lang w:val="es-ES_tradnl" w:eastAsia="es-ES_tradnl"/>
        </w:rPr>
        <w:t>sustancial.</w:t>
      </w:r>
    </w:p>
    <w:p w14:paraId="607F0F77" w14:textId="77777777" w:rsidR="00D25B93" w:rsidRDefault="00D25B93" w:rsidP="00D25B93">
      <w:pPr>
        <w:jc w:val="both"/>
        <w:rPr>
          <w:b/>
          <w:color w:val="000000"/>
          <w:sz w:val="24"/>
          <w:szCs w:val="24"/>
          <w:lang w:val="es-ES_tradnl" w:eastAsia="es-ES_tradnl"/>
        </w:rPr>
      </w:pPr>
    </w:p>
    <w:p w14:paraId="05812B24" w14:textId="3617AE1B" w:rsidR="00D25B93" w:rsidRPr="00304687" w:rsidRDefault="00D25B93" w:rsidP="00D25B93">
      <w:pPr>
        <w:jc w:val="both"/>
        <w:rPr>
          <w:sz w:val="24"/>
          <w:szCs w:val="24"/>
        </w:rPr>
      </w:pPr>
      <w:r w:rsidRPr="00D05999">
        <w:rPr>
          <w:b/>
          <w:bCs/>
          <w:sz w:val="24"/>
          <w:szCs w:val="24"/>
        </w:rPr>
        <w:t>Segundo.-</w:t>
      </w:r>
      <w:r>
        <w:rPr>
          <w:sz w:val="24"/>
          <w:szCs w:val="24"/>
        </w:rPr>
        <w:t xml:space="preserve"> </w:t>
      </w:r>
      <w:r w:rsidRPr="00304687">
        <w:rPr>
          <w:sz w:val="24"/>
          <w:szCs w:val="24"/>
        </w:rPr>
        <w:t>En relación con la</w:t>
      </w:r>
      <w:r>
        <w:rPr>
          <w:sz w:val="24"/>
          <w:szCs w:val="24"/>
        </w:rPr>
        <w:t>s</w:t>
      </w:r>
      <w:r w:rsidRPr="00304687">
        <w:rPr>
          <w:sz w:val="24"/>
          <w:szCs w:val="24"/>
        </w:rPr>
        <w:t xml:space="preserve"> solicitud</w:t>
      </w:r>
      <w:r>
        <w:rPr>
          <w:sz w:val="24"/>
          <w:szCs w:val="24"/>
        </w:rPr>
        <w:t>es</w:t>
      </w:r>
      <w:r w:rsidRPr="00304687">
        <w:rPr>
          <w:sz w:val="24"/>
          <w:szCs w:val="24"/>
        </w:rPr>
        <w:t xml:space="preserve"> planteada</w:t>
      </w:r>
      <w:r>
        <w:rPr>
          <w:sz w:val="24"/>
          <w:szCs w:val="24"/>
        </w:rPr>
        <w:t>s</w:t>
      </w:r>
      <w:r w:rsidRPr="00304687">
        <w:rPr>
          <w:sz w:val="24"/>
          <w:szCs w:val="24"/>
        </w:rPr>
        <w:t xml:space="preserve"> por</w:t>
      </w:r>
      <w:r>
        <w:rPr>
          <w:sz w:val="24"/>
          <w:szCs w:val="24"/>
        </w:rPr>
        <w:t xml:space="preserve"> </w:t>
      </w:r>
      <w:r w:rsidR="00DE2CB7">
        <w:rPr>
          <w:sz w:val="24"/>
          <w:szCs w:val="24"/>
        </w:rPr>
        <w:t>la persona reclamante</w:t>
      </w:r>
      <w:r>
        <w:rPr>
          <w:sz w:val="24"/>
          <w:szCs w:val="24"/>
        </w:rPr>
        <w:t>,</w:t>
      </w:r>
      <w:r w:rsidRPr="00304687">
        <w:rPr>
          <w:sz w:val="24"/>
          <w:szCs w:val="24"/>
        </w:rPr>
        <w:t xml:space="preserve"> antes de analizar el fondo del asunto</w:t>
      </w:r>
      <w:r>
        <w:rPr>
          <w:sz w:val="24"/>
          <w:szCs w:val="24"/>
        </w:rPr>
        <w:t>,</w:t>
      </w:r>
      <w:r w:rsidRPr="00304687">
        <w:rPr>
          <w:sz w:val="24"/>
          <w:szCs w:val="24"/>
        </w:rPr>
        <w:t xml:space="preserve"> </w:t>
      </w:r>
      <w:r>
        <w:rPr>
          <w:sz w:val="24"/>
          <w:szCs w:val="24"/>
        </w:rPr>
        <w:t xml:space="preserve">ha de </w:t>
      </w:r>
      <w:r w:rsidRPr="00304687">
        <w:rPr>
          <w:sz w:val="24"/>
          <w:szCs w:val="24"/>
        </w:rPr>
        <w:t>examinar</w:t>
      </w:r>
      <w:r>
        <w:rPr>
          <w:sz w:val="24"/>
          <w:szCs w:val="24"/>
        </w:rPr>
        <w:t>se</w:t>
      </w:r>
      <w:r w:rsidRPr="00304687">
        <w:rPr>
          <w:sz w:val="24"/>
          <w:szCs w:val="24"/>
        </w:rPr>
        <w:t xml:space="preserve"> si la</w:t>
      </w:r>
      <w:r>
        <w:rPr>
          <w:sz w:val="24"/>
          <w:szCs w:val="24"/>
        </w:rPr>
        <w:t>s</w:t>
      </w:r>
      <w:r w:rsidRPr="00304687">
        <w:rPr>
          <w:sz w:val="24"/>
          <w:szCs w:val="24"/>
        </w:rPr>
        <w:t xml:space="preserve"> petici</w:t>
      </w:r>
      <w:r>
        <w:rPr>
          <w:sz w:val="24"/>
          <w:szCs w:val="24"/>
        </w:rPr>
        <w:t>ones</w:t>
      </w:r>
      <w:r w:rsidRPr="00304687">
        <w:rPr>
          <w:sz w:val="24"/>
          <w:szCs w:val="24"/>
        </w:rPr>
        <w:t xml:space="preserve"> reúne</w:t>
      </w:r>
      <w:r>
        <w:rPr>
          <w:sz w:val="24"/>
          <w:szCs w:val="24"/>
        </w:rPr>
        <w:t>n</w:t>
      </w:r>
      <w:r w:rsidRPr="00304687">
        <w:rPr>
          <w:sz w:val="24"/>
          <w:szCs w:val="24"/>
        </w:rPr>
        <w:t xml:space="preserve"> los requisitos precisos para plantear </w:t>
      </w:r>
      <w:r>
        <w:rPr>
          <w:sz w:val="24"/>
          <w:szCs w:val="24"/>
        </w:rPr>
        <w:t>una</w:t>
      </w:r>
      <w:r w:rsidRPr="00304687">
        <w:rPr>
          <w:sz w:val="24"/>
          <w:szCs w:val="24"/>
        </w:rPr>
        <w:t xml:space="preserve"> reclamación</w:t>
      </w:r>
      <w:r>
        <w:rPr>
          <w:sz w:val="24"/>
          <w:szCs w:val="24"/>
        </w:rPr>
        <w:t xml:space="preserve"> ante este Consejo de Transparencia, requisitos que</w:t>
      </w:r>
      <w:r w:rsidRPr="00304687">
        <w:rPr>
          <w:sz w:val="24"/>
          <w:szCs w:val="24"/>
        </w:rPr>
        <w:t>, de acuerdo con el artículo 35.5 de la Norma Foral 1/2017, de 8 de febrero, de Transparencia, Participación Ciudadana y Buen Gobierno, vienen fijados en la legislación básica, esto es, en la LTAIB</w:t>
      </w:r>
      <w:r>
        <w:rPr>
          <w:sz w:val="24"/>
          <w:szCs w:val="24"/>
        </w:rPr>
        <w:t>.</w:t>
      </w:r>
    </w:p>
    <w:p w14:paraId="4760AE90" w14:textId="77777777" w:rsidR="00D25B93" w:rsidRPr="002D0911" w:rsidRDefault="00D25B93" w:rsidP="00D25B93">
      <w:pPr>
        <w:jc w:val="both"/>
        <w:rPr>
          <w:sz w:val="24"/>
          <w:szCs w:val="24"/>
        </w:rPr>
      </w:pPr>
    </w:p>
    <w:p w14:paraId="6315A3C6" w14:textId="1EC38150" w:rsidR="00D25B93" w:rsidRPr="00D05999" w:rsidRDefault="00D25B93" w:rsidP="00D25B93">
      <w:pPr>
        <w:pStyle w:val="Prrafodelista"/>
        <w:numPr>
          <w:ilvl w:val="0"/>
          <w:numId w:val="4"/>
        </w:numPr>
        <w:jc w:val="both"/>
        <w:rPr>
          <w:sz w:val="24"/>
          <w:szCs w:val="24"/>
        </w:rPr>
      </w:pPr>
      <w:r w:rsidRPr="00D05999">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DE2CB7" w:rsidRPr="00DE2CB7">
        <w:rPr>
          <w:sz w:val="24"/>
          <w:szCs w:val="24"/>
          <w:highlight w:val="black"/>
        </w:rPr>
        <w:t>XXXXX</w:t>
      </w:r>
      <w:r w:rsidRPr="00D05999">
        <w:rPr>
          <w:sz w:val="24"/>
          <w:szCs w:val="24"/>
        </w:rPr>
        <w:t xml:space="preserve"> ya que las resoluciones del Director de Equilibrio Territorial fueron emitidas el 2 de abril de 2025 y las reclamaciones tuvieron entrada en el Registro de la Diputación Foral de Álava el día 11 del mismo mes.</w:t>
      </w:r>
    </w:p>
    <w:p w14:paraId="5038DE7C" w14:textId="77777777" w:rsidR="00D25B93" w:rsidRDefault="00D25B93" w:rsidP="00D25B93">
      <w:pPr>
        <w:jc w:val="both"/>
        <w:rPr>
          <w:sz w:val="24"/>
          <w:szCs w:val="24"/>
        </w:rPr>
      </w:pPr>
    </w:p>
    <w:p w14:paraId="30BC290B" w14:textId="108B653E" w:rsidR="00D25B93" w:rsidRDefault="00D25B93" w:rsidP="00D25B93">
      <w:pPr>
        <w:pStyle w:val="Prrafodelista"/>
        <w:numPr>
          <w:ilvl w:val="0"/>
          <w:numId w:val="4"/>
        </w:numPr>
        <w:jc w:val="both"/>
        <w:rPr>
          <w:sz w:val="24"/>
          <w:szCs w:val="24"/>
        </w:rPr>
      </w:pPr>
      <w:r>
        <w:rPr>
          <w:sz w:val="24"/>
          <w:szCs w:val="24"/>
        </w:rPr>
        <w:t xml:space="preserve">De acuerdo </w:t>
      </w:r>
      <w:r w:rsidRPr="000D5B52">
        <w:rPr>
          <w:sz w:val="24"/>
          <w:szCs w:val="24"/>
        </w:rPr>
        <w:t>con lo dispuesto en el artículo 35.3 y en la disposición adicional primera de la Norma Foral 1/2017 y en el Decreto Foral 5/2017, del Consejo de Gobierno Foral de 21 de febrero, el Consejo Foral de Transparencia es competente para conocer y resolver las reclamaciones que</w:t>
      </w:r>
      <w:r>
        <w:rPr>
          <w:sz w:val="24"/>
          <w:szCs w:val="24"/>
        </w:rPr>
        <w:t>,</w:t>
      </w:r>
      <w:r w:rsidRPr="000D5B52">
        <w:rPr>
          <w:sz w:val="24"/>
          <w:szCs w:val="24"/>
        </w:rPr>
        <w:t xml:space="preserve"> en materia de transparencia</w:t>
      </w:r>
      <w:r>
        <w:rPr>
          <w:sz w:val="24"/>
          <w:szCs w:val="24"/>
        </w:rPr>
        <w:t>,</w:t>
      </w:r>
      <w:r w:rsidRPr="000D5B52">
        <w:rPr>
          <w:sz w:val="24"/>
          <w:szCs w:val="24"/>
        </w:rPr>
        <w:t xml:space="preserve"> se realicen frente a las resoluciones adoptadas por cualquiera de las entidades del sector público foral, resoluciones entre las cuales se encuentra</w:t>
      </w:r>
      <w:r>
        <w:rPr>
          <w:sz w:val="24"/>
          <w:szCs w:val="24"/>
        </w:rPr>
        <w:t>n</w:t>
      </w:r>
      <w:r w:rsidRPr="000D5B52">
        <w:rPr>
          <w:sz w:val="24"/>
          <w:szCs w:val="24"/>
        </w:rPr>
        <w:t xml:space="preserve"> la</w:t>
      </w:r>
      <w:r>
        <w:rPr>
          <w:sz w:val="24"/>
          <w:szCs w:val="24"/>
        </w:rPr>
        <w:t>s</w:t>
      </w:r>
      <w:r w:rsidRPr="000D5B52">
        <w:rPr>
          <w:sz w:val="24"/>
          <w:szCs w:val="24"/>
        </w:rPr>
        <w:t xml:space="preserve"> </w:t>
      </w:r>
      <w:r>
        <w:rPr>
          <w:sz w:val="24"/>
          <w:szCs w:val="24"/>
        </w:rPr>
        <w:t>resoluciones</w:t>
      </w:r>
      <w:r w:rsidRPr="000D5B52">
        <w:rPr>
          <w:sz w:val="24"/>
          <w:szCs w:val="24"/>
        </w:rPr>
        <w:t xml:space="preserve"> recurrida</w:t>
      </w:r>
      <w:r>
        <w:rPr>
          <w:sz w:val="24"/>
          <w:szCs w:val="24"/>
        </w:rPr>
        <w:t>s</w:t>
      </w:r>
      <w:r w:rsidRPr="000D5B52">
        <w:rPr>
          <w:sz w:val="24"/>
          <w:szCs w:val="24"/>
        </w:rPr>
        <w:t xml:space="preserve"> por </w:t>
      </w:r>
      <w:r w:rsidR="0010682A">
        <w:rPr>
          <w:sz w:val="24"/>
          <w:szCs w:val="24"/>
        </w:rPr>
        <w:t>la persona reclamante</w:t>
      </w:r>
      <w:r>
        <w:rPr>
          <w:sz w:val="24"/>
          <w:szCs w:val="24"/>
        </w:rPr>
        <w:t>.</w:t>
      </w:r>
    </w:p>
    <w:p w14:paraId="3D7F5759" w14:textId="77777777" w:rsidR="00D25B93" w:rsidRPr="00D94942" w:rsidRDefault="00D25B93" w:rsidP="00D25B93">
      <w:pPr>
        <w:pStyle w:val="Prrafodelista"/>
        <w:rPr>
          <w:sz w:val="24"/>
          <w:szCs w:val="24"/>
        </w:rPr>
      </w:pPr>
    </w:p>
    <w:p w14:paraId="5946CEB1" w14:textId="4E82BBA2" w:rsidR="00D25B93" w:rsidRPr="002D0911" w:rsidRDefault="00D25B93" w:rsidP="00D25B93">
      <w:pPr>
        <w:pStyle w:val="Prrafodelista"/>
        <w:numPr>
          <w:ilvl w:val="0"/>
          <w:numId w:val="4"/>
        </w:numPr>
        <w:autoSpaceDE w:val="0"/>
        <w:autoSpaceDN w:val="0"/>
        <w:adjustRightInd w:val="0"/>
        <w:jc w:val="both"/>
        <w:rPr>
          <w:sz w:val="24"/>
          <w:szCs w:val="24"/>
        </w:rPr>
      </w:pPr>
      <w:r w:rsidRPr="002D0911">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sidR="00FD60DA">
        <w:rPr>
          <w:snapToGrid w:val="0"/>
          <w:kern w:val="3"/>
          <w:sz w:val="24"/>
          <w:szCs w:val="24"/>
          <w:lang w:eastAsia="eu-ES"/>
        </w:rPr>
        <w:t>de la persona reclamante</w:t>
      </w:r>
      <w:r w:rsidRPr="002D0911">
        <w:rPr>
          <w:snapToGrid w:val="0"/>
          <w:kern w:val="3"/>
          <w:sz w:val="24"/>
          <w:szCs w:val="24"/>
          <w:lang w:eastAsia="eu-ES"/>
        </w:rPr>
        <w:t>, debe</w:t>
      </w:r>
      <w:r>
        <w:rPr>
          <w:snapToGrid w:val="0"/>
          <w:kern w:val="3"/>
          <w:sz w:val="24"/>
          <w:szCs w:val="24"/>
          <w:lang w:eastAsia="eu-ES"/>
        </w:rPr>
        <w:t>rá</w:t>
      </w:r>
      <w:r w:rsidRPr="002D0911">
        <w:rPr>
          <w:snapToGrid w:val="0"/>
          <w:kern w:val="3"/>
          <w:sz w:val="24"/>
          <w:szCs w:val="24"/>
          <w:lang w:eastAsia="eu-ES"/>
        </w:rPr>
        <w:t xml:space="preserve"> verificarse que existe efectivamente una solicitud de información pública ya que, de acuerdo con la Norma Foral 1/2017 y el Decreto 5/2017 de 21 de febrero, dicho Consejo es incompetente para conocer de otro tipo de pretensiones.</w:t>
      </w:r>
    </w:p>
    <w:p w14:paraId="0C744295" w14:textId="77777777" w:rsidR="00D25B93" w:rsidRPr="002D0911" w:rsidRDefault="00D25B93" w:rsidP="00D25B93">
      <w:pPr>
        <w:autoSpaceDE w:val="0"/>
        <w:autoSpaceDN w:val="0"/>
        <w:adjustRightInd w:val="0"/>
        <w:jc w:val="both"/>
        <w:rPr>
          <w:sz w:val="24"/>
          <w:szCs w:val="24"/>
        </w:rPr>
      </w:pPr>
    </w:p>
    <w:p w14:paraId="632AFF48" w14:textId="77777777" w:rsidR="00D25B93" w:rsidRDefault="00D25B93" w:rsidP="00D25B93">
      <w:pPr>
        <w:suppressAutoHyphens/>
        <w:autoSpaceDN w:val="0"/>
        <w:ind w:left="360"/>
        <w:jc w:val="both"/>
        <w:textAlignment w:val="baseline"/>
        <w:rPr>
          <w:snapToGrid w:val="0"/>
          <w:kern w:val="3"/>
          <w:sz w:val="24"/>
          <w:szCs w:val="24"/>
          <w:lang w:eastAsia="eu-ES"/>
        </w:rPr>
      </w:pPr>
    </w:p>
    <w:p w14:paraId="1F7BE6CE" w14:textId="5C9714C3" w:rsidR="00D25B93" w:rsidRDefault="00D25B93" w:rsidP="00D25B93">
      <w:pPr>
        <w:suppressAutoHyphens/>
        <w:autoSpaceDN w:val="0"/>
        <w:jc w:val="both"/>
        <w:textAlignment w:val="baseline"/>
        <w:rPr>
          <w:snapToGrid w:val="0"/>
          <w:kern w:val="3"/>
          <w:sz w:val="24"/>
          <w:szCs w:val="24"/>
          <w:lang w:eastAsia="eu-ES"/>
        </w:rPr>
      </w:pPr>
      <w:r w:rsidRPr="00C142E6">
        <w:rPr>
          <w:snapToGrid w:val="0"/>
          <w:kern w:val="3"/>
          <w:sz w:val="24"/>
          <w:szCs w:val="24"/>
          <w:lang w:eastAsia="eu-ES"/>
        </w:rPr>
        <w:t>El objeto de la</w:t>
      </w:r>
      <w:r>
        <w:rPr>
          <w:snapToGrid w:val="0"/>
          <w:kern w:val="3"/>
          <w:sz w:val="24"/>
          <w:szCs w:val="24"/>
          <w:lang w:eastAsia="eu-ES"/>
        </w:rPr>
        <w:t>s</w:t>
      </w:r>
      <w:r w:rsidRPr="00C142E6">
        <w:rPr>
          <w:snapToGrid w:val="0"/>
          <w:kern w:val="3"/>
          <w:sz w:val="24"/>
          <w:szCs w:val="24"/>
          <w:lang w:eastAsia="eu-ES"/>
        </w:rPr>
        <w:t xml:space="preserve"> reclamac</w:t>
      </w:r>
      <w:r>
        <w:rPr>
          <w:snapToGrid w:val="0"/>
          <w:kern w:val="3"/>
          <w:sz w:val="24"/>
          <w:szCs w:val="24"/>
          <w:lang w:eastAsia="eu-ES"/>
        </w:rPr>
        <w:t xml:space="preserve">iones son </w:t>
      </w:r>
      <w:r w:rsidRPr="00C142E6">
        <w:rPr>
          <w:snapToGrid w:val="0"/>
          <w:kern w:val="3"/>
          <w:sz w:val="24"/>
          <w:szCs w:val="24"/>
          <w:lang w:eastAsia="eu-ES"/>
        </w:rPr>
        <w:t>la</w:t>
      </w:r>
      <w:r>
        <w:rPr>
          <w:snapToGrid w:val="0"/>
          <w:kern w:val="3"/>
          <w:sz w:val="24"/>
          <w:szCs w:val="24"/>
          <w:lang w:eastAsia="eu-ES"/>
        </w:rPr>
        <w:t>s</w:t>
      </w:r>
      <w:r w:rsidRPr="00C142E6">
        <w:rPr>
          <w:snapToGrid w:val="0"/>
          <w:kern w:val="3"/>
          <w:sz w:val="24"/>
          <w:szCs w:val="24"/>
          <w:lang w:eastAsia="eu-ES"/>
        </w:rPr>
        <w:t xml:space="preserve"> resoluci</w:t>
      </w:r>
      <w:r>
        <w:rPr>
          <w:snapToGrid w:val="0"/>
          <w:kern w:val="3"/>
          <w:sz w:val="24"/>
          <w:szCs w:val="24"/>
          <w:lang w:eastAsia="eu-ES"/>
        </w:rPr>
        <w:t>ones</w:t>
      </w:r>
      <w:r w:rsidRPr="00C142E6">
        <w:rPr>
          <w:snapToGrid w:val="0"/>
          <w:kern w:val="3"/>
          <w:sz w:val="24"/>
          <w:szCs w:val="24"/>
          <w:lang w:eastAsia="eu-ES"/>
        </w:rPr>
        <w:t xml:space="preserve"> expresa</w:t>
      </w:r>
      <w:r>
        <w:rPr>
          <w:snapToGrid w:val="0"/>
          <w:kern w:val="3"/>
          <w:sz w:val="24"/>
          <w:szCs w:val="24"/>
          <w:lang w:eastAsia="eu-ES"/>
        </w:rPr>
        <w:t>s</w:t>
      </w:r>
      <w:r w:rsidRPr="00C142E6">
        <w:rPr>
          <w:snapToGrid w:val="0"/>
          <w:kern w:val="3"/>
          <w:sz w:val="24"/>
          <w:szCs w:val="24"/>
          <w:lang w:eastAsia="eu-ES"/>
        </w:rPr>
        <w:t xml:space="preserve"> en materia de acceso a información pública, esto es, </w:t>
      </w:r>
      <w:r>
        <w:rPr>
          <w:snapToGrid w:val="0"/>
          <w:kern w:val="3"/>
          <w:sz w:val="24"/>
          <w:szCs w:val="24"/>
          <w:lang w:eastAsia="eu-ES"/>
        </w:rPr>
        <w:t xml:space="preserve">las </w:t>
      </w:r>
      <w:r>
        <w:rPr>
          <w:sz w:val="24"/>
          <w:szCs w:val="24"/>
        </w:rPr>
        <w:t xml:space="preserve">Resoluciones del Director de Equilibrio Territorial 1936 y 1950, de 2 de abril de 2025, </w:t>
      </w:r>
      <w:r w:rsidRPr="00C142E6">
        <w:rPr>
          <w:snapToGrid w:val="0"/>
          <w:kern w:val="3"/>
          <w:sz w:val="24"/>
          <w:szCs w:val="24"/>
          <w:lang w:eastAsia="eu-ES"/>
        </w:rPr>
        <w:t>a través de la</w:t>
      </w:r>
      <w:r>
        <w:rPr>
          <w:snapToGrid w:val="0"/>
          <w:kern w:val="3"/>
          <w:sz w:val="24"/>
          <w:szCs w:val="24"/>
          <w:lang w:eastAsia="eu-ES"/>
        </w:rPr>
        <w:t>s</w:t>
      </w:r>
      <w:r w:rsidRPr="00C142E6">
        <w:rPr>
          <w:snapToGrid w:val="0"/>
          <w:kern w:val="3"/>
          <w:sz w:val="24"/>
          <w:szCs w:val="24"/>
          <w:lang w:eastAsia="eu-ES"/>
        </w:rPr>
        <w:t xml:space="preserve"> cual</w:t>
      </w:r>
      <w:r>
        <w:rPr>
          <w:snapToGrid w:val="0"/>
          <w:kern w:val="3"/>
          <w:sz w:val="24"/>
          <w:szCs w:val="24"/>
          <w:lang w:eastAsia="eu-ES"/>
        </w:rPr>
        <w:t>es</w:t>
      </w:r>
      <w:r w:rsidRPr="00C142E6">
        <w:rPr>
          <w:snapToGrid w:val="0"/>
          <w:kern w:val="3"/>
          <w:sz w:val="24"/>
          <w:szCs w:val="24"/>
          <w:lang w:eastAsia="eu-ES"/>
        </w:rPr>
        <w:t xml:space="preserve"> se </w:t>
      </w:r>
      <w:r>
        <w:rPr>
          <w:snapToGrid w:val="0"/>
          <w:kern w:val="3"/>
          <w:sz w:val="24"/>
          <w:szCs w:val="24"/>
          <w:lang w:eastAsia="eu-ES"/>
        </w:rPr>
        <w:t xml:space="preserve">desestimaban las pretensiones </w:t>
      </w:r>
      <w:r w:rsidR="004343A2">
        <w:rPr>
          <w:snapToGrid w:val="0"/>
          <w:kern w:val="3"/>
          <w:sz w:val="24"/>
          <w:szCs w:val="24"/>
          <w:lang w:eastAsia="eu-ES"/>
        </w:rPr>
        <w:t xml:space="preserve">de </w:t>
      </w:r>
      <w:r w:rsidR="004343A2" w:rsidRPr="004343A2">
        <w:rPr>
          <w:snapToGrid w:val="0"/>
          <w:kern w:val="3"/>
          <w:sz w:val="24"/>
          <w:szCs w:val="24"/>
          <w:highlight w:val="black"/>
          <w:lang w:eastAsia="eu-ES"/>
        </w:rPr>
        <w:t>XXXXX</w:t>
      </w:r>
      <w:r>
        <w:rPr>
          <w:snapToGrid w:val="0"/>
          <w:kern w:val="3"/>
          <w:sz w:val="24"/>
          <w:szCs w:val="24"/>
          <w:lang w:eastAsia="eu-ES"/>
        </w:rPr>
        <w:t>.</w:t>
      </w:r>
    </w:p>
    <w:p w14:paraId="6F522B66" w14:textId="77777777" w:rsidR="00D25B93" w:rsidRDefault="00D25B93" w:rsidP="00D25B93">
      <w:pPr>
        <w:autoSpaceDE w:val="0"/>
        <w:autoSpaceDN w:val="0"/>
        <w:adjustRightInd w:val="0"/>
        <w:jc w:val="both"/>
        <w:rPr>
          <w:sz w:val="24"/>
          <w:szCs w:val="24"/>
        </w:rPr>
      </w:pPr>
    </w:p>
    <w:p w14:paraId="3E57DB98" w14:textId="77777777" w:rsidR="00D25B93" w:rsidRDefault="00D25B93" w:rsidP="00D25B93">
      <w:pPr>
        <w:pStyle w:val="Default"/>
        <w:ind w:left="360"/>
        <w:jc w:val="both"/>
        <w:rPr>
          <w:i/>
          <w:snapToGrid w:val="0"/>
          <w:color w:val="auto"/>
          <w:kern w:val="3"/>
          <w:lang w:eastAsia="eu-ES"/>
        </w:rPr>
      </w:pPr>
      <w:r w:rsidRPr="00261948">
        <w:rPr>
          <w:color w:val="auto"/>
          <w:lang w:val="es-ES_tradnl" w:eastAsia="es-ES_tradnl"/>
        </w:rPr>
        <w:t>Según el artículo 18 de la Norma 1/2017, de 8 de febrero, se entiende por información pública “</w:t>
      </w:r>
      <w:r w:rsidRPr="00261948">
        <w:rPr>
          <w:i/>
          <w:color w:val="auto"/>
          <w:lang w:val="es-ES_tradnl" w:eastAsia="es-ES_tradnl"/>
        </w:rPr>
        <w:t xml:space="preserve">los contenidos o </w:t>
      </w:r>
      <w:r w:rsidRPr="00261948">
        <w:rPr>
          <w:i/>
          <w:snapToGrid w:val="0"/>
          <w:color w:val="auto"/>
          <w:kern w:val="3"/>
          <w:lang w:eastAsia="eu-ES"/>
        </w:rPr>
        <w:t>documentos, cualquiera que sea su formato o soporte, que obren en poder de cualquiera de los sujetos incluidos en el artículo 3 de esta Norma Foral que hayan sido elaborados o adquiridos en el ejercicio de sus funciones”.</w:t>
      </w:r>
    </w:p>
    <w:p w14:paraId="10081F3A" w14:textId="77777777" w:rsidR="00F57D45" w:rsidRPr="00261948" w:rsidRDefault="00F57D45" w:rsidP="00D25B93">
      <w:pPr>
        <w:pStyle w:val="Default"/>
        <w:ind w:left="360"/>
        <w:jc w:val="both"/>
        <w:rPr>
          <w:i/>
          <w:snapToGrid w:val="0"/>
          <w:color w:val="auto"/>
          <w:kern w:val="3"/>
          <w:lang w:eastAsia="eu-ES"/>
        </w:rPr>
      </w:pPr>
    </w:p>
    <w:p w14:paraId="4B9033A7" w14:textId="77777777" w:rsidR="00D25B93" w:rsidRPr="00261948" w:rsidRDefault="00D25B93" w:rsidP="00D25B93">
      <w:pPr>
        <w:pStyle w:val="Default"/>
        <w:ind w:left="360"/>
        <w:jc w:val="both"/>
        <w:rPr>
          <w:i/>
          <w:snapToGrid w:val="0"/>
          <w:color w:val="auto"/>
          <w:kern w:val="3"/>
          <w:lang w:eastAsia="eu-ES"/>
        </w:rPr>
      </w:pPr>
    </w:p>
    <w:p w14:paraId="761A7AE9" w14:textId="77777777" w:rsidR="00D25B93" w:rsidRPr="00261948" w:rsidRDefault="00D25B93" w:rsidP="00D25B93">
      <w:pPr>
        <w:suppressAutoHyphens/>
        <w:autoSpaceDN w:val="0"/>
        <w:ind w:left="360"/>
        <w:jc w:val="both"/>
        <w:textAlignment w:val="baseline"/>
        <w:rPr>
          <w:sz w:val="24"/>
          <w:szCs w:val="24"/>
          <w:lang w:eastAsia="es-ES_tradnl"/>
        </w:rPr>
      </w:pPr>
      <w:r w:rsidRPr="00261948">
        <w:rPr>
          <w:sz w:val="24"/>
          <w:szCs w:val="24"/>
          <w:lang w:eastAsia="es-ES_tradnl"/>
        </w:rPr>
        <w:lastRenderedPageBreak/>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70EA3666" w14:textId="77777777" w:rsidR="00D25B93" w:rsidRPr="00261948" w:rsidRDefault="00D25B93" w:rsidP="00D25B93">
      <w:pPr>
        <w:suppressAutoHyphens/>
        <w:autoSpaceDN w:val="0"/>
        <w:ind w:left="360"/>
        <w:jc w:val="both"/>
        <w:textAlignment w:val="baseline"/>
        <w:rPr>
          <w:sz w:val="24"/>
          <w:szCs w:val="24"/>
          <w:lang w:eastAsia="es-ES_tradnl"/>
        </w:rPr>
      </w:pPr>
    </w:p>
    <w:p w14:paraId="6435EDB3" w14:textId="2AF25672" w:rsidR="00D25B93" w:rsidRPr="00261948" w:rsidRDefault="00D25B93" w:rsidP="00D25B93">
      <w:pPr>
        <w:suppressAutoHyphens/>
        <w:autoSpaceDN w:val="0"/>
        <w:ind w:left="360"/>
        <w:jc w:val="both"/>
        <w:textAlignment w:val="baseline"/>
        <w:rPr>
          <w:sz w:val="24"/>
          <w:szCs w:val="24"/>
          <w:lang w:eastAsia="es-ES_tradnl"/>
        </w:rPr>
      </w:pPr>
      <w:r w:rsidRPr="00261948">
        <w:rPr>
          <w:sz w:val="24"/>
          <w:szCs w:val="24"/>
          <w:lang w:eastAsia="es-ES_tradnl"/>
        </w:rPr>
        <w:t xml:space="preserve">A la vista de esta definición </w:t>
      </w:r>
      <w:r>
        <w:rPr>
          <w:sz w:val="24"/>
          <w:szCs w:val="24"/>
          <w:lang w:eastAsia="es-ES_tradnl"/>
        </w:rPr>
        <w:t xml:space="preserve">es manifiesto que las solicitudes formuladas por </w:t>
      </w:r>
      <w:r w:rsidR="003A0692" w:rsidRPr="003A0692">
        <w:rPr>
          <w:sz w:val="24"/>
          <w:szCs w:val="24"/>
          <w:highlight w:val="black"/>
          <w:lang w:eastAsia="es-ES_tradnl"/>
        </w:rPr>
        <w:t>XXXXX</w:t>
      </w:r>
      <w:r>
        <w:rPr>
          <w:sz w:val="24"/>
          <w:szCs w:val="24"/>
          <w:lang w:eastAsia="es-ES_tradnl"/>
        </w:rPr>
        <w:t xml:space="preserve"> tienen por objeto información pública de la que dispone el departamento competente en materia de administración local</w:t>
      </w:r>
      <w:r w:rsidRPr="00261948">
        <w:rPr>
          <w:sz w:val="24"/>
          <w:szCs w:val="24"/>
          <w:lang w:eastAsia="es-ES_tradnl"/>
        </w:rPr>
        <w:t>.</w:t>
      </w:r>
    </w:p>
    <w:p w14:paraId="03ECD59B" w14:textId="77777777" w:rsidR="00D25B93" w:rsidRPr="004F0477" w:rsidRDefault="00D25B93" w:rsidP="00D25B93">
      <w:pPr>
        <w:autoSpaceDE w:val="0"/>
        <w:autoSpaceDN w:val="0"/>
        <w:adjustRightInd w:val="0"/>
        <w:ind w:left="360"/>
        <w:jc w:val="both"/>
        <w:rPr>
          <w:sz w:val="24"/>
          <w:szCs w:val="24"/>
        </w:rPr>
      </w:pPr>
    </w:p>
    <w:p w14:paraId="2FCB4C2A" w14:textId="77777777" w:rsidR="00D25B93" w:rsidRDefault="00D25B93" w:rsidP="00D25B93">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6F0F67CD" w14:textId="77777777" w:rsidR="00D25B93" w:rsidRDefault="00D25B93" w:rsidP="00D25B93">
      <w:pPr>
        <w:suppressAutoHyphens/>
        <w:autoSpaceDN w:val="0"/>
        <w:ind w:left="360"/>
        <w:jc w:val="both"/>
        <w:textAlignment w:val="baseline"/>
        <w:rPr>
          <w:color w:val="000000"/>
          <w:sz w:val="24"/>
          <w:szCs w:val="24"/>
          <w:lang w:val="es-ES_tradnl" w:eastAsia="es-ES_tradnl"/>
        </w:rPr>
      </w:pPr>
    </w:p>
    <w:p w14:paraId="62505775" w14:textId="77777777" w:rsidR="00D25B93" w:rsidRDefault="00D25B93" w:rsidP="00D25B93">
      <w:pPr>
        <w:suppressAutoHyphens/>
        <w:autoSpaceDN w:val="0"/>
        <w:ind w:left="360"/>
        <w:jc w:val="both"/>
        <w:textAlignment w:val="baseline"/>
        <w:rPr>
          <w:color w:val="000000"/>
          <w:sz w:val="24"/>
          <w:szCs w:val="24"/>
          <w:lang w:val="es-ES_tradnl" w:eastAsia="es-ES_tradnl"/>
        </w:rPr>
      </w:pPr>
    </w:p>
    <w:p w14:paraId="02EED66F" w14:textId="77777777" w:rsidR="00D25B93" w:rsidRDefault="00D25B93" w:rsidP="00D25B93">
      <w:pPr>
        <w:autoSpaceDE w:val="0"/>
        <w:autoSpaceDN w:val="0"/>
        <w:adjustRightInd w:val="0"/>
        <w:jc w:val="both"/>
        <w:rPr>
          <w:sz w:val="24"/>
          <w:szCs w:val="24"/>
        </w:rPr>
      </w:pPr>
      <w:r>
        <w:rPr>
          <w:b/>
          <w:bCs/>
          <w:sz w:val="24"/>
          <w:szCs w:val="24"/>
          <w:lang w:val="es-ES_tradnl"/>
        </w:rPr>
        <w:t>Tercero</w:t>
      </w:r>
      <w:r w:rsidRPr="004F0477">
        <w:rPr>
          <w:b/>
          <w:bCs/>
          <w:sz w:val="24"/>
          <w:szCs w:val="24"/>
        </w:rPr>
        <w:t>.-</w:t>
      </w:r>
      <w:r w:rsidRPr="004F0477">
        <w:rPr>
          <w:sz w:val="24"/>
          <w:szCs w:val="24"/>
        </w:rPr>
        <w:t xml:space="preserve"> En cuanto al fondo del asunto, la</w:t>
      </w:r>
      <w:r>
        <w:rPr>
          <w:sz w:val="24"/>
          <w:szCs w:val="24"/>
        </w:rPr>
        <w:t>s</w:t>
      </w:r>
      <w:r w:rsidRPr="004F0477">
        <w:rPr>
          <w:sz w:val="24"/>
          <w:szCs w:val="24"/>
        </w:rPr>
        <w:t xml:space="preserve"> resoluci</w:t>
      </w:r>
      <w:r>
        <w:rPr>
          <w:sz w:val="24"/>
          <w:szCs w:val="24"/>
        </w:rPr>
        <w:t>o</w:t>
      </w:r>
      <w:r w:rsidRPr="004F0477">
        <w:rPr>
          <w:sz w:val="24"/>
          <w:szCs w:val="24"/>
        </w:rPr>
        <w:t>n</w:t>
      </w:r>
      <w:r>
        <w:rPr>
          <w:sz w:val="24"/>
          <w:szCs w:val="24"/>
        </w:rPr>
        <w:t>es</w:t>
      </w:r>
      <w:r w:rsidRPr="004F0477">
        <w:rPr>
          <w:sz w:val="24"/>
          <w:szCs w:val="24"/>
        </w:rPr>
        <w:t xml:space="preserve"> impugnada</w:t>
      </w:r>
      <w:r>
        <w:rPr>
          <w:sz w:val="24"/>
          <w:szCs w:val="24"/>
        </w:rPr>
        <w:t>s</w:t>
      </w:r>
      <w:r w:rsidRPr="004F0477">
        <w:rPr>
          <w:sz w:val="24"/>
          <w:szCs w:val="24"/>
        </w:rPr>
        <w:t xml:space="preserve"> </w:t>
      </w:r>
      <w:r>
        <w:rPr>
          <w:sz w:val="24"/>
          <w:szCs w:val="24"/>
        </w:rPr>
        <w:t>inadmiten</w:t>
      </w:r>
      <w:r w:rsidRPr="004F0477">
        <w:rPr>
          <w:sz w:val="24"/>
          <w:szCs w:val="24"/>
        </w:rPr>
        <w:t xml:space="preserve"> la</w:t>
      </w:r>
      <w:r>
        <w:rPr>
          <w:sz w:val="24"/>
          <w:szCs w:val="24"/>
        </w:rPr>
        <w:t>s</w:t>
      </w:r>
      <w:r w:rsidRPr="004F0477">
        <w:rPr>
          <w:sz w:val="24"/>
          <w:szCs w:val="24"/>
        </w:rPr>
        <w:t xml:space="preserve"> solicitud</w:t>
      </w:r>
      <w:r>
        <w:rPr>
          <w:sz w:val="24"/>
          <w:szCs w:val="24"/>
        </w:rPr>
        <w:t>es</w:t>
      </w:r>
      <w:r w:rsidRPr="004F0477">
        <w:rPr>
          <w:sz w:val="24"/>
          <w:szCs w:val="24"/>
        </w:rPr>
        <w:t xml:space="preserve"> de información pública </w:t>
      </w:r>
      <w:r>
        <w:rPr>
          <w:sz w:val="24"/>
          <w:szCs w:val="24"/>
        </w:rPr>
        <w:t>por ser manifiestamente repetitivas.</w:t>
      </w:r>
    </w:p>
    <w:p w14:paraId="1FA50DE2" w14:textId="77777777" w:rsidR="00D25B93" w:rsidRDefault="00D25B93" w:rsidP="00D25B93">
      <w:pPr>
        <w:autoSpaceDE w:val="0"/>
        <w:autoSpaceDN w:val="0"/>
        <w:adjustRightInd w:val="0"/>
        <w:jc w:val="both"/>
        <w:rPr>
          <w:sz w:val="24"/>
          <w:szCs w:val="24"/>
        </w:rPr>
      </w:pPr>
    </w:p>
    <w:p w14:paraId="1A125B5E" w14:textId="77777777" w:rsidR="00D25B93" w:rsidRDefault="00D25B93" w:rsidP="00D25B93">
      <w:pPr>
        <w:suppressAutoHyphens/>
        <w:autoSpaceDN w:val="0"/>
        <w:jc w:val="both"/>
        <w:textAlignment w:val="baseline"/>
        <w:rPr>
          <w:sz w:val="24"/>
          <w:szCs w:val="24"/>
        </w:rPr>
      </w:pPr>
      <w:r>
        <w:rPr>
          <w:color w:val="000000"/>
          <w:sz w:val="24"/>
          <w:szCs w:val="24"/>
          <w:lang w:val="es-ES_tradnl" w:eastAsia="es-ES_tradnl"/>
        </w:rPr>
        <w:t xml:space="preserve">Así, la cuestión se centra en determinar si, atendiendo a </w:t>
      </w:r>
      <w:r>
        <w:rPr>
          <w:sz w:val="24"/>
          <w:szCs w:val="24"/>
        </w:rPr>
        <w:t>lo dispuesto en el apartado e) del artículo 18 de</w:t>
      </w:r>
      <w:r w:rsidRPr="00D11D55">
        <w:rPr>
          <w:sz w:val="24"/>
          <w:szCs w:val="24"/>
        </w:rPr>
        <w:t xml:space="preserve"> la </w:t>
      </w:r>
      <w:r w:rsidRPr="00137431">
        <w:rPr>
          <w:sz w:val="24"/>
          <w:szCs w:val="24"/>
        </w:rPr>
        <w:t>LTAIBG</w:t>
      </w:r>
      <w:r>
        <w:rPr>
          <w:sz w:val="24"/>
          <w:szCs w:val="24"/>
        </w:rPr>
        <w:t>,</w:t>
      </w:r>
      <w:r>
        <w:rPr>
          <w:color w:val="000000"/>
          <w:sz w:val="24"/>
          <w:szCs w:val="24"/>
          <w:lang w:val="es-ES_tradnl" w:eastAsia="es-ES_tradnl"/>
        </w:rPr>
        <w:t xml:space="preserve"> ha sido correcta la inadmisión o si, por el contrario, en el presente caso no concurren las circunstancias previstas en la </w:t>
      </w:r>
      <w:r>
        <w:rPr>
          <w:sz w:val="24"/>
          <w:szCs w:val="24"/>
        </w:rPr>
        <w:t>Ley</w:t>
      </w:r>
      <w:r w:rsidRPr="00137431">
        <w:rPr>
          <w:sz w:val="24"/>
          <w:szCs w:val="24"/>
        </w:rPr>
        <w:t xml:space="preserve"> </w:t>
      </w:r>
      <w:r>
        <w:rPr>
          <w:sz w:val="24"/>
          <w:szCs w:val="24"/>
        </w:rPr>
        <w:t>para la aplicación de dicho precepto.</w:t>
      </w:r>
    </w:p>
    <w:p w14:paraId="4D47DB79" w14:textId="77777777" w:rsidR="00D25B93" w:rsidRDefault="00D25B93" w:rsidP="00D25B93">
      <w:pPr>
        <w:suppressAutoHyphens/>
        <w:autoSpaceDN w:val="0"/>
        <w:jc w:val="both"/>
        <w:textAlignment w:val="baseline"/>
        <w:rPr>
          <w:sz w:val="24"/>
          <w:szCs w:val="24"/>
        </w:rPr>
      </w:pPr>
    </w:p>
    <w:p w14:paraId="58BB7EE2" w14:textId="0A3A4E44" w:rsidR="00D25B93" w:rsidRDefault="00D25B93" w:rsidP="00D25B93">
      <w:pPr>
        <w:suppressAutoHyphens/>
        <w:autoSpaceDN w:val="0"/>
        <w:jc w:val="both"/>
        <w:textAlignment w:val="baseline"/>
        <w:rPr>
          <w:sz w:val="24"/>
          <w:szCs w:val="24"/>
        </w:rPr>
      </w:pPr>
      <w:r w:rsidRPr="00466BA7">
        <w:rPr>
          <w:sz w:val="24"/>
          <w:szCs w:val="24"/>
        </w:rPr>
        <w:t>Como se desprende de los antecedentes</w:t>
      </w:r>
      <w:r>
        <w:rPr>
          <w:sz w:val="24"/>
          <w:szCs w:val="24"/>
        </w:rPr>
        <w:t xml:space="preserve"> que cuenta este Consejo</w:t>
      </w:r>
      <w:r w:rsidRPr="00466BA7">
        <w:rPr>
          <w:sz w:val="24"/>
          <w:szCs w:val="24"/>
        </w:rPr>
        <w:t xml:space="preserve">, </w:t>
      </w:r>
      <w:r>
        <w:rPr>
          <w:sz w:val="24"/>
          <w:szCs w:val="24"/>
        </w:rPr>
        <w:t xml:space="preserve">la Dirección ha atendido a solicitudes de contenido coincidente.  Así, mediante Resolución 1070 de 12 de febrero de 2025 se dio contestación a petición presentada por </w:t>
      </w:r>
      <w:r w:rsidR="00E50C0B">
        <w:rPr>
          <w:sz w:val="24"/>
          <w:szCs w:val="24"/>
        </w:rPr>
        <w:t>la persona reclamante</w:t>
      </w:r>
      <w:r>
        <w:rPr>
          <w:sz w:val="24"/>
          <w:szCs w:val="24"/>
        </w:rPr>
        <w:t xml:space="preserve"> de acceso a las cuentas del Concejo de Amárita y mediante Resolución 1194 de 18 de febrero se atendió una solicitud de información sobre las cuentas del Concejo de Mendibil.</w:t>
      </w:r>
    </w:p>
    <w:p w14:paraId="2BFF7A58" w14:textId="77777777" w:rsidR="00D25B93" w:rsidRDefault="00D25B93" w:rsidP="00D25B93">
      <w:pPr>
        <w:suppressAutoHyphens/>
        <w:autoSpaceDN w:val="0"/>
        <w:jc w:val="both"/>
        <w:textAlignment w:val="baseline"/>
        <w:rPr>
          <w:sz w:val="24"/>
          <w:szCs w:val="24"/>
        </w:rPr>
      </w:pPr>
    </w:p>
    <w:p w14:paraId="74743EC1" w14:textId="77777777" w:rsidR="00D25B93" w:rsidRDefault="00D25B93" w:rsidP="00D25B93">
      <w:pPr>
        <w:suppressAutoHyphens/>
        <w:autoSpaceDN w:val="0"/>
        <w:jc w:val="both"/>
        <w:textAlignment w:val="baseline"/>
        <w:rPr>
          <w:sz w:val="24"/>
          <w:szCs w:val="24"/>
        </w:rPr>
      </w:pPr>
      <w:r w:rsidRPr="009D03AF">
        <w:rPr>
          <w:sz w:val="24"/>
          <w:szCs w:val="24"/>
        </w:rPr>
        <w:t>Para el examen de la causa de inadmisión de tratarse de solicitudes repetitivas</w:t>
      </w:r>
      <w:r>
        <w:rPr>
          <w:sz w:val="24"/>
          <w:szCs w:val="24"/>
        </w:rPr>
        <w:t xml:space="preserve">, procede tener en cuenta </w:t>
      </w:r>
      <w:r w:rsidRPr="009D03AF">
        <w:rPr>
          <w:sz w:val="24"/>
          <w:szCs w:val="24"/>
        </w:rPr>
        <w:t xml:space="preserve">el Criterio Interpretativo CI/003/2016, de 14 de julio, elaborado por </w:t>
      </w:r>
      <w:r>
        <w:rPr>
          <w:sz w:val="24"/>
          <w:szCs w:val="24"/>
        </w:rPr>
        <w:t>el Consejo de Transparencia estatal</w:t>
      </w:r>
      <w:r w:rsidRPr="009D03AF">
        <w:rPr>
          <w:sz w:val="24"/>
          <w:szCs w:val="24"/>
        </w:rPr>
        <w:t xml:space="preserve"> en el que, respecto de las solicitudes de carácter repetitivo contempladas en el precitado artículo 18.1.e), se razona lo siguiente: </w:t>
      </w:r>
    </w:p>
    <w:p w14:paraId="2A9878FC" w14:textId="77777777" w:rsidR="00D25B93" w:rsidRPr="00112512" w:rsidRDefault="00D25B93" w:rsidP="00D25B93">
      <w:pPr>
        <w:suppressAutoHyphens/>
        <w:autoSpaceDN w:val="0"/>
        <w:jc w:val="both"/>
        <w:textAlignment w:val="baseline"/>
        <w:rPr>
          <w:i/>
          <w:iCs/>
          <w:sz w:val="24"/>
          <w:szCs w:val="24"/>
        </w:rPr>
      </w:pPr>
    </w:p>
    <w:p w14:paraId="36663397" w14:textId="77777777" w:rsidR="00D25B93" w:rsidRDefault="00D25B93" w:rsidP="00D25B93">
      <w:pPr>
        <w:suppressAutoHyphens/>
        <w:autoSpaceDN w:val="0"/>
        <w:jc w:val="both"/>
        <w:textAlignment w:val="baseline"/>
        <w:rPr>
          <w:i/>
          <w:iCs/>
          <w:sz w:val="24"/>
          <w:szCs w:val="24"/>
        </w:rPr>
      </w:pPr>
      <w:r w:rsidRPr="00112512">
        <w:rPr>
          <w:i/>
          <w:iCs/>
          <w:sz w:val="24"/>
          <w:szCs w:val="24"/>
        </w:rPr>
        <w:t>“Respecto a la solicitud de información manifiestamente repetitiva, gramaticalmente, se define como aquella que lleva a decir o resolver algo que ya se ha dicho o resuelto anteriormente. En los términos de la Ley, para que la solicitud pueda ser inadmitida, se requiere A) Que sea repetitiva y B) Que esta característica sea manifiesta. Por lo tanto, y toda vez que es requisito derivado de los términos en los que se pronuncia la Ley que la solicitud sea, no sólo repetitiva sino que lo sea manifiestamente, procede interpretar qué se entiende por solicitud manifiestamente repetitiva.</w:t>
      </w:r>
    </w:p>
    <w:p w14:paraId="204BA959" w14:textId="77777777" w:rsidR="00E50C0B" w:rsidRDefault="00E50C0B" w:rsidP="00D25B93">
      <w:pPr>
        <w:suppressAutoHyphens/>
        <w:autoSpaceDN w:val="0"/>
        <w:jc w:val="both"/>
        <w:textAlignment w:val="baseline"/>
        <w:rPr>
          <w:i/>
          <w:iCs/>
          <w:sz w:val="24"/>
          <w:szCs w:val="24"/>
        </w:rPr>
      </w:pPr>
    </w:p>
    <w:p w14:paraId="205A3EE8" w14:textId="77777777" w:rsidR="00E50C0B" w:rsidRPr="00112512" w:rsidRDefault="00E50C0B" w:rsidP="00D25B93">
      <w:pPr>
        <w:suppressAutoHyphens/>
        <w:autoSpaceDN w:val="0"/>
        <w:jc w:val="both"/>
        <w:textAlignment w:val="baseline"/>
        <w:rPr>
          <w:i/>
          <w:iCs/>
          <w:sz w:val="24"/>
          <w:szCs w:val="24"/>
        </w:rPr>
      </w:pPr>
    </w:p>
    <w:p w14:paraId="09D5EBBE" w14:textId="77777777" w:rsidR="00D25B93" w:rsidRPr="00112512" w:rsidRDefault="00D25B93" w:rsidP="00D25B93">
      <w:pPr>
        <w:suppressAutoHyphens/>
        <w:autoSpaceDN w:val="0"/>
        <w:jc w:val="both"/>
        <w:textAlignment w:val="baseline"/>
        <w:rPr>
          <w:i/>
          <w:iCs/>
          <w:sz w:val="24"/>
          <w:szCs w:val="24"/>
        </w:rPr>
      </w:pPr>
    </w:p>
    <w:p w14:paraId="51EBF38B" w14:textId="77777777" w:rsidR="00E50C0B" w:rsidRDefault="00E50C0B" w:rsidP="00D25B93">
      <w:pPr>
        <w:suppressAutoHyphens/>
        <w:autoSpaceDN w:val="0"/>
        <w:jc w:val="both"/>
        <w:textAlignment w:val="baseline"/>
        <w:rPr>
          <w:i/>
          <w:iCs/>
          <w:sz w:val="24"/>
          <w:szCs w:val="24"/>
        </w:rPr>
      </w:pPr>
    </w:p>
    <w:p w14:paraId="4634C889" w14:textId="77777777" w:rsidR="00E50C0B" w:rsidRDefault="00E50C0B" w:rsidP="00D25B93">
      <w:pPr>
        <w:suppressAutoHyphens/>
        <w:autoSpaceDN w:val="0"/>
        <w:jc w:val="both"/>
        <w:textAlignment w:val="baseline"/>
        <w:rPr>
          <w:i/>
          <w:iCs/>
          <w:sz w:val="24"/>
          <w:szCs w:val="24"/>
        </w:rPr>
      </w:pPr>
    </w:p>
    <w:p w14:paraId="6EC1A13A" w14:textId="63EAEA8B" w:rsidR="00D25B93" w:rsidRPr="00112512" w:rsidRDefault="00D25B93" w:rsidP="00D25B93">
      <w:pPr>
        <w:suppressAutoHyphens/>
        <w:autoSpaceDN w:val="0"/>
        <w:jc w:val="both"/>
        <w:textAlignment w:val="baseline"/>
        <w:rPr>
          <w:i/>
          <w:iCs/>
          <w:sz w:val="24"/>
          <w:szCs w:val="24"/>
        </w:rPr>
      </w:pPr>
      <w:r w:rsidRPr="00112512">
        <w:rPr>
          <w:i/>
          <w:iCs/>
          <w:sz w:val="24"/>
          <w:szCs w:val="24"/>
        </w:rPr>
        <w:t xml:space="preserve">Una solicitud será MANIFIESTAMENTE repetitiva cuando de forma patente, clara y evidente: </w:t>
      </w:r>
    </w:p>
    <w:p w14:paraId="155319AC" w14:textId="77777777" w:rsidR="00D25B93" w:rsidRPr="00112512" w:rsidRDefault="00D25B93" w:rsidP="00D25B93">
      <w:pPr>
        <w:suppressAutoHyphens/>
        <w:autoSpaceDN w:val="0"/>
        <w:jc w:val="both"/>
        <w:textAlignment w:val="baseline"/>
        <w:rPr>
          <w:i/>
          <w:iCs/>
          <w:sz w:val="24"/>
          <w:szCs w:val="24"/>
        </w:rPr>
      </w:pPr>
    </w:p>
    <w:p w14:paraId="300C88AB" w14:textId="77777777" w:rsidR="00D25B93" w:rsidRPr="00112512" w:rsidRDefault="00D25B93" w:rsidP="00D25B93">
      <w:pPr>
        <w:pStyle w:val="Prrafodelista"/>
        <w:numPr>
          <w:ilvl w:val="0"/>
          <w:numId w:val="8"/>
        </w:numPr>
        <w:suppressAutoHyphens/>
        <w:autoSpaceDN w:val="0"/>
        <w:jc w:val="both"/>
        <w:textAlignment w:val="baseline"/>
        <w:rPr>
          <w:i/>
          <w:iCs/>
          <w:sz w:val="24"/>
          <w:szCs w:val="24"/>
        </w:rPr>
      </w:pPr>
      <w:r w:rsidRPr="00112512">
        <w:rPr>
          <w:i/>
          <w:iCs/>
          <w:sz w:val="24"/>
          <w:szCs w:val="24"/>
        </w:rPr>
        <w:t>Coincida con otra u otras presentadas anteriormente por el mismo o los mismos solicitantes y hubiera sido rechazada por aplicación de alguno de los límites del artículo 14 o 15 de la LTAIBG o por concurrir alguna causa de inadmisión en los términos del artículo 18.</w:t>
      </w:r>
    </w:p>
    <w:p w14:paraId="6BE3CFE6" w14:textId="77777777" w:rsidR="00D25B93" w:rsidRPr="00112512" w:rsidRDefault="00D25B93" w:rsidP="00D25B93">
      <w:pPr>
        <w:suppressAutoHyphens/>
        <w:autoSpaceDN w:val="0"/>
        <w:jc w:val="both"/>
        <w:textAlignment w:val="baseline"/>
        <w:rPr>
          <w:i/>
          <w:iCs/>
          <w:sz w:val="24"/>
          <w:szCs w:val="24"/>
        </w:rPr>
      </w:pPr>
    </w:p>
    <w:p w14:paraId="1DABAB36" w14:textId="77777777" w:rsidR="00D25B93" w:rsidRPr="00112512" w:rsidRDefault="00D25B93" w:rsidP="00D25B93">
      <w:pPr>
        <w:suppressAutoHyphens/>
        <w:autoSpaceDN w:val="0"/>
        <w:ind w:left="360"/>
        <w:jc w:val="both"/>
        <w:textAlignment w:val="baseline"/>
        <w:rPr>
          <w:i/>
          <w:iCs/>
          <w:sz w:val="24"/>
          <w:szCs w:val="24"/>
        </w:rPr>
      </w:pPr>
      <w:r w:rsidRPr="00112512">
        <w:rPr>
          <w:i/>
          <w:iCs/>
          <w:sz w:val="24"/>
          <w:szCs w:val="24"/>
        </w:rPr>
        <w:t xml:space="preserve">En todo caso, la repuesta debe haber adquirido firmeza por el transcurso de los plazos de reclamación o recurso contencioso-administrativo sin que éstos se hubieran interpuesto o cuando, habiéndose presentado, hubieran sido definitivamente resueltos y la denegación o inadmisión hubiese sido avalada por el Consejo de Transparencia y Buen Gobierno u órgano autonómico equivalente competente o por el órgano judicial correspondiente. </w:t>
      </w:r>
    </w:p>
    <w:p w14:paraId="5DD3E572" w14:textId="77777777" w:rsidR="00D25B93" w:rsidRPr="00112512" w:rsidRDefault="00D25B93" w:rsidP="00D25B93">
      <w:pPr>
        <w:suppressAutoHyphens/>
        <w:autoSpaceDN w:val="0"/>
        <w:jc w:val="both"/>
        <w:textAlignment w:val="baseline"/>
        <w:rPr>
          <w:i/>
          <w:iCs/>
          <w:sz w:val="24"/>
          <w:szCs w:val="24"/>
        </w:rPr>
      </w:pPr>
    </w:p>
    <w:p w14:paraId="25163469" w14:textId="77777777" w:rsidR="00D25B93" w:rsidRPr="00112512" w:rsidRDefault="00D25B93" w:rsidP="00D25B93">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Coincida con otra u otras presentadas anteriormente por el mismo o los mismos solicitantes y, habiéndose admitido a trámite, se hubiera ofrecido ya la información sin que hubiera existido ninguna modificación real o legal sobre los datos en su momento ofrecidos. En estos casos, deberá justificarse adecuadamente la ausencia de modificación de los datos inicialmente ofrecidos. </w:t>
      </w:r>
    </w:p>
    <w:p w14:paraId="5FE56C7F" w14:textId="77777777" w:rsidR="00D25B93" w:rsidRPr="00112512" w:rsidRDefault="00D25B93" w:rsidP="00D25B93">
      <w:pPr>
        <w:suppressAutoHyphens/>
        <w:autoSpaceDN w:val="0"/>
        <w:jc w:val="both"/>
        <w:textAlignment w:val="baseline"/>
        <w:rPr>
          <w:i/>
          <w:iCs/>
          <w:sz w:val="24"/>
          <w:szCs w:val="24"/>
        </w:rPr>
      </w:pPr>
    </w:p>
    <w:p w14:paraId="7F80217E" w14:textId="77777777" w:rsidR="00D25B93" w:rsidRDefault="00D25B93" w:rsidP="00D5292B">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El solicitante o solicitantes conocieran de antemano el sentido de la resolución por habérsele comunicado en un procedimiento anterior por el órgano informante. </w:t>
      </w:r>
    </w:p>
    <w:p w14:paraId="4F6AC83E" w14:textId="77777777" w:rsidR="00D5292B" w:rsidRPr="00112512" w:rsidRDefault="00D5292B" w:rsidP="00D5292B">
      <w:pPr>
        <w:pStyle w:val="Prrafodelista"/>
        <w:suppressAutoHyphens/>
        <w:autoSpaceDN w:val="0"/>
        <w:ind w:left="360"/>
        <w:jc w:val="both"/>
        <w:textAlignment w:val="baseline"/>
        <w:rPr>
          <w:i/>
          <w:iCs/>
          <w:sz w:val="24"/>
          <w:szCs w:val="24"/>
        </w:rPr>
      </w:pPr>
    </w:p>
    <w:p w14:paraId="7191EB69" w14:textId="77777777" w:rsidR="00D25B93" w:rsidRPr="00112512" w:rsidRDefault="00D25B93" w:rsidP="00D5292B">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Coincidan con otra u otras dirigidas al mismo órgano en períodos de tiempo inferiores a los plazos de tramitación legalmente previstos, de tal forma que las solicitudes presentadas previamente no hubieran finalizado su tramitación. </w:t>
      </w:r>
    </w:p>
    <w:p w14:paraId="0601191A" w14:textId="77777777" w:rsidR="00D25B93" w:rsidRPr="00112512" w:rsidRDefault="00D25B93" w:rsidP="00D25B93">
      <w:pPr>
        <w:pStyle w:val="Prrafodelista"/>
        <w:rPr>
          <w:i/>
          <w:iCs/>
          <w:sz w:val="24"/>
          <w:szCs w:val="24"/>
        </w:rPr>
      </w:pPr>
    </w:p>
    <w:p w14:paraId="732CBAF5" w14:textId="77777777" w:rsidR="00D25B93" w:rsidRPr="00112512" w:rsidRDefault="00D25B93" w:rsidP="00D25B93">
      <w:pPr>
        <w:pStyle w:val="Prrafodelista"/>
        <w:numPr>
          <w:ilvl w:val="0"/>
          <w:numId w:val="8"/>
        </w:numPr>
        <w:suppressAutoHyphens/>
        <w:autoSpaceDN w:val="0"/>
        <w:jc w:val="both"/>
        <w:textAlignment w:val="baseline"/>
        <w:rPr>
          <w:i/>
          <w:iCs/>
          <w:sz w:val="24"/>
          <w:szCs w:val="24"/>
        </w:rPr>
      </w:pPr>
      <w:r w:rsidRPr="00112512">
        <w:rPr>
          <w:i/>
          <w:iCs/>
          <w:sz w:val="24"/>
          <w:szCs w:val="24"/>
        </w:rPr>
        <w:t>Cuando fueran de respuesta imposible, bien por el contenido o por razones de competencia y así se hubiera notificado y justificado al solicitante de información.</w:t>
      </w:r>
      <w:r>
        <w:rPr>
          <w:i/>
          <w:iCs/>
          <w:sz w:val="24"/>
          <w:szCs w:val="24"/>
        </w:rPr>
        <w:t>”</w:t>
      </w:r>
      <w:r w:rsidRPr="00112512">
        <w:rPr>
          <w:i/>
          <w:iCs/>
          <w:sz w:val="24"/>
          <w:szCs w:val="24"/>
        </w:rPr>
        <w:t xml:space="preserve"> </w:t>
      </w:r>
    </w:p>
    <w:p w14:paraId="160D31E8" w14:textId="77777777" w:rsidR="00D25B93" w:rsidRDefault="00D25B93" w:rsidP="00D25B93">
      <w:pPr>
        <w:pStyle w:val="Prrafodelista"/>
        <w:rPr>
          <w:sz w:val="24"/>
          <w:szCs w:val="24"/>
        </w:rPr>
      </w:pPr>
    </w:p>
    <w:p w14:paraId="4C365F2B" w14:textId="77777777" w:rsidR="00D25B93" w:rsidRDefault="00D25B93" w:rsidP="00D25B93">
      <w:pPr>
        <w:suppressAutoHyphens/>
        <w:autoSpaceDN w:val="0"/>
        <w:jc w:val="both"/>
        <w:textAlignment w:val="baseline"/>
        <w:rPr>
          <w:sz w:val="24"/>
          <w:szCs w:val="24"/>
        </w:rPr>
      </w:pPr>
      <w:r w:rsidRPr="00963A02">
        <w:rPr>
          <w:sz w:val="24"/>
          <w:szCs w:val="24"/>
        </w:rPr>
        <w:t xml:space="preserve">En lo que ahora interesa, el </w:t>
      </w:r>
      <w:r>
        <w:rPr>
          <w:sz w:val="24"/>
          <w:szCs w:val="24"/>
        </w:rPr>
        <w:t xml:space="preserve">Consejo estatal </w:t>
      </w:r>
      <w:r w:rsidRPr="00963A02">
        <w:rPr>
          <w:sz w:val="24"/>
          <w:szCs w:val="24"/>
        </w:rPr>
        <w:t>considera que “</w:t>
      </w:r>
      <w:r w:rsidRPr="006E55A7">
        <w:rPr>
          <w:i/>
          <w:iCs/>
          <w:sz w:val="24"/>
          <w:szCs w:val="24"/>
        </w:rPr>
        <w:t>una solicitud será manifiestamente repetitiva cuando de forma patente, clara y evidente […] el solicitante o solicitantes conocieran de antemano el sentido de la resolución por habérsele comunicado en un procedimiento anterior por el órgano informante</w:t>
      </w:r>
      <w:r w:rsidRPr="00963A02">
        <w:rPr>
          <w:sz w:val="24"/>
          <w:szCs w:val="24"/>
        </w:rPr>
        <w:t xml:space="preserve">”. </w:t>
      </w:r>
    </w:p>
    <w:p w14:paraId="5CEDCE62" w14:textId="77777777" w:rsidR="00D25B93" w:rsidRDefault="00D25B93" w:rsidP="00D25B93">
      <w:pPr>
        <w:suppressAutoHyphens/>
        <w:autoSpaceDN w:val="0"/>
        <w:jc w:val="both"/>
        <w:textAlignment w:val="baseline"/>
        <w:rPr>
          <w:sz w:val="24"/>
          <w:szCs w:val="24"/>
        </w:rPr>
      </w:pPr>
    </w:p>
    <w:p w14:paraId="2A1376AC" w14:textId="5D25AC65" w:rsidR="00D25B93" w:rsidRDefault="00D25B93" w:rsidP="00D25B93">
      <w:pPr>
        <w:suppressAutoHyphens/>
        <w:autoSpaceDN w:val="0"/>
        <w:jc w:val="both"/>
        <w:textAlignment w:val="baseline"/>
        <w:rPr>
          <w:sz w:val="24"/>
          <w:szCs w:val="24"/>
        </w:rPr>
      </w:pPr>
      <w:r w:rsidRPr="00963A02">
        <w:rPr>
          <w:sz w:val="24"/>
          <w:szCs w:val="24"/>
        </w:rPr>
        <w:t xml:space="preserve">En conclusión, las peticiones que únicamente contengan una petición </w:t>
      </w:r>
      <w:r>
        <w:rPr>
          <w:sz w:val="24"/>
          <w:szCs w:val="24"/>
        </w:rPr>
        <w:t>sobre las cuentas anuales de una junta administrativa del Territorio Histórico de Álava</w:t>
      </w:r>
      <w:r w:rsidRPr="00963A02">
        <w:rPr>
          <w:sz w:val="24"/>
          <w:szCs w:val="24"/>
        </w:rPr>
        <w:t xml:space="preserve"> realizadas por quien ya conoce</w:t>
      </w:r>
      <w:r>
        <w:rPr>
          <w:sz w:val="24"/>
          <w:szCs w:val="24"/>
        </w:rPr>
        <w:t xml:space="preserve"> la respuesta </w:t>
      </w:r>
      <w:r w:rsidRPr="00963A02">
        <w:rPr>
          <w:sz w:val="24"/>
          <w:szCs w:val="24"/>
        </w:rPr>
        <w:t>por habérsele comunicado repetidamente</w:t>
      </w:r>
      <w:r>
        <w:rPr>
          <w:sz w:val="24"/>
          <w:szCs w:val="24"/>
        </w:rPr>
        <w:t xml:space="preserve"> el sentido de la resolución</w:t>
      </w:r>
      <w:r w:rsidRPr="00963A02">
        <w:rPr>
          <w:sz w:val="24"/>
          <w:szCs w:val="24"/>
        </w:rPr>
        <w:t>, están abocadas a ser inadmitidas, por ser manifiestamente re</w:t>
      </w:r>
      <w:r>
        <w:rPr>
          <w:sz w:val="24"/>
          <w:szCs w:val="24"/>
        </w:rPr>
        <w:t>iterativ</w:t>
      </w:r>
      <w:r w:rsidRPr="00963A02">
        <w:rPr>
          <w:sz w:val="24"/>
          <w:szCs w:val="24"/>
        </w:rPr>
        <w:t>as y no justificarse con la finalidad de la Ley</w:t>
      </w:r>
      <w:r w:rsidR="00C554B4">
        <w:rPr>
          <w:sz w:val="24"/>
          <w:szCs w:val="24"/>
        </w:rPr>
        <w:t>.</w:t>
      </w:r>
    </w:p>
    <w:p w14:paraId="3C641915" w14:textId="77777777" w:rsidR="00E50C0B" w:rsidRDefault="00E50C0B" w:rsidP="00D25B93">
      <w:pPr>
        <w:suppressAutoHyphens/>
        <w:autoSpaceDN w:val="0"/>
        <w:jc w:val="both"/>
        <w:textAlignment w:val="baseline"/>
        <w:rPr>
          <w:sz w:val="24"/>
          <w:szCs w:val="24"/>
        </w:rPr>
      </w:pPr>
    </w:p>
    <w:p w14:paraId="47BC5BA2" w14:textId="77777777" w:rsidR="00D25B93" w:rsidRDefault="00D25B93" w:rsidP="00D25B93">
      <w:pPr>
        <w:suppressAutoHyphens/>
        <w:autoSpaceDN w:val="0"/>
        <w:jc w:val="both"/>
        <w:textAlignment w:val="baseline"/>
        <w:rPr>
          <w:sz w:val="24"/>
          <w:szCs w:val="24"/>
        </w:rPr>
      </w:pPr>
    </w:p>
    <w:p w14:paraId="201423B4" w14:textId="037985FC" w:rsidR="00D25B93" w:rsidRDefault="00D25B93" w:rsidP="00D25B93">
      <w:pPr>
        <w:suppressAutoHyphens/>
        <w:autoSpaceDN w:val="0"/>
        <w:jc w:val="both"/>
        <w:textAlignment w:val="baseline"/>
        <w:rPr>
          <w:sz w:val="24"/>
          <w:szCs w:val="24"/>
        </w:rPr>
      </w:pPr>
      <w:r>
        <w:rPr>
          <w:sz w:val="24"/>
          <w:szCs w:val="24"/>
        </w:rPr>
        <w:lastRenderedPageBreak/>
        <w:t xml:space="preserve">Y así sucede con las peticiones realizadas el 24 de marzo de 2025 por </w:t>
      </w:r>
      <w:r w:rsidR="00E50C0B">
        <w:rPr>
          <w:sz w:val="24"/>
          <w:szCs w:val="24"/>
        </w:rPr>
        <w:t>la persona reclamante</w:t>
      </w:r>
      <w:r>
        <w:rPr>
          <w:sz w:val="24"/>
          <w:szCs w:val="24"/>
        </w:rPr>
        <w:t xml:space="preserve"> sobre materia coincidentes con otras solicitudes suyas sobre las cuentas de Amárita y Mendibil presentadas el 5 y 12 de febrero de 2025 y desestimadas por Resoluciones del Director de Equilibrio Territorial 1070/2025 de 12 de febrero y 1194/2025 de 18 de febrero, respectivamente, decisiones, a su vez, confirmadas por este Consejo Foral en su Resolución 1/2025 al entender que la decisión sobre el acceso de las cuentas de los entes locales menores del Territorio corresponde, no a la Diputación Foral de Álava, sino a los autores de las mismas, esto es, a las correspondientes juntas administrativas.</w:t>
      </w:r>
    </w:p>
    <w:p w14:paraId="3FAA7FAA" w14:textId="77777777" w:rsidR="00D25B93" w:rsidRDefault="00D25B93" w:rsidP="00D25B93">
      <w:pPr>
        <w:suppressAutoHyphens/>
        <w:autoSpaceDN w:val="0"/>
        <w:jc w:val="both"/>
        <w:textAlignment w:val="baseline"/>
        <w:rPr>
          <w:sz w:val="24"/>
          <w:szCs w:val="24"/>
        </w:rPr>
      </w:pPr>
    </w:p>
    <w:p w14:paraId="6C765AF5" w14:textId="764BD024" w:rsidR="00D25B93" w:rsidRDefault="00D25B93" w:rsidP="00D25B93">
      <w:pPr>
        <w:suppressAutoHyphens/>
        <w:autoSpaceDN w:val="0"/>
        <w:jc w:val="both"/>
        <w:textAlignment w:val="baseline"/>
        <w:rPr>
          <w:sz w:val="24"/>
          <w:szCs w:val="24"/>
        </w:rPr>
      </w:pPr>
      <w:r>
        <w:rPr>
          <w:sz w:val="24"/>
          <w:szCs w:val="24"/>
        </w:rPr>
        <w:t xml:space="preserve">A la vista de todo lo anteriormente expuesto, este Consejo Foral considera que las inadmisiones de la información solicitada por </w:t>
      </w:r>
      <w:r w:rsidR="00E50C0B" w:rsidRPr="00E50C0B">
        <w:rPr>
          <w:sz w:val="24"/>
          <w:szCs w:val="24"/>
          <w:highlight w:val="black"/>
        </w:rPr>
        <w:t>XXXXX</w:t>
      </w:r>
      <w:r>
        <w:rPr>
          <w:sz w:val="24"/>
          <w:szCs w:val="24"/>
        </w:rPr>
        <w:t xml:space="preserve"> encuentra amparo en el </w:t>
      </w:r>
      <w:r w:rsidRPr="005A47C7">
        <w:rPr>
          <w:sz w:val="24"/>
          <w:szCs w:val="24"/>
        </w:rPr>
        <w:t>artículo 1</w:t>
      </w:r>
      <w:r>
        <w:rPr>
          <w:sz w:val="24"/>
          <w:szCs w:val="24"/>
        </w:rPr>
        <w:t>8</w:t>
      </w:r>
      <w:r w:rsidRPr="005A47C7">
        <w:rPr>
          <w:sz w:val="24"/>
          <w:szCs w:val="24"/>
        </w:rPr>
        <w:t>.</w:t>
      </w:r>
      <w:r>
        <w:rPr>
          <w:sz w:val="24"/>
          <w:szCs w:val="24"/>
        </w:rPr>
        <w:t>e)</w:t>
      </w:r>
      <w:r w:rsidRPr="005A47C7">
        <w:rPr>
          <w:sz w:val="24"/>
          <w:szCs w:val="24"/>
        </w:rPr>
        <w:t xml:space="preserve"> de la Ley 19/2013</w:t>
      </w:r>
      <w:r>
        <w:rPr>
          <w:sz w:val="24"/>
          <w:szCs w:val="24"/>
        </w:rPr>
        <w:t>.</w:t>
      </w:r>
    </w:p>
    <w:p w14:paraId="138C53EE" w14:textId="77777777" w:rsidR="00D25B93" w:rsidRDefault="00D25B93" w:rsidP="00D25B93">
      <w:pPr>
        <w:suppressAutoHyphens/>
        <w:autoSpaceDN w:val="0"/>
        <w:jc w:val="both"/>
        <w:textAlignment w:val="baseline"/>
        <w:rPr>
          <w:sz w:val="24"/>
          <w:szCs w:val="24"/>
        </w:rPr>
      </w:pPr>
    </w:p>
    <w:p w14:paraId="7D38E53F" w14:textId="77777777" w:rsidR="00105D41" w:rsidRDefault="00105D41" w:rsidP="00D25B93">
      <w:pPr>
        <w:tabs>
          <w:tab w:val="left" w:pos="426"/>
        </w:tabs>
        <w:jc w:val="both"/>
        <w:rPr>
          <w:sz w:val="24"/>
          <w:szCs w:val="24"/>
        </w:rPr>
      </w:pPr>
    </w:p>
    <w:p w14:paraId="3115A6AD" w14:textId="59AA818D" w:rsidR="00D25B93" w:rsidRDefault="00D25B93" w:rsidP="00D25B93">
      <w:pPr>
        <w:tabs>
          <w:tab w:val="left" w:pos="426"/>
        </w:tabs>
        <w:jc w:val="both"/>
        <w:rPr>
          <w:sz w:val="24"/>
          <w:szCs w:val="24"/>
        </w:rPr>
      </w:pPr>
      <w:r w:rsidRPr="00EE3782">
        <w:rPr>
          <w:sz w:val="24"/>
          <w:szCs w:val="24"/>
        </w:rPr>
        <w:t>En virtud de todo ello, el Consejo Foral de Transparencia adopta, por unanimidad, la siguiente</w:t>
      </w:r>
    </w:p>
    <w:p w14:paraId="26A80CD2" w14:textId="77777777" w:rsidR="00D25B93" w:rsidRDefault="00D25B93" w:rsidP="00D25B93">
      <w:pPr>
        <w:tabs>
          <w:tab w:val="left" w:pos="473"/>
        </w:tabs>
        <w:jc w:val="both"/>
        <w:rPr>
          <w:sz w:val="24"/>
          <w:szCs w:val="24"/>
        </w:rPr>
      </w:pPr>
    </w:p>
    <w:p w14:paraId="1800A331" w14:textId="77777777" w:rsidR="00D25B93" w:rsidRPr="00EE3782" w:rsidRDefault="00D25B93" w:rsidP="00D25B93">
      <w:pPr>
        <w:tabs>
          <w:tab w:val="left" w:pos="473"/>
        </w:tabs>
        <w:jc w:val="both"/>
        <w:rPr>
          <w:sz w:val="24"/>
          <w:szCs w:val="24"/>
        </w:rPr>
      </w:pPr>
    </w:p>
    <w:p w14:paraId="6B814C8A" w14:textId="77777777" w:rsidR="00D25B93" w:rsidRPr="00EE3782" w:rsidRDefault="00D25B93" w:rsidP="00D25B93">
      <w:pPr>
        <w:jc w:val="center"/>
        <w:rPr>
          <w:color w:val="000000"/>
          <w:sz w:val="24"/>
          <w:szCs w:val="24"/>
          <w:lang w:eastAsia="es-ES_tradnl"/>
        </w:rPr>
      </w:pPr>
      <w:r w:rsidRPr="00EE3782">
        <w:rPr>
          <w:b/>
          <w:bCs/>
          <w:color w:val="000000"/>
          <w:sz w:val="24"/>
          <w:szCs w:val="24"/>
          <w:lang w:eastAsia="es-ES_tradnl"/>
        </w:rPr>
        <w:t>RESOLUCIÓN</w:t>
      </w:r>
    </w:p>
    <w:p w14:paraId="5A623DBF" w14:textId="77777777" w:rsidR="00D25B93" w:rsidRPr="00EE3782" w:rsidRDefault="00D25B93" w:rsidP="00D25B93">
      <w:pPr>
        <w:jc w:val="both"/>
        <w:rPr>
          <w:color w:val="000000"/>
          <w:sz w:val="24"/>
          <w:szCs w:val="24"/>
          <w:lang w:eastAsia="es-ES_tradnl"/>
        </w:rPr>
      </w:pPr>
    </w:p>
    <w:p w14:paraId="05E7ACB8" w14:textId="2B90601F" w:rsidR="00D25B93" w:rsidRPr="00EE3782" w:rsidRDefault="00D25B93" w:rsidP="00D25B93">
      <w:pPr>
        <w:autoSpaceDE w:val="0"/>
        <w:autoSpaceDN w:val="0"/>
        <w:adjustRightInd w:val="0"/>
        <w:jc w:val="both"/>
        <w:rPr>
          <w:color w:val="000000"/>
          <w:sz w:val="24"/>
          <w:szCs w:val="24"/>
          <w:lang w:val="es-ES_tradnl" w:eastAsia="es-ES_tradnl"/>
        </w:rPr>
      </w:pPr>
      <w:r w:rsidRPr="00EE3782">
        <w:rPr>
          <w:b/>
          <w:color w:val="000000"/>
          <w:sz w:val="24"/>
          <w:szCs w:val="24"/>
          <w:lang w:eastAsia="es-ES_tradnl"/>
        </w:rPr>
        <w:t xml:space="preserve">Primero. </w:t>
      </w:r>
      <w:r>
        <w:rPr>
          <w:bCs/>
          <w:color w:val="000000"/>
          <w:sz w:val="24"/>
          <w:szCs w:val="24"/>
          <w:lang w:eastAsia="es-ES_tradnl"/>
        </w:rPr>
        <w:t>Desestima</w:t>
      </w:r>
      <w:r w:rsidRPr="00EE3782">
        <w:rPr>
          <w:bCs/>
          <w:color w:val="000000"/>
          <w:sz w:val="24"/>
          <w:szCs w:val="24"/>
          <w:lang w:eastAsia="es-ES_tradnl"/>
        </w:rPr>
        <w:t xml:space="preserve">r </w:t>
      </w:r>
      <w:r w:rsidRPr="00EE3782">
        <w:rPr>
          <w:color w:val="000000"/>
          <w:sz w:val="24"/>
          <w:szCs w:val="24"/>
          <w:lang w:eastAsia="es-ES_tradnl"/>
        </w:rPr>
        <w:t>la</w:t>
      </w:r>
      <w:r>
        <w:rPr>
          <w:color w:val="000000"/>
          <w:sz w:val="24"/>
          <w:szCs w:val="24"/>
          <w:lang w:eastAsia="es-ES_tradnl"/>
        </w:rPr>
        <w:t>s</w:t>
      </w:r>
      <w:r w:rsidRPr="00EE3782">
        <w:rPr>
          <w:color w:val="000000"/>
          <w:sz w:val="24"/>
          <w:szCs w:val="24"/>
          <w:lang w:eastAsia="es-ES_tradnl"/>
        </w:rPr>
        <w:t xml:space="preserve"> reclamaci</w:t>
      </w:r>
      <w:r>
        <w:rPr>
          <w:color w:val="000000"/>
          <w:sz w:val="24"/>
          <w:szCs w:val="24"/>
          <w:lang w:eastAsia="es-ES_tradnl"/>
        </w:rPr>
        <w:t>o</w:t>
      </w:r>
      <w:r w:rsidRPr="00EE3782">
        <w:rPr>
          <w:color w:val="000000"/>
          <w:sz w:val="24"/>
          <w:szCs w:val="24"/>
          <w:lang w:eastAsia="es-ES_tradnl"/>
        </w:rPr>
        <w:t>n</w:t>
      </w:r>
      <w:r>
        <w:rPr>
          <w:color w:val="000000"/>
          <w:sz w:val="24"/>
          <w:szCs w:val="24"/>
          <w:lang w:eastAsia="es-ES_tradnl"/>
        </w:rPr>
        <w:t>es</w:t>
      </w:r>
      <w:r w:rsidRPr="00EE3782">
        <w:rPr>
          <w:color w:val="000000"/>
          <w:sz w:val="24"/>
          <w:szCs w:val="24"/>
          <w:lang w:eastAsia="es-ES_tradnl"/>
        </w:rPr>
        <w:t xml:space="preserve"> formulada</w:t>
      </w:r>
      <w:r>
        <w:rPr>
          <w:color w:val="000000"/>
          <w:sz w:val="24"/>
          <w:szCs w:val="24"/>
          <w:lang w:eastAsia="es-ES_tradnl"/>
        </w:rPr>
        <w:t>s</w:t>
      </w:r>
      <w:r w:rsidRPr="00EE3782">
        <w:rPr>
          <w:color w:val="000000"/>
          <w:sz w:val="24"/>
          <w:szCs w:val="24"/>
          <w:lang w:eastAsia="es-ES_tradnl"/>
        </w:rPr>
        <w:t xml:space="preserve"> </w:t>
      </w:r>
      <w:r w:rsidRPr="0057586C">
        <w:rPr>
          <w:color w:val="000000"/>
          <w:sz w:val="24"/>
          <w:szCs w:val="24"/>
          <w:lang w:eastAsia="es-ES_tradnl"/>
        </w:rPr>
        <w:t xml:space="preserve">por </w:t>
      </w:r>
      <w:r w:rsidR="008954C9" w:rsidRPr="008954C9">
        <w:rPr>
          <w:color w:val="000000"/>
          <w:sz w:val="24"/>
          <w:szCs w:val="24"/>
          <w:highlight w:val="black"/>
          <w:lang w:eastAsia="es-ES_tradnl"/>
        </w:rPr>
        <w:t>XXXXX</w:t>
      </w:r>
      <w:r>
        <w:rPr>
          <w:color w:val="000000"/>
          <w:sz w:val="24"/>
          <w:szCs w:val="24"/>
          <w:lang w:eastAsia="es-ES_tradnl"/>
        </w:rPr>
        <w:t xml:space="preserve"> </w:t>
      </w:r>
      <w:r w:rsidRPr="00EE3782">
        <w:rPr>
          <w:color w:val="000000"/>
          <w:sz w:val="24"/>
          <w:szCs w:val="24"/>
          <w:lang w:eastAsia="es-ES_tradnl"/>
        </w:rPr>
        <w:t>contra la</w:t>
      </w:r>
      <w:r>
        <w:rPr>
          <w:color w:val="000000"/>
          <w:sz w:val="24"/>
          <w:szCs w:val="24"/>
          <w:lang w:eastAsia="es-ES_tradnl"/>
        </w:rPr>
        <w:t>s</w:t>
      </w:r>
      <w:r w:rsidRPr="00EE3782">
        <w:rPr>
          <w:color w:val="000000"/>
          <w:sz w:val="24"/>
          <w:szCs w:val="24"/>
          <w:lang w:eastAsia="es-ES_tradnl"/>
        </w:rPr>
        <w:t xml:space="preserve"> </w:t>
      </w:r>
      <w:r>
        <w:rPr>
          <w:sz w:val="24"/>
          <w:szCs w:val="24"/>
        </w:rPr>
        <w:t>Resoluciones 1936/2025 y 1950/2025 del Director de Equilibrio Territorial de 2 de abril</w:t>
      </w:r>
      <w:r w:rsidRPr="00EE3782">
        <w:rPr>
          <w:color w:val="000000"/>
          <w:sz w:val="24"/>
          <w:szCs w:val="24"/>
          <w:lang w:eastAsia="es-ES_tradnl"/>
        </w:rPr>
        <w:t xml:space="preserve">, </w:t>
      </w:r>
      <w:r>
        <w:rPr>
          <w:color w:val="000000"/>
          <w:sz w:val="24"/>
          <w:szCs w:val="24"/>
          <w:lang w:val="es-ES_tradnl" w:eastAsia="es-ES_tradnl"/>
        </w:rPr>
        <w:t xml:space="preserve">a la vista de lo dispuesto en el artículo 18.e) de la </w:t>
      </w:r>
      <w:r w:rsidRPr="0036503D">
        <w:rPr>
          <w:sz w:val="24"/>
          <w:szCs w:val="24"/>
        </w:rPr>
        <w:t>LTAIBG</w:t>
      </w:r>
      <w:r>
        <w:rPr>
          <w:sz w:val="24"/>
          <w:szCs w:val="24"/>
        </w:rPr>
        <w:t>.</w:t>
      </w:r>
    </w:p>
    <w:p w14:paraId="23D9CAA3" w14:textId="77777777" w:rsidR="00D25B93" w:rsidRDefault="00D25B93" w:rsidP="00D25B93">
      <w:pPr>
        <w:jc w:val="both"/>
        <w:rPr>
          <w:b/>
          <w:bCs/>
          <w:color w:val="000000"/>
          <w:sz w:val="24"/>
          <w:szCs w:val="24"/>
          <w:lang w:eastAsia="es-ES_tradnl"/>
        </w:rPr>
      </w:pPr>
    </w:p>
    <w:p w14:paraId="753FA71A" w14:textId="77777777" w:rsidR="00D25B93" w:rsidRDefault="00D25B93" w:rsidP="00D25B93">
      <w:pPr>
        <w:jc w:val="both"/>
        <w:rPr>
          <w:color w:val="000000"/>
          <w:sz w:val="24"/>
          <w:szCs w:val="24"/>
          <w:lang w:eastAsia="es-ES_tradnl"/>
        </w:rPr>
      </w:pPr>
      <w:r>
        <w:rPr>
          <w:b/>
          <w:bCs/>
          <w:color w:val="000000"/>
          <w:sz w:val="24"/>
          <w:szCs w:val="24"/>
          <w:lang w:eastAsia="es-ES_tradnl"/>
        </w:rPr>
        <w:t>Segund</w:t>
      </w:r>
      <w:r w:rsidRPr="00EE3782">
        <w:rPr>
          <w:b/>
          <w:bCs/>
          <w:color w:val="000000"/>
          <w:sz w:val="24"/>
          <w:szCs w:val="24"/>
          <w:lang w:eastAsia="es-ES_tradnl"/>
        </w:rPr>
        <w:t>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25FA931F" w14:textId="77777777" w:rsidR="00D25B93" w:rsidRDefault="00D25B93" w:rsidP="00D25B93">
      <w:pPr>
        <w:jc w:val="both"/>
        <w:rPr>
          <w:color w:val="000000"/>
          <w:sz w:val="24"/>
          <w:szCs w:val="24"/>
          <w:lang w:eastAsia="es-ES_tradnl"/>
        </w:rPr>
      </w:pPr>
    </w:p>
    <w:p w14:paraId="1E6C28E2" w14:textId="77777777" w:rsidR="007A7BF2" w:rsidRPr="002D0911" w:rsidRDefault="007A7BF2" w:rsidP="007A7BF2">
      <w:pPr>
        <w:tabs>
          <w:tab w:val="left" w:pos="473"/>
        </w:tabs>
        <w:jc w:val="both"/>
        <w:rPr>
          <w:b/>
          <w:sz w:val="24"/>
          <w:szCs w:val="24"/>
        </w:rPr>
      </w:pPr>
    </w:p>
    <w:sectPr w:rsidR="007A7BF2" w:rsidRPr="002D0911"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53A6" w14:textId="77777777" w:rsidR="00AF7E4D" w:rsidRDefault="00AF7E4D">
      <w:r>
        <w:separator/>
      </w:r>
    </w:p>
  </w:endnote>
  <w:endnote w:type="continuationSeparator" w:id="0">
    <w:p w14:paraId="3B4EF2B0" w14:textId="77777777" w:rsidR="00AF7E4D" w:rsidRDefault="00AF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6F2A806B"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4D38" w14:textId="77777777" w:rsidR="00AF7E4D" w:rsidRDefault="00AF7E4D">
      <w:r>
        <w:separator/>
      </w:r>
    </w:p>
  </w:footnote>
  <w:footnote w:type="continuationSeparator" w:id="0">
    <w:p w14:paraId="3F15246C" w14:textId="77777777" w:rsidR="00AF7E4D" w:rsidRDefault="00AF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7035386"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7035387"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7035388"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2"/>
  </w:num>
  <w:num w:numId="2" w16cid:durableId="70154481">
    <w:abstractNumId w:val="1"/>
  </w:num>
  <w:num w:numId="3" w16cid:durableId="933174401">
    <w:abstractNumId w:val="0"/>
  </w:num>
  <w:num w:numId="4" w16cid:durableId="1337805661">
    <w:abstractNumId w:val="6"/>
  </w:num>
  <w:num w:numId="5" w16cid:durableId="1724985689">
    <w:abstractNumId w:val="5"/>
  </w:num>
  <w:num w:numId="6" w16cid:durableId="631833889">
    <w:abstractNumId w:val="7"/>
  </w:num>
  <w:num w:numId="7" w16cid:durableId="1828593542">
    <w:abstractNumId w:val="3"/>
  </w:num>
  <w:num w:numId="8" w16cid:durableId="437916381">
    <w:abstractNumId w:val="4"/>
  </w:num>
  <w:num w:numId="9" w16cid:durableId="92191774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3584E"/>
    <w:rsid w:val="00055D17"/>
    <w:rsid w:val="000608BF"/>
    <w:rsid w:val="00062731"/>
    <w:rsid w:val="000770E2"/>
    <w:rsid w:val="00077790"/>
    <w:rsid w:val="00091718"/>
    <w:rsid w:val="00092084"/>
    <w:rsid w:val="000956AD"/>
    <w:rsid w:val="000C7EA1"/>
    <w:rsid w:val="000E09C1"/>
    <w:rsid w:val="000F397C"/>
    <w:rsid w:val="000F76EF"/>
    <w:rsid w:val="00104E57"/>
    <w:rsid w:val="00105D41"/>
    <w:rsid w:val="0010682A"/>
    <w:rsid w:val="00121095"/>
    <w:rsid w:val="00137431"/>
    <w:rsid w:val="00155E65"/>
    <w:rsid w:val="001566FD"/>
    <w:rsid w:val="00160B07"/>
    <w:rsid w:val="00182E18"/>
    <w:rsid w:val="001A0C37"/>
    <w:rsid w:val="001A305F"/>
    <w:rsid w:val="001A43ED"/>
    <w:rsid w:val="001B2F39"/>
    <w:rsid w:val="001B5438"/>
    <w:rsid w:val="001B6E3D"/>
    <w:rsid w:val="001C0AC3"/>
    <w:rsid w:val="001C3B86"/>
    <w:rsid w:val="001C3EE2"/>
    <w:rsid w:val="001C5609"/>
    <w:rsid w:val="001D6196"/>
    <w:rsid w:val="001E4DD8"/>
    <w:rsid w:val="001E7B12"/>
    <w:rsid w:val="001F0816"/>
    <w:rsid w:val="001F7B1A"/>
    <w:rsid w:val="002026A3"/>
    <w:rsid w:val="00205899"/>
    <w:rsid w:val="002136B5"/>
    <w:rsid w:val="0021727F"/>
    <w:rsid w:val="00223D73"/>
    <w:rsid w:val="00225796"/>
    <w:rsid w:val="00237E66"/>
    <w:rsid w:val="00244BE0"/>
    <w:rsid w:val="002450E6"/>
    <w:rsid w:val="00246FC6"/>
    <w:rsid w:val="00253C10"/>
    <w:rsid w:val="00255589"/>
    <w:rsid w:val="00260193"/>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E7860"/>
    <w:rsid w:val="002F31BA"/>
    <w:rsid w:val="002F4647"/>
    <w:rsid w:val="00300EAB"/>
    <w:rsid w:val="00301BD1"/>
    <w:rsid w:val="00306A05"/>
    <w:rsid w:val="00311D00"/>
    <w:rsid w:val="00314173"/>
    <w:rsid w:val="003169E5"/>
    <w:rsid w:val="00326F72"/>
    <w:rsid w:val="00345F53"/>
    <w:rsid w:val="003502A8"/>
    <w:rsid w:val="00350448"/>
    <w:rsid w:val="00360528"/>
    <w:rsid w:val="003614D5"/>
    <w:rsid w:val="003648A4"/>
    <w:rsid w:val="00366B60"/>
    <w:rsid w:val="00370B52"/>
    <w:rsid w:val="00373750"/>
    <w:rsid w:val="0038783A"/>
    <w:rsid w:val="0039407B"/>
    <w:rsid w:val="003A0692"/>
    <w:rsid w:val="003A104F"/>
    <w:rsid w:val="003A61A1"/>
    <w:rsid w:val="003A6B53"/>
    <w:rsid w:val="003B27EB"/>
    <w:rsid w:val="003D1DC6"/>
    <w:rsid w:val="003D7DB1"/>
    <w:rsid w:val="003E22D7"/>
    <w:rsid w:val="003E2D00"/>
    <w:rsid w:val="003E37BB"/>
    <w:rsid w:val="004002DB"/>
    <w:rsid w:val="0040373E"/>
    <w:rsid w:val="004175EA"/>
    <w:rsid w:val="004224EF"/>
    <w:rsid w:val="004343A2"/>
    <w:rsid w:val="00442984"/>
    <w:rsid w:val="00451FF0"/>
    <w:rsid w:val="00454D9B"/>
    <w:rsid w:val="004568B7"/>
    <w:rsid w:val="00464DB6"/>
    <w:rsid w:val="0047585F"/>
    <w:rsid w:val="0047592A"/>
    <w:rsid w:val="00483AD7"/>
    <w:rsid w:val="00485BE1"/>
    <w:rsid w:val="00486F0A"/>
    <w:rsid w:val="004C12C8"/>
    <w:rsid w:val="004C5545"/>
    <w:rsid w:val="004C6F0F"/>
    <w:rsid w:val="004D5793"/>
    <w:rsid w:val="004F1450"/>
    <w:rsid w:val="004F1ED8"/>
    <w:rsid w:val="004F6801"/>
    <w:rsid w:val="00503400"/>
    <w:rsid w:val="00503935"/>
    <w:rsid w:val="00504C69"/>
    <w:rsid w:val="00515D72"/>
    <w:rsid w:val="00516DCB"/>
    <w:rsid w:val="005342D7"/>
    <w:rsid w:val="005405D5"/>
    <w:rsid w:val="005441B3"/>
    <w:rsid w:val="00547717"/>
    <w:rsid w:val="00547A0C"/>
    <w:rsid w:val="00555026"/>
    <w:rsid w:val="00556FD4"/>
    <w:rsid w:val="00566490"/>
    <w:rsid w:val="0057188E"/>
    <w:rsid w:val="005805D1"/>
    <w:rsid w:val="00580C18"/>
    <w:rsid w:val="00593DBC"/>
    <w:rsid w:val="005973AB"/>
    <w:rsid w:val="005A6717"/>
    <w:rsid w:val="005A695F"/>
    <w:rsid w:val="005B28DE"/>
    <w:rsid w:val="005D54CA"/>
    <w:rsid w:val="005E21EE"/>
    <w:rsid w:val="005F3D8F"/>
    <w:rsid w:val="005F4669"/>
    <w:rsid w:val="00604530"/>
    <w:rsid w:val="006045A3"/>
    <w:rsid w:val="00621795"/>
    <w:rsid w:val="00623650"/>
    <w:rsid w:val="00624845"/>
    <w:rsid w:val="0062535A"/>
    <w:rsid w:val="00625A88"/>
    <w:rsid w:val="00626128"/>
    <w:rsid w:val="006349F4"/>
    <w:rsid w:val="00641480"/>
    <w:rsid w:val="006426B7"/>
    <w:rsid w:val="006510C7"/>
    <w:rsid w:val="00651B8D"/>
    <w:rsid w:val="006535C2"/>
    <w:rsid w:val="006620C8"/>
    <w:rsid w:val="00667A3A"/>
    <w:rsid w:val="00676EAD"/>
    <w:rsid w:val="00691ADA"/>
    <w:rsid w:val="00695F41"/>
    <w:rsid w:val="006A5F71"/>
    <w:rsid w:val="006A7910"/>
    <w:rsid w:val="006B265C"/>
    <w:rsid w:val="006C69A5"/>
    <w:rsid w:val="006C786D"/>
    <w:rsid w:val="006D006A"/>
    <w:rsid w:val="006D570C"/>
    <w:rsid w:val="006D7CE2"/>
    <w:rsid w:val="006E4143"/>
    <w:rsid w:val="006E765D"/>
    <w:rsid w:val="00705BB6"/>
    <w:rsid w:val="00706DE9"/>
    <w:rsid w:val="00710FB2"/>
    <w:rsid w:val="00716153"/>
    <w:rsid w:val="007274B7"/>
    <w:rsid w:val="00732397"/>
    <w:rsid w:val="00740346"/>
    <w:rsid w:val="00740BCE"/>
    <w:rsid w:val="00741F07"/>
    <w:rsid w:val="0074338A"/>
    <w:rsid w:val="00756329"/>
    <w:rsid w:val="00760F98"/>
    <w:rsid w:val="007672DC"/>
    <w:rsid w:val="00797B88"/>
    <w:rsid w:val="007A13A5"/>
    <w:rsid w:val="007A35BB"/>
    <w:rsid w:val="007A7BF2"/>
    <w:rsid w:val="007B1C87"/>
    <w:rsid w:val="007C22E6"/>
    <w:rsid w:val="007C2FDF"/>
    <w:rsid w:val="007E181B"/>
    <w:rsid w:val="007F3C3E"/>
    <w:rsid w:val="00800527"/>
    <w:rsid w:val="00802F2C"/>
    <w:rsid w:val="00806859"/>
    <w:rsid w:val="0081388B"/>
    <w:rsid w:val="00821BAD"/>
    <w:rsid w:val="00821D65"/>
    <w:rsid w:val="008273F6"/>
    <w:rsid w:val="008369B9"/>
    <w:rsid w:val="0084435E"/>
    <w:rsid w:val="00850BA7"/>
    <w:rsid w:val="00853643"/>
    <w:rsid w:val="00876045"/>
    <w:rsid w:val="00886679"/>
    <w:rsid w:val="008921B8"/>
    <w:rsid w:val="00893189"/>
    <w:rsid w:val="008954C9"/>
    <w:rsid w:val="008A15F1"/>
    <w:rsid w:val="008A544B"/>
    <w:rsid w:val="008A5CB6"/>
    <w:rsid w:val="008B3715"/>
    <w:rsid w:val="008C1EBE"/>
    <w:rsid w:val="008D7179"/>
    <w:rsid w:val="008F0306"/>
    <w:rsid w:val="008F201E"/>
    <w:rsid w:val="008F3372"/>
    <w:rsid w:val="009010A7"/>
    <w:rsid w:val="00903823"/>
    <w:rsid w:val="00904C0E"/>
    <w:rsid w:val="00905BF2"/>
    <w:rsid w:val="00917B01"/>
    <w:rsid w:val="00926FF0"/>
    <w:rsid w:val="00930506"/>
    <w:rsid w:val="00930FF1"/>
    <w:rsid w:val="009329C9"/>
    <w:rsid w:val="009430E7"/>
    <w:rsid w:val="0094585B"/>
    <w:rsid w:val="00950371"/>
    <w:rsid w:val="00950E0F"/>
    <w:rsid w:val="009571EC"/>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360B"/>
    <w:rsid w:val="009E7D7F"/>
    <w:rsid w:val="009F1FC4"/>
    <w:rsid w:val="00A00173"/>
    <w:rsid w:val="00A0552F"/>
    <w:rsid w:val="00A1637B"/>
    <w:rsid w:val="00A211C7"/>
    <w:rsid w:val="00A2399C"/>
    <w:rsid w:val="00A23CF0"/>
    <w:rsid w:val="00A26056"/>
    <w:rsid w:val="00A465FD"/>
    <w:rsid w:val="00A53A91"/>
    <w:rsid w:val="00A6067F"/>
    <w:rsid w:val="00A60C5D"/>
    <w:rsid w:val="00A82D1C"/>
    <w:rsid w:val="00A84247"/>
    <w:rsid w:val="00A84611"/>
    <w:rsid w:val="00A85035"/>
    <w:rsid w:val="00A91C3F"/>
    <w:rsid w:val="00AA1896"/>
    <w:rsid w:val="00AA1A44"/>
    <w:rsid w:val="00AA1C4E"/>
    <w:rsid w:val="00AA776B"/>
    <w:rsid w:val="00AC3A52"/>
    <w:rsid w:val="00AD5462"/>
    <w:rsid w:val="00AF7E4D"/>
    <w:rsid w:val="00B00414"/>
    <w:rsid w:val="00B117C9"/>
    <w:rsid w:val="00B200DF"/>
    <w:rsid w:val="00B20456"/>
    <w:rsid w:val="00B37348"/>
    <w:rsid w:val="00B377D9"/>
    <w:rsid w:val="00B45527"/>
    <w:rsid w:val="00B45B3D"/>
    <w:rsid w:val="00B45D0E"/>
    <w:rsid w:val="00B4740F"/>
    <w:rsid w:val="00B511B1"/>
    <w:rsid w:val="00B55176"/>
    <w:rsid w:val="00B7226F"/>
    <w:rsid w:val="00B84848"/>
    <w:rsid w:val="00B84867"/>
    <w:rsid w:val="00B91C17"/>
    <w:rsid w:val="00BA71A8"/>
    <w:rsid w:val="00BB45FF"/>
    <w:rsid w:val="00BF623C"/>
    <w:rsid w:val="00BF684B"/>
    <w:rsid w:val="00C07E7F"/>
    <w:rsid w:val="00C10F19"/>
    <w:rsid w:val="00C142E6"/>
    <w:rsid w:val="00C32290"/>
    <w:rsid w:val="00C3491A"/>
    <w:rsid w:val="00C35D84"/>
    <w:rsid w:val="00C46602"/>
    <w:rsid w:val="00C46C0D"/>
    <w:rsid w:val="00C54E61"/>
    <w:rsid w:val="00C554B4"/>
    <w:rsid w:val="00C70708"/>
    <w:rsid w:val="00C74F88"/>
    <w:rsid w:val="00C76D51"/>
    <w:rsid w:val="00C81FF5"/>
    <w:rsid w:val="00C82F02"/>
    <w:rsid w:val="00C8351A"/>
    <w:rsid w:val="00C938F0"/>
    <w:rsid w:val="00CA290B"/>
    <w:rsid w:val="00CA7126"/>
    <w:rsid w:val="00CE6F22"/>
    <w:rsid w:val="00CF4DCC"/>
    <w:rsid w:val="00D050C5"/>
    <w:rsid w:val="00D212F9"/>
    <w:rsid w:val="00D24D3B"/>
    <w:rsid w:val="00D25B93"/>
    <w:rsid w:val="00D5292B"/>
    <w:rsid w:val="00D52D85"/>
    <w:rsid w:val="00D558CB"/>
    <w:rsid w:val="00D65776"/>
    <w:rsid w:val="00D65B4E"/>
    <w:rsid w:val="00D66810"/>
    <w:rsid w:val="00D76028"/>
    <w:rsid w:val="00D8368D"/>
    <w:rsid w:val="00D96B68"/>
    <w:rsid w:val="00DA2061"/>
    <w:rsid w:val="00DC5601"/>
    <w:rsid w:val="00DE1176"/>
    <w:rsid w:val="00DE1E56"/>
    <w:rsid w:val="00DE2CB7"/>
    <w:rsid w:val="00DF23C6"/>
    <w:rsid w:val="00E040FE"/>
    <w:rsid w:val="00E07C3E"/>
    <w:rsid w:val="00E1677C"/>
    <w:rsid w:val="00E222C2"/>
    <w:rsid w:val="00E22EFC"/>
    <w:rsid w:val="00E24E38"/>
    <w:rsid w:val="00E40C65"/>
    <w:rsid w:val="00E41BAF"/>
    <w:rsid w:val="00E50C0B"/>
    <w:rsid w:val="00E57131"/>
    <w:rsid w:val="00E61EF4"/>
    <w:rsid w:val="00E62224"/>
    <w:rsid w:val="00E65C29"/>
    <w:rsid w:val="00E8028A"/>
    <w:rsid w:val="00E814A2"/>
    <w:rsid w:val="00E82F56"/>
    <w:rsid w:val="00E83C8E"/>
    <w:rsid w:val="00E84222"/>
    <w:rsid w:val="00E87D95"/>
    <w:rsid w:val="00E90E46"/>
    <w:rsid w:val="00EA27F6"/>
    <w:rsid w:val="00EB2CB4"/>
    <w:rsid w:val="00EB7A44"/>
    <w:rsid w:val="00EC574A"/>
    <w:rsid w:val="00EC6977"/>
    <w:rsid w:val="00ED2CBC"/>
    <w:rsid w:val="00ED37BC"/>
    <w:rsid w:val="00F02D64"/>
    <w:rsid w:val="00F07750"/>
    <w:rsid w:val="00F07A5E"/>
    <w:rsid w:val="00F13674"/>
    <w:rsid w:val="00F1593E"/>
    <w:rsid w:val="00F171C1"/>
    <w:rsid w:val="00F2639D"/>
    <w:rsid w:val="00F3202B"/>
    <w:rsid w:val="00F34440"/>
    <w:rsid w:val="00F47129"/>
    <w:rsid w:val="00F54818"/>
    <w:rsid w:val="00F57D45"/>
    <w:rsid w:val="00F647C4"/>
    <w:rsid w:val="00F672EA"/>
    <w:rsid w:val="00F70120"/>
    <w:rsid w:val="00F739CF"/>
    <w:rsid w:val="00F8380C"/>
    <w:rsid w:val="00F84C7D"/>
    <w:rsid w:val="00F86699"/>
    <w:rsid w:val="00F92731"/>
    <w:rsid w:val="00FA661C"/>
    <w:rsid w:val="00FC5AB6"/>
    <w:rsid w:val="00FD187F"/>
    <w:rsid w:val="00FD60DA"/>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173</TotalTime>
  <Pages>5</Pages>
  <Words>1826</Words>
  <Characters>9795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63</cp:revision>
  <cp:lastPrinted>2024-07-05T10:05:00Z</cp:lastPrinted>
  <dcterms:created xsi:type="dcterms:W3CDTF">2024-07-05T06:52:00Z</dcterms:created>
  <dcterms:modified xsi:type="dcterms:W3CDTF">2025-08-18T13:17:00Z</dcterms:modified>
</cp:coreProperties>
</file>