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38D" w14:textId="77777777" w:rsidR="003B552A" w:rsidRDefault="003B552A">
      <w:pPr>
        <w:pStyle w:val="Textoindependiente"/>
        <w:spacing w:after="600"/>
        <w:rPr>
          <w:sz w:val="24"/>
        </w:rPr>
      </w:pPr>
      <w:r>
        <w:rPr>
          <w:sz w:val="24"/>
        </w:rPr>
        <w:t>ANEXO</w:t>
      </w:r>
      <w:r w:rsidR="0089721F">
        <w:rPr>
          <w:sz w:val="24"/>
        </w:rPr>
        <w:t xml:space="preserve"> I</w:t>
      </w:r>
    </w:p>
    <w:p w14:paraId="08350EBC" w14:textId="514FD5AA" w:rsidR="003B552A" w:rsidRDefault="00485299" w:rsidP="00F22B83">
      <w:pPr>
        <w:pStyle w:val="Textoindependiente"/>
        <w:spacing w:after="600"/>
        <w:jc w:val="both"/>
        <w:rPr>
          <w:sz w:val="24"/>
        </w:rPr>
      </w:pPr>
      <w:r w:rsidRPr="00485299">
        <w:rPr>
          <w:sz w:val="24"/>
        </w:rPr>
        <w:t>Proyecto de Norma Foral de ratificación del Convenio de colaboración en materia de tramitación de solicitudes de aplicación de deducciones por la adquisición de tecnolog</w:t>
      </w:r>
      <w:r>
        <w:rPr>
          <w:sz w:val="24"/>
        </w:rPr>
        <w:t>í</w:t>
      </w:r>
      <w:r w:rsidRPr="00485299">
        <w:rPr>
          <w:sz w:val="24"/>
        </w:rPr>
        <w:t>as o materiales definidos en el Listado Vasco de Tecnologías Limpias</w:t>
      </w:r>
      <w:r w:rsidR="00D304FB" w:rsidRPr="00D304FB">
        <w:rPr>
          <w:sz w:val="24"/>
          <w:szCs w:val="24"/>
        </w:rPr>
        <w:t>.</w:t>
      </w:r>
    </w:p>
    <w:p w14:paraId="7682F2D9" w14:textId="77777777" w:rsidR="003B552A" w:rsidRDefault="003B552A" w:rsidP="00D624CB">
      <w:pPr>
        <w:pStyle w:val="Textoindependiente"/>
        <w:spacing w:after="360"/>
      </w:pPr>
      <w:r>
        <w:t>EXPOSICIÓN DE MOTIVOS</w:t>
      </w:r>
    </w:p>
    <w:p w14:paraId="4011E2A8" w14:textId="77777777" w:rsidR="00485299" w:rsidRPr="00485299" w:rsidRDefault="00485299" w:rsidP="00485299">
      <w:pPr>
        <w:rPr>
          <w:lang w:val="es-ES_tradnl"/>
        </w:rPr>
      </w:pPr>
      <w:r w:rsidRPr="00485299">
        <w:rPr>
          <w:lang w:val="es-ES_tradnl"/>
        </w:rPr>
        <w:t>La normativa tributaria foral, en relación con la aplicación de la deducción para incentivar las adquisiciones de tecnologías o materiales definidos en la Orden del Departamento correspondiente del Gobierno Vasco por la que se aprueba el Listado Vasco de Tecnologías Limpias (en adelante, LVTL), regula la acreditación por parte del Departamento correspondiente de Gobierno Vasco, o de entidad adscrita al mismo, de que las inversiones realizadas se corresponden con las tecnologías y los materiales definidos en la citada Orden.</w:t>
      </w:r>
    </w:p>
    <w:p w14:paraId="09310DB1" w14:textId="77777777" w:rsidR="00485299" w:rsidRPr="00485299" w:rsidRDefault="00485299" w:rsidP="00485299">
      <w:pPr>
        <w:rPr>
          <w:lang w:val="es-ES_tradnl"/>
        </w:rPr>
      </w:pPr>
      <w:r w:rsidRPr="00485299">
        <w:rPr>
          <w:lang w:val="es-ES_tradnl"/>
        </w:rPr>
        <w:t>Ihobe es una sociedad pública adscrita al Departamento de Industria, Transición Energética y Sostenibilidad del Gobierno Vasco que tiene por objeto genérico la protección y mejora del medio ambiente en la Comunidad Autónoma del País Vasco, lo que incluye aspectos como el fomento de la ecoinnovación en el País Vasco, la cooperación con las Administraciones Públicas, las empresas y la ciudadanía para la realización de actividades que impulsen los objetivos ambientales de la Planificación Ambiental de esta Comunidad Autónoma, entre otras competencias.</w:t>
      </w:r>
    </w:p>
    <w:p w14:paraId="39E6FDCB" w14:textId="77777777" w:rsidR="00485299" w:rsidRPr="00485299" w:rsidRDefault="00485299" w:rsidP="00485299">
      <w:pPr>
        <w:rPr>
          <w:lang w:val="es-ES_tradnl"/>
        </w:rPr>
      </w:pPr>
      <w:r w:rsidRPr="00485299">
        <w:rPr>
          <w:lang w:val="es-ES_tradnl"/>
        </w:rPr>
        <w:t>Las entidades firmantes están interesadas en cooperar para complementar la regulación citada anteriormente, con la finalidad de articular de una manera eficaz las medidas de apoyo y fomento de la transición ecológica en el País Vasco, incentivando la inversión en tecnologías y/o materiales ambientalmente mejores.</w:t>
      </w:r>
    </w:p>
    <w:p w14:paraId="0F75B306" w14:textId="5844E7DF" w:rsidR="00B80754" w:rsidRDefault="00485299" w:rsidP="00F22B83">
      <w:pPr>
        <w:spacing w:after="360"/>
        <w:rPr>
          <w:lang w:val="es-ES_tradnl"/>
        </w:rPr>
      </w:pPr>
      <w:r w:rsidRPr="00485299">
        <w:rPr>
          <w:lang w:val="es-ES_tradnl"/>
        </w:rPr>
        <w:t>Consecuencia de lo anterior, se ha elaborado un Convenio de colaboración entre las Administraciones afectadas en materia de tramitación de solicitudes de aplicación de deducciones por la adquisición de tecnologías o materiales definidos en el LVTL cuyo objeto será establecer el marco básico de relaciones entre las Haciendas Forales e Ihobe para la aplicación de la deducción regulada en los respectivos artículos de las Normas Forales del Impuesto de Sociedades, a través de los correspondientes documentos acreditativos de la conformidad con el contenido del LVTL de las inversiones realizadas</w:t>
      </w:r>
      <w:r w:rsidR="001842DC">
        <w:rPr>
          <w:lang w:val="es-ES_tradnl"/>
        </w:rPr>
        <w:t>.</w:t>
      </w:r>
    </w:p>
    <w:p w14:paraId="08F2C37E" w14:textId="77777777" w:rsidR="003B552A" w:rsidRDefault="00D304FB">
      <w:pPr>
        <w:rPr>
          <w:b/>
        </w:rPr>
      </w:pPr>
      <w:r>
        <w:rPr>
          <w:b/>
        </w:rPr>
        <w:t>ARTÍCULO ÚNICO</w:t>
      </w:r>
    </w:p>
    <w:p w14:paraId="2A216500" w14:textId="429EF747" w:rsidR="003B552A" w:rsidRDefault="00D304FB">
      <w:r>
        <w:t>Se</w:t>
      </w:r>
      <w:r w:rsidR="00322B7F">
        <w:t xml:space="preserve"> ratifica el </w:t>
      </w:r>
      <w:r w:rsidR="00485299" w:rsidRPr="00485299">
        <w:t>Convenio de colaboración en materia de tramitación de solicitudes de aplicación de deducciones por la adquisición de tecnologías o materiales definidos en el Listado Vasco de Tecnologías Limpias</w:t>
      </w:r>
      <w:r w:rsidRPr="00F86103">
        <w:t>.</w:t>
      </w:r>
      <w:r>
        <w:fldChar w:fldCharType="begin"/>
      </w:r>
      <w:r>
        <w:instrText xml:space="preserve">  </w:instrText>
      </w:r>
      <w:r>
        <w:fldChar w:fldCharType="end"/>
      </w:r>
      <w:r>
        <w:rPr>
          <w:b/>
          <w:u w:val="single"/>
        </w:rPr>
        <w:fldChar w:fldCharType="begin"/>
      </w:r>
      <w:r>
        <w:rPr>
          <w:b/>
          <w:u w:val="single"/>
        </w:rPr>
        <w:instrText xml:space="preserve">  </w:instrText>
      </w:r>
      <w:r>
        <w:rPr>
          <w:b/>
          <w:u w:val="single"/>
        </w:rPr>
        <w:fldChar w:fldCharType="end"/>
      </w:r>
    </w:p>
    <w:p w14:paraId="5E2C7303" w14:textId="77777777" w:rsidR="003B552A" w:rsidRDefault="003B552A"/>
    <w:sectPr w:rsidR="003B552A" w:rsidSect="00397118">
      <w:headerReference w:type="default" r:id="rId7"/>
      <w:footerReference w:type="even" r:id="rId8"/>
      <w:footerReference w:type="default" r:id="rId9"/>
      <w:headerReference w:type="first" r:id="rId10"/>
      <w:footerReference w:type="first" r:id="rId11"/>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75E3" w14:textId="77777777" w:rsidR="006A544F" w:rsidRDefault="006A544F">
      <w:pPr>
        <w:spacing w:after="0"/>
      </w:pPr>
      <w:r>
        <w:separator/>
      </w:r>
    </w:p>
  </w:endnote>
  <w:endnote w:type="continuationSeparator" w:id="0">
    <w:p w14:paraId="46C6A8B4" w14:textId="77777777" w:rsidR="006A544F" w:rsidRDefault="006A54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B891"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2B73C9"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53E8" w14:textId="77777777" w:rsidR="003B552A" w:rsidRDefault="003B552A">
    <w:pPr>
      <w:pStyle w:val="Piedepgina"/>
      <w:tabs>
        <w:tab w:val="clear" w:pos="8789"/>
      </w:tabs>
      <w:spacing w:after="0"/>
      <w:ind w:right="-1"/>
      <w:jc w:val="right"/>
      <w:rPr>
        <w:rStyle w:val="Nmerodepgina"/>
        <w:rFonts w:ascii="Times New Roman" w:hAnsi="Times New Roman"/>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sidR="00322B7F">
      <w:rPr>
        <w:rStyle w:val="Nmerodepgina"/>
        <w:rFonts w:ascii="Times New Roman" w:hAnsi="Times New Roman"/>
        <w:noProof/>
      </w:rPr>
      <w:t>2</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sidR="00322B7F">
      <w:rPr>
        <w:rStyle w:val="Nmerodepgina"/>
        <w:rFonts w:ascii="Times New Roman" w:hAnsi="Times New Roman"/>
        <w:noProof/>
      </w:rPr>
      <w:t>2</w:t>
    </w:r>
    <w:r>
      <w:rPr>
        <w:rStyle w:val="Nmerodepgina"/>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73D0" w14:textId="78F104A9" w:rsidR="003B552A" w:rsidRDefault="003B552A">
    <w:pPr>
      <w:pStyle w:val="Piedepgina"/>
      <w:tabs>
        <w:tab w:val="clear" w:pos="8789"/>
        <w:tab w:val="right" w:pos="9072"/>
      </w:tabs>
      <w:spacing w:after="0"/>
      <w:rPr>
        <w:rStyle w:val="Nmerodepgina"/>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sidR="00322B7F">
      <w:rPr>
        <w:rStyle w:val="Nmerodepgina"/>
        <w:rFonts w:ascii="Times New Roman" w:hAnsi="Times New Roman"/>
        <w:noProof/>
      </w:rPr>
      <w:t>1</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sidR="00322B7F">
      <w:rPr>
        <w:rStyle w:val="Nmerodepgina"/>
        <w:rFonts w:ascii="Times New Roman" w:hAnsi="Times New Roman"/>
        <w:noProof/>
      </w:rPr>
      <w:t>2</w:t>
    </w:r>
    <w:r>
      <w:rPr>
        <w:rStyle w:val="Nmerodep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9942" w14:textId="77777777" w:rsidR="006A544F" w:rsidRDefault="006A544F">
      <w:pPr>
        <w:spacing w:after="0"/>
      </w:pPr>
      <w:r>
        <w:separator/>
      </w:r>
    </w:p>
  </w:footnote>
  <w:footnote w:type="continuationSeparator" w:id="0">
    <w:p w14:paraId="2CE00989" w14:textId="77777777" w:rsidR="006A544F" w:rsidRDefault="006A54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33E7D0D3" w14:textId="77777777">
      <w:trPr>
        <w:cantSplit/>
        <w:trHeight w:val="338"/>
      </w:trPr>
      <w:tc>
        <w:tcPr>
          <w:tcW w:w="3856" w:type="dxa"/>
        </w:tcPr>
        <w:p w14:paraId="29BE2240" w14:textId="77777777" w:rsidR="003B552A" w:rsidRDefault="003B552A">
          <w:pPr>
            <w:pStyle w:val="Encabezado"/>
            <w:tabs>
              <w:tab w:val="clear" w:pos="8504"/>
              <w:tab w:val="right" w:pos="9002"/>
            </w:tabs>
          </w:pPr>
        </w:p>
      </w:tc>
      <w:tc>
        <w:tcPr>
          <w:tcW w:w="1361" w:type="dxa"/>
          <w:vMerge w:val="restart"/>
        </w:tcPr>
        <w:p w14:paraId="7E34AA44" w14:textId="77777777" w:rsidR="003B552A" w:rsidRDefault="00EB4866">
          <w:pPr>
            <w:pStyle w:val="Encabezado"/>
            <w:jc w:val="center"/>
          </w:pPr>
          <w:r>
            <w:rPr>
              <w:noProof/>
            </w:rPr>
            <w:drawing>
              <wp:inline distT="0" distB="0" distL="0" distR="0" wp14:anchorId="78805020" wp14:editId="6D8EE15F">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574FBAC" w14:textId="77777777" w:rsidR="003B552A" w:rsidRDefault="003B552A">
          <w:pPr>
            <w:pStyle w:val="Encabezado"/>
          </w:pPr>
        </w:p>
      </w:tc>
    </w:tr>
    <w:tr w:rsidR="003B552A" w14:paraId="256FC9D7" w14:textId="77777777">
      <w:trPr>
        <w:cantSplit/>
        <w:trHeight w:val="337"/>
      </w:trPr>
      <w:tc>
        <w:tcPr>
          <w:tcW w:w="3856" w:type="dxa"/>
        </w:tcPr>
        <w:p w14:paraId="5F42F23C" w14:textId="77777777" w:rsidR="003B552A" w:rsidRDefault="003B552A">
          <w:pPr>
            <w:pStyle w:val="Encabezado"/>
          </w:pPr>
        </w:p>
      </w:tc>
      <w:tc>
        <w:tcPr>
          <w:tcW w:w="1361" w:type="dxa"/>
          <w:vMerge/>
        </w:tcPr>
        <w:p w14:paraId="2653E1DB" w14:textId="77777777" w:rsidR="003B552A" w:rsidRDefault="003B552A">
          <w:pPr>
            <w:pStyle w:val="Encabezado"/>
            <w:jc w:val="center"/>
          </w:pPr>
        </w:p>
      </w:tc>
      <w:tc>
        <w:tcPr>
          <w:tcW w:w="3856" w:type="dxa"/>
        </w:tcPr>
        <w:p w14:paraId="7B0C6446" w14:textId="77777777" w:rsidR="003B552A" w:rsidRDefault="003B552A">
          <w:pPr>
            <w:pStyle w:val="Encabezado"/>
          </w:pPr>
        </w:p>
      </w:tc>
    </w:tr>
  </w:tbl>
  <w:p w14:paraId="4C9F130C" w14:textId="77777777" w:rsidR="003B552A" w:rsidRDefault="003B55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7739A5FA" w14:textId="77777777">
      <w:trPr>
        <w:cantSplit/>
        <w:trHeight w:val="338"/>
      </w:trPr>
      <w:tc>
        <w:tcPr>
          <w:tcW w:w="3856" w:type="dxa"/>
        </w:tcPr>
        <w:p w14:paraId="36E29D55" w14:textId="77777777" w:rsidR="003B552A" w:rsidRDefault="003B552A">
          <w:pPr>
            <w:pStyle w:val="Encabezado"/>
            <w:tabs>
              <w:tab w:val="clear" w:pos="8504"/>
              <w:tab w:val="right" w:pos="9002"/>
            </w:tabs>
          </w:pPr>
        </w:p>
      </w:tc>
      <w:tc>
        <w:tcPr>
          <w:tcW w:w="1361" w:type="dxa"/>
          <w:vMerge w:val="restart"/>
        </w:tcPr>
        <w:p w14:paraId="2EBA9501" w14:textId="77777777" w:rsidR="003B552A" w:rsidRDefault="00EB4866">
          <w:pPr>
            <w:pStyle w:val="Encabezado"/>
            <w:jc w:val="center"/>
          </w:pPr>
          <w:r>
            <w:rPr>
              <w:noProof/>
            </w:rPr>
            <w:drawing>
              <wp:inline distT="0" distB="0" distL="0" distR="0" wp14:anchorId="1D68DC32" wp14:editId="5AD4262E">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6F31A02" w14:textId="77777777" w:rsidR="003B552A" w:rsidRDefault="003B552A">
          <w:pPr>
            <w:pStyle w:val="Encabezado"/>
          </w:pPr>
        </w:p>
      </w:tc>
    </w:tr>
    <w:tr w:rsidR="003B552A" w14:paraId="261C14E4" w14:textId="77777777">
      <w:trPr>
        <w:cantSplit/>
        <w:trHeight w:val="337"/>
      </w:trPr>
      <w:tc>
        <w:tcPr>
          <w:tcW w:w="3856" w:type="dxa"/>
        </w:tcPr>
        <w:p w14:paraId="79A14D32" w14:textId="77777777" w:rsidR="003B552A" w:rsidRDefault="003B552A">
          <w:pPr>
            <w:pStyle w:val="Encabezado"/>
          </w:pPr>
        </w:p>
      </w:tc>
      <w:tc>
        <w:tcPr>
          <w:tcW w:w="1361" w:type="dxa"/>
          <w:vMerge/>
        </w:tcPr>
        <w:p w14:paraId="3C1B6E3A" w14:textId="77777777" w:rsidR="003B552A" w:rsidRDefault="003B552A">
          <w:pPr>
            <w:pStyle w:val="Encabezado"/>
            <w:jc w:val="center"/>
          </w:pPr>
        </w:p>
      </w:tc>
      <w:tc>
        <w:tcPr>
          <w:tcW w:w="3856" w:type="dxa"/>
        </w:tcPr>
        <w:p w14:paraId="036072AD" w14:textId="77777777" w:rsidR="003B552A" w:rsidRDefault="003B552A">
          <w:pPr>
            <w:pStyle w:val="Encabezado"/>
          </w:pPr>
        </w:p>
      </w:tc>
    </w:tr>
  </w:tbl>
  <w:p w14:paraId="1E5A3197" w14:textId="77777777" w:rsidR="003B552A" w:rsidRDefault="003B55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8"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16cid:durableId="1522039874">
    <w:abstractNumId w:val="8"/>
  </w:num>
  <w:num w:numId="2" w16cid:durableId="629671600">
    <w:abstractNumId w:val="8"/>
  </w:num>
  <w:num w:numId="3" w16cid:durableId="1265110702">
    <w:abstractNumId w:val="7"/>
  </w:num>
  <w:num w:numId="4" w16cid:durableId="1150177074">
    <w:abstractNumId w:val="8"/>
  </w:num>
  <w:num w:numId="5" w16cid:durableId="1218475994">
    <w:abstractNumId w:val="5"/>
  </w:num>
  <w:num w:numId="6" w16cid:durableId="231014751">
    <w:abstractNumId w:val="6"/>
  </w:num>
  <w:num w:numId="7" w16cid:durableId="1971784313">
    <w:abstractNumId w:val="2"/>
  </w:num>
  <w:num w:numId="8" w16cid:durableId="1775518628">
    <w:abstractNumId w:val="1"/>
  </w:num>
  <w:num w:numId="9" w16cid:durableId="1556039442">
    <w:abstractNumId w:val="4"/>
  </w:num>
  <w:num w:numId="10" w16cid:durableId="1995136035">
    <w:abstractNumId w:val="3"/>
  </w:num>
  <w:num w:numId="11" w16cid:durableId="182866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73F"/>
    <w:rsid w:val="00036389"/>
    <w:rsid w:val="000E1AE4"/>
    <w:rsid w:val="000E663E"/>
    <w:rsid w:val="00113C56"/>
    <w:rsid w:val="00130A54"/>
    <w:rsid w:val="00130F6C"/>
    <w:rsid w:val="0018408C"/>
    <w:rsid w:val="001842DC"/>
    <w:rsid w:val="001D6442"/>
    <w:rsid w:val="001E477A"/>
    <w:rsid w:val="002116D2"/>
    <w:rsid w:val="00300E60"/>
    <w:rsid w:val="00322B7F"/>
    <w:rsid w:val="00397118"/>
    <w:rsid w:val="003B552A"/>
    <w:rsid w:val="003B6F7D"/>
    <w:rsid w:val="003E5DF8"/>
    <w:rsid w:val="004611CE"/>
    <w:rsid w:val="00485299"/>
    <w:rsid w:val="004A0270"/>
    <w:rsid w:val="004F7C0C"/>
    <w:rsid w:val="0051732C"/>
    <w:rsid w:val="005B6A28"/>
    <w:rsid w:val="005D5D30"/>
    <w:rsid w:val="005F17E3"/>
    <w:rsid w:val="00621F05"/>
    <w:rsid w:val="00623EE5"/>
    <w:rsid w:val="00643810"/>
    <w:rsid w:val="006A544F"/>
    <w:rsid w:val="00786976"/>
    <w:rsid w:val="007901BB"/>
    <w:rsid w:val="007965DD"/>
    <w:rsid w:val="007A3336"/>
    <w:rsid w:val="007E6CC2"/>
    <w:rsid w:val="0084330B"/>
    <w:rsid w:val="008851ED"/>
    <w:rsid w:val="0089721F"/>
    <w:rsid w:val="008C26E3"/>
    <w:rsid w:val="008E7419"/>
    <w:rsid w:val="00A111AB"/>
    <w:rsid w:val="00A23484"/>
    <w:rsid w:val="00A256F8"/>
    <w:rsid w:val="00A30972"/>
    <w:rsid w:val="00A45E00"/>
    <w:rsid w:val="00A77479"/>
    <w:rsid w:val="00AA441B"/>
    <w:rsid w:val="00B50832"/>
    <w:rsid w:val="00B80754"/>
    <w:rsid w:val="00C04629"/>
    <w:rsid w:val="00C4603B"/>
    <w:rsid w:val="00C65B3F"/>
    <w:rsid w:val="00C90896"/>
    <w:rsid w:val="00CE2B0C"/>
    <w:rsid w:val="00CE787B"/>
    <w:rsid w:val="00D304FB"/>
    <w:rsid w:val="00D347A7"/>
    <w:rsid w:val="00D5667E"/>
    <w:rsid w:val="00D624CB"/>
    <w:rsid w:val="00DC5752"/>
    <w:rsid w:val="00E7533C"/>
    <w:rsid w:val="00E94104"/>
    <w:rsid w:val="00EB4866"/>
    <w:rsid w:val="00EC73BF"/>
    <w:rsid w:val="00F22B83"/>
    <w:rsid w:val="00F3373F"/>
    <w:rsid w:val="00F84A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90E2D"/>
  <w15:docId w15:val="{47FB2637-7688-4FA9-BECF-DA58D6DB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paragraph" w:styleId="Textodeglobo">
    <w:name w:val="Balloon Text"/>
    <w:basedOn w:val="Normal"/>
    <w:link w:val="TextodegloboCar"/>
    <w:uiPriority w:val="99"/>
    <w:semiHidden/>
    <w:unhideWhenUsed/>
    <w:rsid w:val="00300E60"/>
    <w:pPr>
      <w:spacing w:after="0"/>
    </w:pPr>
    <w:rPr>
      <w:rFonts w:ascii="Tahoma" w:hAnsi="Tahoma" w:cs="Tahoma"/>
      <w:sz w:val="16"/>
      <w:szCs w:val="16"/>
    </w:rPr>
  </w:style>
  <w:style w:type="character" w:customStyle="1" w:styleId="TextodegloboCar">
    <w:name w:val="Texto de globo Car"/>
    <w:link w:val="Textodeglobo"/>
    <w:uiPriority w:val="99"/>
    <w:semiHidden/>
    <w:rsid w:val="00300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385</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Proyecto de Norma Foral</vt:lpstr>
    </vt:vector>
  </TitlesOfParts>
  <Company>DFA</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creator>Hacienda de DFA</dc:creator>
  <cp:lastModifiedBy>Peral Diez, Elena</cp:lastModifiedBy>
  <cp:revision>14</cp:revision>
  <cp:lastPrinted>2025-07-10T08:14:00Z</cp:lastPrinted>
  <dcterms:created xsi:type="dcterms:W3CDTF">2020-07-06T11:41:00Z</dcterms:created>
  <dcterms:modified xsi:type="dcterms:W3CDTF">2025-07-10T08:17:00Z</dcterms:modified>
</cp:coreProperties>
</file>