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65944" w14:textId="77777777" w:rsidR="007146EF" w:rsidRDefault="00866DF2" w:rsidP="007146EF">
      <w:pPr>
        <w:jc w:val="center"/>
        <w:rPr>
          <w:rFonts w:cs="Times New Roman"/>
          <w:b/>
          <w:bCs/>
          <w:sz w:val="22"/>
          <w:szCs w:val="22"/>
        </w:rPr>
      </w:pPr>
      <w:bookmarkStart w:id="0" w:name="_Hlk194569152"/>
      <w:r>
        <w:rPr>
          <w:rFonts w:cs="Times New Roman"/>
          <w:b/>
          <w:bCs/>
          <w:sz w:val="22"/>
          <w:szCs w:val="22"/>
        </w:rPr>
        <w:t>I. ERANSKINA</w:t>
      </w:r>
    </w:p>
    <w:p w14:paraId="0C8B5940" w14:textId="77777777" w:rsidR="007146EF" w:rsidRDefault="007146EF" w:rsidP="007146EF">
      <w:pPr>
        <w:spacing w:after="240"/>
        <w:rPr>
          <w:b/>
          <w:bCs/>
          <w:sz w:val="22"/>
        </w:rPr>
      </w:pPr>
    </w:p>
    <w:p w14:paraId="58EBB408" w14:textId="77777777" w:rsidR="007146EF" w:rsidRDefault="00866DF2" w:rsidP="004D24E7">
      <w:pPr>
        <w:jc w:val="center"/>
        <w:rPr>
          <w:rFonts w:cs="Times New Roman"/>
          <w:b/>
          <w:bCs/>
          <w:sz w:val="22"/>
          <w:szCs w:val="22"/>
          <w:u w:val="single"/>
        </w:rPr>
      </w:pPr>
      <w:r>
        <w:rPr>
          <w:b/>
          <w:bCs/>
          <w:sz w:val="22"/>
          <w:szCs w:val="22"/>
          <w:u w:val="single"/>
        </w:rPr>
        <w:t>ARRIAGAKO KONTZEJUA DESEGITEA ARAUTZEN DUEN FORU ARAU PROIEKTUA</w:t>
      </w:r>
    </w:p>
    <w:p w14:paraId="65667131" w14:textId="77777777" w:rsidR="004D24E7" w:rsidRDefault="004D24E7" w:rsidP="004D24E7">
      <w:pPr>
        <w:jc w:val="center"/>
        <w:rPr>
          <w:rFonts w:cs="Times New Roman"/>
          <w:b/>
          <w:bCs/>
          <w:sz w:val="22"/>
          <w:szCs w:val="22"/>
          <w:u w:val="single"/>
        </w:rPr>
      </w:pPr>
    </w:p>
    <w:p w14:paraId="26116049" w14:textId="77777777" w:rsidR="004D24E7" w:rsidRDefault="004D24E7" w:rsidP="004D24E7">
      <w:pPr>
        <w:jc w:val="center"/>
        <w:rPr>
          <w:b/>
          <w:bCs/>
          <w:sz w:val="22"/>
          <w:u w:val="single"/>
        </w:rPr>
      </w:pPr>
    </w:p>
    <w:p w14:paraId="03A79130" w14:textId="77777777" w:rsidR="007146EF" w:rsidRDefault="007146EF" w:rsidP="007146EF">
      <w:pPr>
        <w:jc w:val="both"/>
        <w:rPr>
          <w:b/>
          <w:bCs/>
          <w:sz w:val="22"/>
          <w:u w:val="single"/>
        </w:rPr>
      </w:pPr>
    </w:p>
    <w:p w14:paraId="4E79888C" w14:textId="77777777" w:rsidR="007146EF" w:rsidRDefault="00866DF2" w:rsidP="007146EF">
      <w:pPr>
        <w:jc w:val="both"/>
        <w:rPr>
          <w:b/>
          <w:bCs/>
          <w:sz w:val="22"/>
        </w:rPr>
      </w:pPr>
      <w:r>
        <w:rPr>
          <w:b/>
          <w:bCs/>
          <w:sz w:val="22"/>
          <w:szCs w:val="22"/>
        </w:rPr>
        <w:t>ZIOEN AZALPENA</w:t>
      </w:r>
    </w:p>
    <w:p w14:paraId="27783FD9" w14:textId="77777777" w:rsidR="007146EF" w:rsidRDefault="007146EF" w:rsidP="007146EF">
      <w:pPr>
        <w:jc w:val="both"/>
        <w:rPr>
          <w:b/>
          <w:bCs/>
          <w:sz w:val="22"/>
        </w:rPr>
      </w:pPr>
    </w:p>
    <w:p w14:paraId="4B362B44" w14:textId="41C42BDA" w:rsidR="007146EF" w:rsidRDefault="008F4FCF" w:rsidP="007146EF">
      <w:pPr>
        <w:spacing w:after="240"/>
        <w:jc w:val="both"/>
        <w:rPr>
          <w:rFonts w:cs="Times New Roman"/>
          <w:sz w:val="22"/>
          <w:lang w:bidi="ar-SA"/>
        </w:rPr>
      </w:pPr>
      <w:r>
        <w:rPr>
          <w:rFonts w:cs="Times New Roman"/>
          <w:sz w:val="22"/>
          <w:szCs w:val="22"/>
          <w:lang w:bidi="ar-SA"/>
        </w:rPr>
        <w:t>Vitoria-</w:t>
      </w:r>
      <w:r w:rsidR="00866DF2">
        <w:rPr>
          <w:rFonts w:cs="Times New Roman"/>
          <w:sz w:val="22"/>
          <w:szCs w:val="22"/>
          <w:lang w:bidi="ar-SA"/>
        </w:rPr>
        <w:t>Gasteizko udalbatzak, 2024ko apirilaren 19an egindako ohiko bilkuran, erabaki zuen Arabako Foru Aldundiari eskatzea has zezala Arriagako Kontzejua desegiteko prozedura; izan ere, formalki bere udalerriko toki erakunde txiki gisa jasota egon arren, egia da duela urte batzuetatik ez duela lurralderik, biztanlerik eta antolaketa propiorik, hau da, ez du toki erakunde gisa taxutzen duten funtsezko elementu, elementu eratzaile eta erabakigarririk, Arabako Lurralde Historikoko Kontzejuen martxoaren 20ko 11/1995 Foru Arauaren 2.1 artikuluan xedatutakoaren arabera.</w:t>
      </w:r>
    </w:p>
    <w:p w14:paraId="7826BBD2" w14:textId="20CEA931" w:rsidR="007146EF" w:rsidRDefault="00866DF2" w:rsidP="007146EF">
      <w:pPr>
        <w:spacing w:after="240"/>
        <w:jc w:val="both"/>
        <w:rPr>
          <w:rFonts w:cs="Times New Roman"/>
          <w:sz w:val="22"/>
          <w:lang w:bidi="ar-SA"/>
        </w:rPr>
      </w:pPr>
      <w:r>
        <w:rPr>
          <w:rFonts w:cs="Times New Roman"/>
          <w:sz w:val="22"/>
          <w:szCs w:val="22"/>
          <w:lang w:bidi="ar-SA"/>
        </w:rPr>
        <w:t xml:space="preserve">Hain zuzen ere, 2002an izan zituen bizilagunak erroldatuta azkenengoz, hau da, duela hogei urte baino gehiago, eta pertsona bakar bat zen erroldatuta zegoena. Biztanlerik ez egoteak, aldi berean, gobernu eta administrazio organorik ez izatea dakar; izan ere, administrazio batzarrak, kontzejuaren administrazio organoa den aldetik, gutxienez hiru kide izan behar ditu, adin nagusiko auzotarrek hautatuak sufragio unibertsal, aske, zuzen eta sekretuaren bidez, Arabako Lurralde Historikoko kontzejuetako errejidoreak eta bokalak hautatzeko 1984ko uztailaren 30eko Foru Arauaren 2.1 artikuluak agintzen duen bezala. Duela zenbait hamarkadaz geroztik, ez du antolamendurik: ez dago auzo batzarrik, ez administrazio batzarrik, ez errejidore-lehendakaririk Lurraldeari dagokionez, kontzejuaren mugak desagertu egin dira eta </w:t>
      </w:r>
      <w:r w:rsidR="008F4FCF">
        <w:rPr>
          <w:rFonts w:cs="Times New Roman"/>
          <w:sz w:val="22"/>
          <w:szCs w:val="22"/>
          <w:lang w:bidi="ar-SA"/>
        </w:rPr>
        <w:t>Vitoria-</w:t>
      </w:r>
      <w:r>
        <w:rPr>
          <w:rFonts w:cs="Times New Roman"/>
          <w:sz w:val="22"/>
          <w:szCs w:val="22"/>
          <w:lang w:bidi="ar-SA"/>
        </w:rPr>
        <w:t xml:space="preserve">Gasteizekin anexionatu da, Arabako hiriburuak azken hamarkadetan izan duen hedapenaren ondorioz. </w:t>
      </w:r>
    </w:p>
    <w:p w14:paraId="01006B9E" w14:textId="722B91ED" w:rsidR="007146EF" w:rsidRDefault="00866DF2" w:rsidP="007146EF">
      <w:pPr>
        <w:spacing w:after="240"/>
        <w:jc w:val="both"/>
        <w:rPr>
          <w:rFonts w:cs="Times New Roman"/>
          <w:sz w:val="22"/>
          <w:lang w:bidi="ar-SA"/>
        </w:rPr>
      </w:pPr>
      <w:r>
        <w:rPr>
          <w:rFonts w:cs="Times New Roman"/>
          <w:sz w:val="22"/>
          <w:szCs w:val="22"/>
          <w:lang w:bidi="ar-SA"/>
        </w:rPr>
        <w:t xml:space="preserve">Kontzejua desegiteko prozedura hasteko eskaera ikusita, Lurralde Orekaren eta Lurralde Antolamenduaren Saileko foru diputatuaren ekainaren 26ko 398/2024 Foru Aginduaren bidez, hasiera eman zitzaion prozedura horri, eta ALHAOn argitaratzeko agindu zen, denek jakin zezaten, eta </w:t>
      </w:r>
      <w:r w:rsidR="008F4FCF">
        <w:rPr>
          <w:rFonts w:cs="Times New Roman"/>
          <w:sz w:val="22"/>
          <w:szCs w:val="22"/>
          <w:lang w:bidi="ar-SA"/>
        </w:rPr>
        <w:t>Vitoria-</w:t>
      </w:r>
      <w:r>
        <w:rPr>
          <w:rFonts w:cs="Times New Roman"/>
          <w:sz w:val="22"/>
          <w:szCs w:val="22"/>
          <w:lang w:bidi="ar-SA"/>
        </w:rPr>
        <w:t xml:space="preserve">Gasteizko Udalari agindu zitzaion jendaurrean jartzeko, zegokion alegazio epea irekiz. Epe hori igarota, Udalak Foru Aldundiari jakinarazi dio ez dagoela inolako alegaziorik prozedurari buruz. </w:t>
      </w:r>
    </w:p>
    <w:p w14:paraId="082D377C" w14:textId="3CECE056" w:rsidR="007146EF" w:rsidRDefault="00866DF2" w:rsidP="007146EF">
      <w:pPr>
        <w:spacing w:after="240"/>
        <w:jc w:val="both"/>
        <w:rPr>
          <w:rFonts w:cs="Times New Roman"/>
          <w:sz w:val="22"/>
          <w:lang w:bidi="ar-SA"/>
        </w:rPr>
      </w:pPr>
      <w:r>
        <w:rPr>
          <w:rFonts w:cs="Times New Roman"/>
          <w:sz w:val="22"/>
          <w:szCs w:val="22"/>
          <w:lang w:bidi="ar-SA"/>
        </w:rPr>
        <w:t xml:space="preserve">Desegingo den kontzejuaren ondasunei dagokienez, </w:t>
      </w:r>
      <w:r w:rsidR="008F4FCF">
        <w:rPr>
          <w:rFonts w:cs="Times New Roman"/>
          <w:sz w:val="22"/>
          <w:szCs w:val="22"/>
          <w:lang w:bidi="ar-SA"/>
        </w:rPr>
        <w:t>Vitoria-</w:t>
      </w:r>
      <w:r>
        <w:rPr>
          <w:rFonts w:cs="Times New Roman"/>
          <w:sz w:val="22"/>
          <w:szCs w:val="22"/>
          <w:lang w:bidi="ar-SA"/>
        </w:rPr>
        <w:t>Gasteizko Udalak jakinarazi duenez, erakundea KUTXABANK erakundean saldoa duen kontu korronte baten titularra da. Kontu hori ez da aktibo egon aspalditik, eta, era berean, Arriagako Kontzejuaren akta liburua eta kontuen liburu nagusia daude Udaleko Espazio Publikoaren eta Auzoen Sailean, eta ez dago inolako dokumentu edo ondasun inbentario gehiagorik.</w:t>
      </w:r>
    </w:p>
    <w:p w14:paraId="49B65488" w14:textId="77777777" w:rsidR="007146EF" w:rsidRDefault="00866DF2" w:rsidP="007146EF">
      <w:pPr>
        <w:tabs>
          <w:tab w:val="left" w:pos="2115"/>
        </w:tabs>
        <w:spacing w:after="240"/>
        <w:jc w:val="both"/>
        <w:rPr>
          <w:rFonts w:cs="Times New Roman"/>
          <w:sz w:val="22"/>
          <w:lang w:bidi="ar-SA"/>
        </w:rPr>
      </w:pPr>
      <w:r>
        <w:rPr>
          <w:rFonts w:cs="Times New Roman"/>
          <w:sz w:val="22"/>
          <w:szCs w:val="22"/>
          <w:lang w:bidi="ar-SA"/>
        </w:rPr>
        <w:t xml:space="preserve">Kontzejuen Foru Arauak Arabako kontzejuak desegiteko prozedura hasteko hiru modu jasotzen ditu: ohiko bi (49. artikulua), Aldundia desegite prozesuari hasiera ematera behartzen dutenak, eta salbuespenezko bat (50. artikulua), ofiziozkoa, aldi baterako mugatua eta aukerakoa. Arriagako kontzejuaren kasua ezin da kasu horietako batean ere sartu. Kontzejua dagoeneko de facto desegin da, mugak desegin egin direlako eta kontzejuaren lurraldea hiriak izandako hazkundeak xurgatu duelako, dagoeneko finkatuta dagoen auzo baten zati gisa integratu baitu. </w:t>
      </w:r>
    </w:p>
    <w:p w14:paraId="72D5CB7E" w14:textId="77777777" w:rsidR="00D7148C" w:rsidRDefault="00866DF2" w:rsidP="00D7148C">
      <w:pPr>
        <w:tabs>
          <w:tab w:val="left" w:pos="2115"/>
        </w:tabs>
        <w:spacing w:after="240"/>
        <w:jc w:val="both"/>
        <w:rPr>
          <w:rFonts w:cs="Times New Roman"/>
          <w:sz w:val="22"/>
          <w:lang w:bidi="ar-SA"/>
        </w:rPr>
      </w:pPr>
      <w:r>
        <w:rPr>
          <w:rFonts w:cs="Times New Roman"/>
          <w:sz w:val="22"/>
          <w:szCs w:val="22"/>
          <w:lang w:bidi="ar-SA"/>
        </w:rPr>
        <w:t xml:space="preserve">Hiriburuak toki erakunde txikia xurgatu du, baina ez da formalki eskatu erakunde juridiko bereizi gisa desegiteko. </w:t>
      </w:r>
    </w:p>
    <w:p w14:paraId="0EECA074" w14:textId="649988B6" w:rsidR="001D3051" w:rsidRPr="00D7148C" w:rsidRDefault="00866DF2" w:rsidP="00D7148C">
      <w:pPr>
        <w:tabs>
          <w:tab w:val="left" w:pos="2115"/>
        </w:tabs>
        <w:spacing w:after="240"/>
        <w:jc w:val="both"/>
        <w:rPr>
          <w:rFonts w:cs="Times New Roman"/>
          <w:sz w:val="22"/>
          <w:lang w:bidi="ar-SA"/>
        </w:rPr>
      </w:pPr>
      <w:r>
        <w:rPr>
          <w:rFonts w:cs="Times New Roman"/>
          <w:sz w:val="22"/>
          <w:szCs w:val="22"/>
          <w:lang w:bidi="ar-SA"/>
        </w:rPr>
        <w:t xml:space="preserve">Udala, Arriagako kontzejuaren egoera erregularizatzeko interesa duen administrazio publikoa den aldetik, eta haren ondasun eta eskubideen subrogazioa hartzeko asmoa adierazi duenez, legitimatuta dago Aldundiari kontzejua desegiteko prozedura hasteko eskatzeko. Aurreratu dugunez, Kontzejuen </w:t>
      </w:r>
      <w:r>
        <w:rPr>
          <w:rFonts w:cs="Times New Roman"/>
          <w:sz w:val="22"/>
          <w:szCs w:val="22"/>
          <w:lang w:bidi="ar-SA"/>
        </w:rPr>
        <w:lastRenderedPageBreak/>
        <w:t xml:space="preserve">Foru Arauak ez du kasu zehatz hori jasotzen (erakunde bat desegitea, haren funtsezko elementu guztiak —lurraldea, biztanleria eta antolamendua— desagertu ondoren). Hala ere, publikoa eta begi bistakoa da </w:t>
      </w:r>
      <w:r w:rsidR="008F4FCF">
        <w:rPr>
          <w:rFonts w:cs="Times New Roman"/>
          <w:sz w:val="22"/>
          <w:szCs w:val="22"/>
          <w:lang w:bidi="ar-SA"/>
        </w:rPr>
        <w:t>Vitoria-</w:t>
      </w:r>
      <w:r>
        <w:rPr>
          <w:rFonts w:cs="Times New Roman"/>
          <w:sz w:val="22"/>
          <w:szCs w:val="22"/>
          <w:lang w:bidi="ar-SA"/>
        </w:rPr>
        <w:t>Gasteizko Udalak lurralde erakunde horren oinordekotzat jo duela bere burua, eta, beraz, interes legitimoa duela.</w:t>
      </w:r>
    </w:p>
    <w:p w14:paraId="26D44966" w14:textId="77777777" w:rsidR="001D3051" w:rsidRPr="00536BD6" w:rsidRDefault="00866DF2" w:rsidP="001D3051">
      <w:pPr>
        <w:jc w:val="both"/>
        <w:rPr>
          <w:rFonts w:cs="Times New Roman"/>
          <w:sz w:val="22"/>
          <w:szCs w:val="22"/>
        </w:rPr>
      </w:pPr>
      <w:r>
        <w:rPr>
          <w:rFonts w:cs="Times New Roman"/>
          <w:sz w:val="22"/>
          <w:szCs w:val="22"/>
          <w:lang w:bidi="ar-SA"/>
        </w:rPr>
        <w:t xml:space="preserve">Espedientea 11/1995 Foru Arauaren 49. artikuluan eta hurrengoetan jasotako lege aginduen arabera izapidetu da. Hala ere, desegite inguruabar bereziak daudela egiaztatu da, eta jendaurrean jartzeko informazio aldian ez denez alegaziorik aurkeztu, eta Lurralde Orekaren Zuzendaritzak espedientea betetzeko beharrezkoak izan diren jarduketa guztiak egin ondoren, bai eta haiek, foru arau proiektu honekin batera, Arabako Foru Administrazioaren Kontsulta Batzordeari igorri ere, bat etorriz 11/1995 Foru Arauaren 49 a) artikuluan xedatutakoarekin, eta organo horrek aldeko irizpena eman duenez, Arabako Batzar Nagusiei igorri behar zaie Arriagako Kontzejua desegiteko foru arau proiektua.   </w:t>
      </w:r>
    </w:p>
    <w:p w14:paraId="39109DEE" w14:textId="77777777" w:rsidR="00F92BDB" w:rsidRPr="003E2F89" w:rsidRDefault="00F92BDB" w:rsidP="003E2F89">
      <w:pPr>
        <w:jc w:val="center"/>
        <w:rPr>
          <w:rFonts w:cs="Times New Roman"/>
          <w:b/>
          <w:bCs/>
          <w:sz w:val="22"/>
          <w:szCs w:val="22"/>
        </w:rPr>
      </w:pPr>
    </w:p>
    <w:p w14:paraId="4D877F10" w14:textId="77777777" w:rsidR="00404C82" w:rsidRDefault="00866DF2" w:rsidP="00404C82">
      <w:pPr>
        <w:jc w:val="both"/>
        <w:rPr>
          <w:b/>
          <w:bCs/>
          <w:sz w:val="22"/>
          <w:szCs w:val="22"/>
        </w:rPr>
      </w:pPr>
      <w:r>
        <w:rPr>
          <w:b/>
          <w:bCs/>
          <w:sz w:val="22"/>
          <w:szCs w:val="22"/>
        </w:rPr>
        <w:t>1. ARTIKULUA</w:t>
      </w:r>
    </w:p>
    <w:p w14:paraId="62226D37" w14:textId="77777777" w:rsidR="00F56643" w:rsidRPr="007F6767" w:rsidRDefault="00F56643" w:rsidP="00404C82">
      <w:pPr>
        <w:jc w:val="both"/>
        <w:rPr>
          <w:b/>
          <w:bCs/>
          <w:sz w:val="22"/>
          <w:szCs w:val="22"/>
        </w:rPr>
      </w:pPr>
    </w:p>
    <w:p w14:paraId="5DC4C01A" w14:textId="154F295D" w:rsidR="00404C82" w:rsidRPr="007F6767" w:rsidRDefault="00866DF2" w:rsidP="00404C82">
      <w:pPr>
        <w:jc w:val="both"/>
        <w:rPr>
          <w:sz w:val="22"/>
          <w:szCs w:val="22"/>
        </w:rPr>
      </w:pPr>
      <w:r>
        <w:rPr>
          <w:sz w:val="22"/>
          <w:szCs w:val="22"/>
        </w:rPr>
        <w:t xml:space="preserve">Onespena ematen zaio, </w:t>
      </w:r>
      <w:r w:rsidR="008F4FCF">
        <w:rPr>
          <w:sz w:val="22"/>
          <w:szCs w:val="22"/>
        </w:rPr>
        <w:t>Vitoria-</w:t>
      </w:r>
      <w:r>
        <w:rPr>
          <w:sz w:val="22"/>
          <w:szCs w:val="22"/>
        </w:rPr>
        <w:t>Gasteizko Udalak eskatuta, Arriagako Kontzejua desegiteari, Arabako Lurralde Historikoko Kontzejuen 11/1995 Foru Arauaren 49. artikuluan xedatutakoarekin bat etorriz.</w:t>
      </w:r>
    </w:p>
    <w:p w14:paraId="600A9F94" w14:textId="77777777" w:rsidR="00404C82" w:rsidRPr="007F6767" w:rsidRDefault="00404C82" w:rsidP="00404C82">
      <w:pPr>
        <w:jc w:val="both"/>
        <w:rPr>
          <w:sz w:val="22"/>
          <w:szCs w:val="22"/>
        </w:rPr>
      </w:pPr>
    </w:p>
    <w:p w14:paraId="1298CD74" w14:textId="77777777" w:rsidR="00404C82" w:rsidRDefault="00866DF2" w:rsidP="00404C82">
      <w:pPr>
        <w:jc w:val="both"/>
        <w:rPr>
          <w:b/>
          <w:bCs/>
          <w:sz w:val="22"/>
          <w:szCs w:val="22"/>
        </w:rPr>
      </w:pPr>
      <w:r>
        <w:rPr>
          <w:b/>
          <w:bCs/>
          <w:sz w:val="22"/>
          <w:szCs w:val="22"/>
        </w:rPr>
        <w:t>2. ARTIKULUA</w:t>
      </w:r>
    </w:p>
    <w:p w14:paraId="0B0EA912" w14:textId="77777777" w:rsidR="00F56643" w:rsidRDefault="00F56643" w:rsidP="00404C82">
      <w:pPr>
        <w:jc w:val="both"/>
        <w:rPr>
          <w:b/>
          <w:bCs/>
          <w:sz w:val="22"/>
          <w:szCs w:val="22"/>
        </w:rPr>
      </w:pPr>
    </w:p>
    <w:p w14:paraId="4C78C76B" w14:textId="2BC546AC" w:rsidR="00F56643" w:rsidRDefault="008F4FCF" w:rsidP="00F56643">
      <w:pPr>
        <w:jc w:val="both"/>
        <w:rPr>
          <w:sz w:val="22"/>
          <w:szCs w:val="22"/>
        </w:rPr>
      </w:pPr>
      <w:r>
        <w:rPr>
          <w:sz w:val="22"/>
          <w:szCs w:val="22"/>
        </w:rPr>
        <w:t>Vitoria-</w:t>
      </w:r>
      <w:r w:rsidR="00866DF2">
        <w:rPr>
          <w:sz w:val="22"/>
          <w:szCs w:val="22"/>
        </w:rPr>
        <w:t>Gasteizko Udalak hartuko du bere gain desegindako toki erakundearen ondasun, eskubide eta betebehar guztien titulartasuna, Arabako Lurralde Historikoko Kontzejuen 11/1995 Foru Arauaren 52. artikuluan xedatutakoaren arabera.</w:t>
      </w:r>
    </w:p>
    <w:p w14:paraId="50873055" w14:textId="77777777" w:rsidR="004D24E7" w:rsidRPr="00C2643B" w:rsidRDefault="004D24E7" w:rsidP="00F56643">
      <w:pPr>
        <w:jc w:val="both"/>
        <w:rPr>
          <w:sz w:val="22"/>
          <w:szCs w:val="22"/>
        </w:rPr>
      </w:pPr>
    </w:p>
    <w:p w14:paraId="6D560C43" w14:textId="77777777" w:rsidR="00F56643" w:rsidRPr="00C2643B" w:rsidRDefault="00866DF2" w:rsidP="00F56643">
      <w:pPr>
        <w:jc w:val="both"/>
        <w:rPr>
          <w:sz w:val="22"/>
          <w:szCs w:val="22"/>
        </w:rPr>
      </w:pPr>
      <w:r>
        <w:rPr>
          <w:sz w:val="22"/>
          <w:szCs w:val="22"/>
        </w:rPr>
        <w:t>Lurralde historikoaren zaintzapean geratuko dira funts dokumental eta bibliografikoak, halakorik balego, bai eta administrazio artxiboak ere, 11/1995 Foru Arauaren 51. artikuluan xedatutakoaren arabera.</w:t>
      </w:r>
    </w:p>
    <w:p w14:paraId="192148F3" w14:textId="77777777" w:rsidR="00404C82" w:rsidRPr="007F6767" w:rsidRDefault="00404C82" w:rsidP="00404C82">
      <w:pPr>
        <w:jc w:val="both"/>
        <w:rPr>
          <w:b/>
          <w:bCs/>
          <w:sz w:val="22"/>
          <w:szCs w:val="22"/>
        </w:rPr>
      </w:pPr>
    </w:p>
    <w:p w14:paraId="2CF84741" w14:textId="77777777" w:rsidR="00404C82" w:rsidRDefault="00866DF2" w:rsidP="00404C82">
      <w:pPr>
        <w:jc w:val="both"/>
        <w:rPr>
          <w:b/>
          <w:bCs/>
          <w:sz w:val="22"/>
          <w:szCs w:val="22"/>
        </w:rPr>
      </w:pPr>
      <w:r>
        <w:rPr>
          <w:b/>
          <w:bCs/>
          <w:sz w:val="22"/>
          <w:szCs w:val="22"/>
        </w:rPr>
        <w:t>3. ARTIKULUA</w:t>
      </w:r>
    </w:p>
    <w:p w14:paraId="4BD24C33" w14:textId="77777777" w:rsidR="00F56643" w:rsidRPr="007F6767" w:rsidRDefault="00F56643" w:rsidP="00404C82">
      <w:pPr>
        <w:jc w:val="both"/>
        <w:rPr>
          <w:b/>
          <w:bCs/>
          <w:sz w:val="22"/>
          <w:szCs w:val="22"/>
        </w:rPr>
      </w:pPr>
    </w:p>
    <w:p w14:paraId="5DC21439" w14:textId="504C2EB7" w:rsidR="00F56643" w:rsidRPr="007F6767" w:rsidRDefault="008F4FCF" w:rsidP="00F56643">
      <w:pPr>
        <w:jc w:val="both"/>
        <w:rPr>
          <w:b/>
          <w:bCs/>
          <w:sz w:val="22"/>
          <w:szCs w:val="22"/>
        </w:rPr>
      </w:pPr>
      <w:r>
        <w:rPr>
          <w:sz w:val="22"/>
          <w:szCs w:val="22"/>
        </w:rPr>
        <w:t>Vitoria-</w:t>
      </w:r>
      <w:r w:rsidR="00866DF2">
        <w:rPr>
          <w:sz w:val="22"/>
          <w:szCs w:val="22"/>
        </w:rPr>
        <w:t>Gasteizko Udalak Arriagako Kontzejuaren desegitea jakinarazi beharko dio 1076/1990 Foru Dekretuak arautzen duen Arabako Toki Erakundeen Foru Erregistroari, desegindako toki erakundearen inskripzioa ezezta dadin, 10. artikuluan xedatzen den bezala.</w:t>
      </w:r>
    </w:p>
    <w:p w14:paraId="798EA46C" w14:textId="77777777" w:rsidR="00404C82" w:rsidRPr="007F6767" w:rsidRDefault="00404C82" w:rsidP="00404C82">
      <w:pPr>
        <w:jc w:val="both"/>
        <w:rPr>
          <w:b/>
          <w:bCs/>
          <w:sz w:val="22"/>
          <w:szCs w:val="22"/>
        </w:rPr>
      </w:pPr>
    </w:p>
    <w:p w14:paraId="7046BBA4" w14:textId="77777777" w:rsidR="00F56643" w:rsidRPr="00C2643B" w:rsidRDefault="00866DF2" w:rsidP="00F56643">
      <w:pPr>
        <w:jc w:val="both"/>
        <w:rPr>
          <w:b/>
          <w:bCs/>
          <w:sz w:val="22"/>
          <w:szCs w:val="22"/>
        </w:rPr>
      </w:pPr>
      <w:r>
        <w:rPr>
          <w:b/>
          <w:bCs/>
          <w:sz w:val="22"/>
          <w:szCs w:val="22"/>
        </w:rPr>
        <w:t>XEDAPEN IRAGANKOR BAKARRA</w:t>
      </w:r>
    </w:p>
    <w:p w14:paraId="64997EE2" w14:textId="77777777" w:rsidR="00F56643" w:rsidRPr="007F6767" w:rsidRDefault="00F56643" w:rsidP="00404C82">
      <w:pPr>
        <w:jc w:val="both"/>
        <w:rPr>
          <w:b/>
          <w:bCs/>
          <w:sz w:val="22"/>
          <w:szCs w:val="22"/>
        </w:rPr>
      </w:pPr>
    </w:p>
    <w:p w14:paraId="6FA58B20" w14:textId="77777777" w:rsidR="00F56643" w:rsidRPr="00C2643B" w:rsidRDefault="00866DF2" w:rsidP="00F56643">
      <w:pPr>
        <w:jc w:val="both"/>
        <w:rPr>
          <w:sz w:val="22"/>
          <w:szCs w:val="22"/>
        </w:rPr>
      </w:pPr>
      <w:r>
        <w:rPr>
          <w:sz w:val="22"/>
          <w:szCs w:val="22"/>
        </w:rPr>
        <w:t xml:space="preserve">Arabako Toki Erakundeak Finantzatzeko Foru Funtsetik eratorritako ondorio ekonomikoak eta Arriaga atxikita dagoen Arabako Kontzejuen aseguramendua desegin eta hurrengo urteko urtarrilaren 1etik aurrera sortuko dira. </w:t>
      </w:r>
    </w:p>
    <w:p w14:paraId="3CD74176" w14:textId="77777777" w:rsidR="00404C82" w:rsidRPr="00C2643B" w:rsidRDefault="00404C82" w:rsidP="00404C82">
      <w:pPr>
        <w:jc w:val="both"/>
        <w:rPr>
          <w:b/>
          <w:bCs/>
          <w:sz w:val="22"/>
          <w:szCs w:val="22"/>
        </w:rPr>
      </w:pPr>
    </w:p>
    <w:p w14:paraId="28F72901" w14:textId="77777777" w:rsidR="00404C82" w:rsidRPr="007F6767" w:rsidRDefault="00866DF2" w:rsidP="00404C82">
      <w:pPr>
        <w:jc w:val="both"/>
        <w:rPr>
          <w:b/>
          <w:bCs/>
          <w:sz w:val="22"/>
          <w:szCs w:val="22"/>
        </w:rPr>
      </w:pPr>
      <w:r>
        <w:rPr>
          <w:b/>
          <w:bCs/>
          <w:sz w:val="22"/>
          <w:szCs w:val="22"/>
        </w:rPr>
        <w:t>AZKEN XEDAPEN BAKARRA</w:t>
      </w:r>
    </w:p>
    <w:bookmarkEnd w:id="0"/>
    <w:p w14:paraId="2CECDCBD" w14:textId="77777777" w:rsidR="00404C82" w:rsidRPr="007F6767" w:rsidRDefault="00404C82" w:rsidP="00404C82">
      <w:pPr>
        <w:jc w:val="both"/>
        <w:rPr>
          <w:b/>
          <w:bCs/>
          <w:sz w:val="22"/>
          <w:szCs w:val="22"/>
        </w:rPr>
      </w:pPr>
    </w:p>
    <w:p w14:paraId="15DCFC2E" w14:textId="77777777" w:rsidR="00404C82" w:rsidRDefault="00866DF2" w:rsidP="00D7148C">
      <w:pPr>
        <w:jc w:val="both"/>
        <w:rPr>
          <w:sz w:val="22"/>
          <w:szCs w:val="22"/>
        </w:rPr>
      </w:pPr>
      <w:r>
        <w:rPr>
          <w:sz w:val="22"/>
          <w:szCs w:val="22"/>
        </w:rPr>
        <w:t xml:space="preserve">Foru arau hau ALHAOn argitaratu eta hurrengo egunean jarriko da indarrean. </w:t>
      </w:r>
    </w:p>
    <w:p w14:paraId="59C3290E" w14:textId="77777777" w:rsidR="00C77C6A" w:rsidRPr="00D7148C" w:rsidRDefault="00C77C6A" w:rsidP="00D7148C">
      <w:pPr>
        <w:jc w:val="both"/>
        <w:rPr>
          <w:sz w:val="22"/>
          <w:szCs w:val="22"/>
        </w:rPr>
      </w:pPr>
    </w:p>
    <w:sectPr w:rsidR="00C77C6A" w:rsidRPr="00D7148C" w:rsidSect="004D24E7">
      <w:headerReference w:type="default" r:id="rId7"/>
      <w:footerReference w:type="first" r:id="rId8"/>
      <w:pgSz w:w="11907" w:h="16840" w:code="9"/>
      <w:pgMar w:top="2313" w:right="1134" w:bottom="1418" w:left="1701" w:header="851" w:footer="567" w:gutter="0"/>
      <w:pgNumType w:start="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2470F" w14:textId="77777777" w:rsidR="00264898" w:rsidRDefault="00264898">
      <w:r>
        <w:separator/>
      </w:r>
    </w:p>
  </w:endnote>
  <w:endnote w:type="continuationSeparator" w:id="0">
    <w:p w14:paraId="038C1700" w14:textId="77777777" w:rsidR="00264898" w:rsidRDefault="00264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8AE81" w14:textId="77777777" w:rsidR="005873C1" w:rsidRDefault="005873C1">
    <w:pPr>
      <w:pStyle w:val="Piedepgina"/>
      <w:tabs>
        <w:tab w:val="clear" w:pos="4252"/>
        <w:tab w:val="clear" w:pos="8504"/>
        <w:tab w:val="right" w:pos="907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4566B" w14:textId="77777777" w:rsidR="00264898" w:rsidRDefault="00264898">
      <w:r>
        <w:separator/>
      </w:r>
    </w:p>
  </w:footnote>
  <w:footnote w:type="continuationSeparator" w:id="0">
    <w:p w14:paraId="1DE7D2BF" w14:textId="77777777" w:rsidR="00264898" w:rsidRDefault="00264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00137B" w14:paraId="1BED4E24" w14:textId="77777777">
      <w:trPr>
        <w:cantSplit/>
        <w:trHeight w:val="338"/>
      </w:trPr>
      <w:tc>
        <w:tcPr>
          <w:tcW w:w="3856" w:type="dxa"/>
        </w:tcPr>
        <w:p w14:paraId="3028EC54" w14:textId="77777777" w:rsidR="005873C1" w:rsidRDefault="005873C1">
          <w:pPr>
            <w:pStyle w:val="Encabezado"/>
          </w:pPr>
        </w:p>
      </w:tc>
      <w:tc>
        <w:tcPr>
          <w:tcW w:w="1361" w:type="dxa"/>
          <w:vMerge w:val="restart"/>
        </w:tcPr>
        <w:p w14:paraId="2CFF32A6" w14:textId="77777777" w:rsidR="005873C1" w:rsidRDefault="00866DF2">
          <w:pPr>
            <w:pStyle w:val="Encabezado"/>
            <w:jc w:val="center"/>
          </w:pPr>
          <w:r>
            <w:rPr>
              <w:noProof/>
            </w:rPr>
            <w:drawing>
              <wp:inline distT="0" distB="0" distL="0" distR="0" wp14:anchorId="6D92F9FA" wp14:editId="3A8CE295">
                <wp:extent cx="426720" cy="426720"/>
                <wp:effectExtent l="0" t="0" r="0" b="0"/>
                <wp:docPr id="306044841" name="Imagen 30604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04484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6720" cy="426720"/>
                        </a:xfrm>
                        <a:prstGeom prst="rect">
                          <a:avLst/>
                        </a:prstGeom>
                        <a:noFill/>
                        <a:ln>
                          <a:noFill/>
                        </a:ln>
                      </pic:spPr>
                    </pic:pic>
                  </a:graphicData>
                </a:graphic>
              </wp:inline>
            </w:drawing>
          </w:r>
        </w:p>
      </w:tc>
      <w:tc>
        <w:tcPr>
          <w:tcW w:w="3856" w:type="dxa"/>
        </w:tcPr>
        <w:p w14:paraId="5546E5DE" w14:textId="77777777" w:rsidR="005873C1" w:rsidRDefault="005873C1">
          <w:pPr>
            <w:pStyle w:val="Encabezado"/>
          </w:pPr>
        </w:p>
      </w:tc>
    </w:tr>
    <w:tr w:rsidR="0000137B" w14:paraId="56E13A0D" w14:textId="77777777">
      <w:trPr>
        <w:cantSplit/>
        <w:trHeight w:val="337"/>
      </w:trPr>
      <w:tc>
        <w:tcPr>
          <w:tcW w:w="3856" w:type="dxa"/>
        </w:tcPr>
        <w:p w14:paraId="79DB8268" w14:textId="77777777" w:rsidR="005873C1" w:rsidRDefault="005873C1">
          <w:pPr>
            <w:pStyle w:val="Encabezado"/>
          </w:pPr>
        </w:p>
      </w:tc>
      <w:tc>
        <w:tcPr>
          <w:tcW w:w="1361" w:type="dxa"/>
          <w:vMerge/>
        </w:tcPr>
        <w:p w14:paraId="7526CCFC" w14:textId="77777777" w:rsidR="005873C1" w:rsidRDefault="005873C1">
          <w:pPr>
            <w:pStyle w:val="Encabezado"/>
            <w:jc w:val="center"/>
          </w:pPr>
        </w:p>
      </w:tc>
      <w:tc>
        <w:tcPr>
          <w:tcW w:w="3856" w:type="dxa"/>
        </w:tcPr>
        <w:p w14:paraId="6C92CD77" w14:textId="77777777" w:rsidR="005873C1" w:rsidRDefault="005873C1">
          <w:pPr>
            <w:pStyle w:val="Encabezado"/>
          </w:pPr>
        </w:p>
      </w:tc>
    </w:tr>
  </w:tbl>
  <w:p w14:paraId="197CED40" w14:textId="77777777" w:rsidR="005873C1" w:rsidRDefault="005873C1" w:rsidP="004D24E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EB2"/>
    <w:rsid w:val="0000137B"/>
    <w:rsid w:val="00010C02"/>
    <w:rsid w:val="00024EC2"/>
    <w:rsid w:val="00056C09"/>
    <w:rsid w:val="0007551A"/>
    <w:rsid w:val="000808E6"/>
    <w:rsid w:val="0008788D"/>
    <w:rsid w:val="000A18D8"/>
    <w:rsid w:val="000A4503"/>
    <w:rsid w:val="000B2138"/>
    <w:rsid w:val="000B7D21"/>
    <w:rsid w:val="000C1C09"/>
    <w:rsid w:val="000D2E0E"/>
    <w:rsid w:val="000E602F"/>
    <w:rsid w:val="00131456"/>
    <w:rsid w:val="00153C91"/>
    <w:rsid w:val="00166655"/>
    <w:rsid w:val="0019344E"/>
    <w:rsid w:val="001A2B42"/>
    <w:rsid w:val="001D3051"/>
    <w:rsid w:val="001D4E67"/>
    <w:rsid w:val="00263BD5"/>
    <w:rsid w:val="00264898"/>
    <w:rsid w:val="0026565B"/>
    <w:rsid w:val="00281DAA"/>
    <w:rsid w:val="002A2747"/>
    <w:rsid w:val="002A54DD"/>
    <w:rsid w:val="002A6964"/>
    <w:rsid w:val="00386290"/>
    <w:rsid w:val="00387EB2"/>
    <w:rsid w:val="003B5894"/>
    <w:rsid w:val="003C11D5"/>
    <w:rsid w:val="003D01E7"/>
    <w:rsid w:val="003D664E"/>
    <w:rsid w:val="003E2F89"/>
    <w:rsid w:val="003F6C85"/>
    <w:rsid w:val="00402B75"/>
    <w:rsid w:val="00404C82"/>
    <w:rsid w:val="004146A2"/>
    <w:rsid w:val="00414E43"/>
    <w:rsid w:val="00443CF4"/>
    <w:rsid w:val="004448AC"/>
    <w:rsid w:val="0045374F"/>
    <w:rsid w:val="004877F1"/>
    <w:rsid w:val="004A5EDD"/>
    <w:rsid w:val="004D24E7"/>
    <w:rsid w:val="004E1C31"/>
    <w:rsid w:val="00510613"/>
    <w:rsid w:val="00536BD6"/>
    <w:rsid w:val="00557B0F"/>
    <w:rsid w:val="00571CF2"/>
    <w:rsid w:val="005747FB"/>
    <w:rsid w:val="00584427"/>
    <w:rsid w:val="00584E52"/>
    <w:rsid w:val="005873C1"/>
    <w:rsid w:val="005E5D21"/>
    <w:rsid w:val="005E7369"/>
    <w:rsid w:val="0068308E"/>
    <w:rsid w:val="006A683C"/>
    <w:rsid w:val="006D588F"/>
    <w:rsid w:val="006E519E"/>
    <w:rsid w:val="006F6173"/>
    <w:rsid w:val="007146EF"/>
    <w:rsid w:val="0074227B"/>
    <w:rsid w:val="00743BEB"/>
    <w:rsid w:val="00746111"/>
    <w:rsid w:val="0076385D"/>
    <w:rsid w:val="0077778B"/>
    <w:rsid w:val="007A46B3"/>
    <w:rsid w:val="007B781F"/>
    <w:rsid w:val="007F0E79"/>
    <w:rsid w:val="007F1FE6"/>
    <w:rsid w:val="007F6767"/>
    <w:rsid w:val="0086149A"/>
    <w:rsid w:val="00866DF2"/>
    <w:rsid w:val="00897C5A"/>
    <w:rsid w:val="008B2F0C"/>
    <w:rsid w:val="008D45E7"/>
    <w:rsid w:val="008F0D0B"/>
    <w:rsid w:val="008F320E"/>
    <w:rsid w:val="008F4FCF"/>
    <w:rsid w:val="0093555B"/>
    <w:rsid w:val="009916C2"/>
    <w:rsid w:val="009B2F5B"/>
    <w:rsid w:val="009C2B48"/>
    <w:rsid w:val="009C7C5F"/>
    <w:rsid w:val="009D0DEE"/>
    <w:rsid w:val="009F67A5"/>
    <w:rsid w:val="00A32209"/>
    <w:rsid w:val="00A42750"/>
    <w:rsid w:val="00A47735"/>
    <w:rsid w:val="00A56958"/>
    <w:rsid w:val="00A63D72"/>
    <w:rsid w:val="00A83393"/>
    <w:rsid w:val="00A90EFD"/>
    <w:rsid w:val="00AB295A"/>
    <w:rsid w:val="00AB4E71"/>
    <w:rsid w:val="00AC2B3C"/>
    <w:rsid w:val="00AD3CD7"/>
    <w:rsid w:val="00AE3581"/>
    <w:rsid w:val="00AF7A93"/>
    <w:rsid w:val="00B41E91"/>
    <w:rsid w:val="00B510D7"/>
    <w:rsid w:val="00BB6B67"/>
    <w:rsid w:val="00BE00A8"/>
    <w:rsid w:val="00BF6CF8"/>
    <w:rsid w:val="00C02D27"/>
    <w:rsid w:val="00C10597"/>
    <w:rsid w:val="00C2643B"/>
    <w:rsid w:val="00C341DF"/>
    <w:rsid w:val="00C537E2"/>
    <w:rsid w:val="00C74972"/>
    <w:rsid w:val="00C77C6A"/>
    <w:rsid w:val="00CC39FE"/>
    <w:rsid w:val="00CC5A11"/>
    <w:rsid w:val="00CC69FC"/>
    <w:rsid w:val="00D16668"/>
    <w:rsid w:val="00D17EC4"/>
    <w:rsid w:val="00D247B3"/>
    <w:rsid w:val="00D2679C"/>
    <w:rsid w:val="00D7148C"/>
    <w:rsid w:val="00DA4A2A"/>
    <w:rsid w:val="00DB6C7D"/>
    <w:rsid w:val="00DF39EF"/>
    <w:rsid w:val="00E50E17"/>
    <w:rsid w:val="00E65501"/>
    <w:rsid w:val="00E8534C"/>
    <w:rsid w:val="00E93E3D"/>
    <w:rsid w:val="00EA3A66"/>
    <w:rsid w:val="00ED5B0A"/>
    <w:rsid w:val="00ED7516"/>
    <w:rsid w:val="00EE3946"/>
    <w:rsid w:val="00EE7888"/>
    <w:rsid w:val="00F22AAF"/>
    <w:rsid w:val="00F56643"/>
    <w:rsid w:val="00F62834"/>
    <w:rsid w:val="00F64C1D"/>
    <w:rsid w:val="00F70F31"/>
    <w:rsid w:val="00F7379C"/>
    <w:rsid w:val="00F92BDB"/>
    <w:rsid w:val="00F938DB"/>
    <w:rsid w:val="00F963DA"/>
    <w:rsid w:val="00FD73C8"/>
    <w:rsid w:val="00FF76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F0D3B"/>
  <w15:chartTrackingRefBased/>
  <w15:docId w15:val="{5C02A182-1D71-460C-AB0C-04ECEAD13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cs="Arial"/>
      <w:lang w:val="eu-ES" w:bidi="or-IN"/>
    </w:rPr>
  </w:style>
  <w:style w:type="paragraph" w:styleId="Ttulo1">
    <w:name w:val="heading 1"/>
    <w:basedOn w:val="Normal"/>
    <w:next w:val="Normal"/>
    <w:link w:val="Ttulo1Car"/>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560" w:after="60" w:line="240" w:lineRule="exact"/>
      <w:outlineLvl w:val="2"/>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Sangranormal">
    <w:name w:val="Normal Indent"/>
    <w:basedOn w:val="Normal"/>
    <w:semiHidden/>
    <w:pPr>
      <w:spacing w:after="240" w:line="360" w:lineRule="atLeast"/>
      <w:ind w:firstLine="1134"/>
      <w:jc w:val="both"/>
    </w:pPr>
    <w:rPr>
      <w:sz w:val="24"/>
    </w:rPr>
  </w:style>
  <w:style w:type="paragraph" w:styleId="Textoindependiente">
    <w:name w:val="Body Text"/>
    <w:basedOn w:val="Normal"/>
    <w:semiHidden/>
    <w:pPr>
      <w:spacing w:after="240"/>
      <w:jc w:val="both"/>
    </w:pPr>
    <w:rPr>
      <w:rFonts w:ascii="Arial" w:hAnsi="Arial"/>
      <w:sz w:val="22"/>
    </w:rPr>
  </w:style>
  <w:style w:type="paragraph" w:styleId="Textoindependiente2">
    <w:name w:val="Body Text 2"/>
    <w:basedOn w:val="Normal"/>
    <w:semiHidden/>
    <w:pPr>
      <w:spacing w:after="240"/>
      <w:jc w:val="both"/>
    </w:pPr>
    <w:rPr>
      <w:color w:val="FF0000"/>
      <w:sz w:val="22"/>
    </w:rPr>
  </w:style>
  <w:style w:type="paragraph" w:styleId="Textoindependiente3">
    <w:name w:val="Body Text 3"/>
    <w:basedOn w:val="Normal"/>
    <w:semiHidden/>
    <w:pPr>
      <w:tabs>
        <w:tab w:val="right" w:pos="8789"/>
      </w:tabs>
      <w:spacing w:after="480"/>
    </w:pPr>
    <w:rPr>
      <w:sz w:val="22"/>
    </w:rPr>
  </w:style>
  <w:style w:type="paragraph" w:customStyle="1" w:styleId="Default">
    <w:name w:val="Default"/>
    <w:rsid w:val="001D4E67"/>
    <w:pPr>
      <w:autoSpaceDE w:val="0"/>
      <w:autoSpaceDN w:val="0"/>
      <w:adjustRightInd w:val="0"/>
    </w:pPr>
    <w:rPr>
      <w:rFonts w:ascii="Arial Unicode MS" w:hAnsi="Arial Unicode MS" w:cs="Arial Unicode MS"/>
      <w:color w:val="000000"/>
      <w:sz w:val="24"/>
      <w:szCs w:val="24"/>
    </w:rPr>
  </w:style>
  <w:style w:type="character" w:customStyle="1" w:styleId="Ttulo1Car">
    <w:name w:val="Título 1 Car"/>
    <w:basedOn w:val="Fuentedeprrafopredeter"/>
    <w:link w:val="Ttulo1"/>
    <w:rsid w:val="001D3051"/>
    <w:rPr>
      <w:rFonts w:ascii="Arial" w:hAnsi="Arial" w:cs="Arial"/>
      <w:b/>
      <w:bCs/>
      <w:sz w:val="22"/>
      <w:szCs w:val="22"/>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UERDO%20JURIDICO%20NUEVO%20ANAGRAM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35C19-DC77-4B48-B54D-BF078DB8A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ACUERDO JURIDICO NUEVO ANAGRAMA.dot</Template>
  <TotalTime>2</TotalTime>
  <Pages>2</Pages>
  <Words>882</Words>
  <Characters>4854</Characters>
  <Application>Microsoft Office Word</Application>
  <DocSecurity>0</DocSecurity>
  <Lines>40</Lines>
  <Paragraphs>11</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Acuerdo designacion vocal gestor</vt:lpstr>
      <vt:lpstr>Acuerdo designacion vocal gestor</vt:lpstr>
    </vt:vector>
  </TitlesOfParts>
  <Company>DFA-AFA</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designacion vocal gestor</dc:title>
  <dc:subject>Acuerdo designacion vocal gestor</dc:subject>
  <dc:creator>PFCASTILLA_MNIE</dc:creator>
  <cp:lastModifiedBy>Sanchez Garcia, Raquel</cp:lastModifiedBy>
  <cp:revision>2</cp:revision>
  <cp:lastPrinted>2023-12-15T09:29:00Z</cp:lastPrinted>
  <dcterms:created xsi:type="dcterms:W3CDTF">2025-05-29T06:52:00Z</dcterms:created>
  <dcterms:modified xsi:type="dcterms:W3CDTF">2025-05-29T06:52:00Z</dcterms:modified>
</cp:coreProperties>
</file>