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3231" w14:textId="77777777" w:rsidR="0096379E" w:rsidRDefault="0096379E" w:rsidP="005301E1">
      <w:pPr>
        <w:jc w:val="both"/>
        <w:rPr>
          <w:rFonts w:ascii="Arial" w:hAnsi="Arial" w:cs="Arial"/>
        </w:rPr>
      </w:pPr>
    </w:p>
    <w:p w14:paraId="78297C6A" w14:textId="77777777" w:rsidR="001C18D9" w:rsidRDefault="00260A71" w:rsidP="001C18D9">
      <w:pPr>
        <w:suppressAutoHyphens/>
        <w:contextualSpacing/>
        <w:jc w:val="center"/>
        <w:rPr>
          <w:rFonts w:ascii="Arial" w:eastAsia="Arial" w:hAnsi="Arial" w:cs="Arial"/>
          <w:b/>
          <w:bCs/>
          <w:lang w:val="eu-ES"/>
        </w:rPr>
      </w:pPr>
      <w:r>
        <w:rPr>
          <w:rFonts w:ascii="Arial" w:eastAsia="Arial" w:hAnsi="Arial" w:cs="Arial"/>
          <w:b/>
          <w:bCs/>
          <w:lang w:val="eu-ES"/>
        </w:rPr>
        <w:t>IRIZPENA, ARABAKO LURRALDE HISTORIKOAN 2025-2026 KANPAINAN EHIZAN ARITZEA ARAUTZEN DUEN ARAUDI ESPEZIFIKOA EZARTZEN DUEN FORU ARAU PROIEKTUARI BURUZKOA</w:t>
      </w:r>
    </w:p>
    <w:p w14:paraId="22901DCE" w14:textId="1CC978BC" w:rsidR="001C18D9" w:rsidRPr="003E12CD" w:rsidRDefault="00260A71" w:rsidP="001C18D9">
      <w:pPr>
        <w:suppressAutoHyphens/>
        <w:contextualSpacing/>
        <w:jc w:val="center"/>
        <w:rPr>
          <w:b/>
          <w:bCs/>
          <w:sz w:val="24"/>
          <w:szCs w:val="24"/>
        </w:rPr>
      </w:pPr>
      <w:r>
        <w:rPr>
          <w:rFonts w:ascii="Arial" w:eastAsia="Arial" w:hAnsi="Arial" w:cs="Arial"/>
          <w:b/>
          <w:bCs/>
          <w:lang w:val="eu-ES"/>
        </w:rPr>
        <w:t xml:space="preserve"> </w:t>
      </w:r>
      <w:r w:rsidR="001C18D9" w:rsidRPr="003E12CD">
        <w:rPr>
          <w:b/>
          <w:bCs/>
          <w:sz w:val="24"/>
          <w:szCs w:val="24"/>
          <w:lang w:val="eu-ES"/>
        </w:rPr>
        <w:t xml:space="preserve">(2025eko EKAINAREN </w:t>
      </w:r>
      <w:r w:rsidR="001C18D9">
        <w:rPr>
          <w:b/>
          <w:bCs/>
          <w:sz w:val="24"/>
          <w:szCs w:val="24"/>
          <w:lang w:val="eu-ES"/>
        </w:rPr>
        <w:t>17</w:t>
      </w:r>
      <w:r w:rsidR="001C18D9" w:rsidRPr="003E12CD">
        <w:rPr>
          <w:b/>
          <w:bCs/>
          <w:sz w:val="24"/>
          <w:szCs w:val="24"/>
          <w:lang w:val="eu-ES"/>
        </w:rPr>
        <w:t>ko SAIOA)</w:t>
      </w:r>
    </w:p>
    <w:p w14:paraId="2FAF5A76" w14:textId="77777777" w:rsidR="0096379E" w:rsidRDefault="0096379E" w:rsidP="005301E1">
      <w:pPr>
        <w:jc w:val="both"/>
        <w:rPr>
          <w:rFonts w:ascii="Arial" w:hAnsi="Arial" w:cs="Arial"/>
        </w:rPr>
      </w:pPr>
    </w:p>
    <w:p w14:paraId="752E2EB7" w14:textId="77777777" w:rsidR="0096379E" w:rsidRDefault="0096379E" w:rsidP="005301E1">
      <w:pPr>
        <w:jc w:val="both"/>
        <w:rPr>
          <w:rFonts w:ascii="Arial" w:hAnsi="Arial" w:cs="Arial"/>
        </w:rPr>
      </w:pPr>
    </w:p>
    <w:p w14:paraId="07C3181F" w14:textId="77777777" w:rsidR="005301E1" w:rsidRPr="005301E1" w:rsidRDefault="005301E1" w:rsidP="005301E1">
      <w:pPr>
        <w:jc w:val="both"/>
        <w:rPr>
          <w:rFonts w:ascii="Arial" w:hAnsi="Arial" w:cs="Arial"/>
        </w:rPr>
      </w:pPr>
    </w:p>
    <w:p w14:paraId="628117A1" w14:textId="77777777" w:rsidR="005301E1" w:rsidRPr="0096379E" w:rsidRDefault="00260A71" w:rsidP="005301E1">
      <w:pPr>
        <w:jc w:val="both"/>
        <w:rPr>
          <w:rFonts w:ascii="Arial" w:hAnsi="Arial" w:cs="Arial"/>
          <w:b/>
          <w:bCs/>
        </w:rPr>
      </w:pPr>
      <w:r>
        <w:rPr>
          <w:rFonts w:ascii="Arial" w:eastAsia="Arial" w:hAnsi="Arial" w:cs="Arial"/>
          <w:b/>
          <w:bCs/>
          <w:lang w:val="eu-ES"/>
        </w:rPr>
        <w:t>I. AURREKARIAK</w:t>
      </w:r>
    </w:p>
    <w:p w14:paraId="0D746870" w14:textId="77777777" w:rsidR="005301E1" w:rsidRPr="005301E1" w:rsidRDefault="005301E1" w:rsidP="005301E1">
      <w:pPr>
        <w:jc w:val="both"/>
        <w:rPr>
          <w:rFonts w:ascii="Arial" w:hAnsi="Arial" w:cs="Arial"/>
        </w:rPr>
      </w:pPr>
    </w:p>
    <w:p w14:paraId="45D74836" w14:textId="77777777" w:rsidR="005301E1" w:rsidRPr="005301E1" w:rsidRDefault="00260A71" w:rsidP="005301E1">
      <w:pPr>
        <w:jc w:val="both"/>
        <w:rPr>
          <w:rFonts w:ascii="Arial" w:hAnsi="Arial" w:cs="Arial"/>
        </w:rPr>
      </w:pPr>
      <w:r>
        <w:rPr>
          <w:rFonts w:ascii="Arial" w:eastAsia="Arial" w:hAnsi="Arial" w:cs="Arial"/>
          <w:lang w:val="eu-ES"/>
        </w:rPr>
        <w:t>Nekazaritzako zuzendariaren idazkiaren bidez, 2025eko ekainaren 6an, irizpen-eskaera bidali zen 2025-2026 kanpainan Arabako Lurralde Historikoan ehiza jarduera araudi espezifikoa ezartzen duen foru aginduaren proiektuari buruz, Aholku Batzorde honek nahitaezko irizpena eman dezan.</w:t>
      </w:r>
    </w:p>
    <w:p w14:paraId="6EFA09F2" w14:textId="77777777" w:rsidR="005301E1" w:rsidRPr="005301E1" w:rsidRDefault="00260A71" w:rsidP="005301E1">
      <w:pPr>
        <w:jc w:val="both"/>
        <w:rPr>
          <w:rFonts w:ascii="Arial" w:hAnsi="Arial" w:cs="Arial"/>
        </w:rPr>
      </w:pPr>
      <w:r>
        <w:rPr>
          <w:rFonts w:ascii="Arial" w:eastAsia="Arial" w:hAnsi="Arial" w:cs="Arial"/>
          <w:lang w:val="eu-ES"/>
        </w:rPr>
        <w:t>Irizpen eskaerarekin batera jarraian zehaztutako dokumentazioa igorri zuen:</w:t>
      </w:r>
    </w:p>
    <w:p w14:paraId="095C69F3" w14:textId="77777777" w:rsidR="005301E1" w:rsidRPr="005301E1" w:rsidRDefault="00260A71" w:rsidP="005301E1">
      <w:pPr>
        <w:jc w:val="both"/>
        <w:rPr>
          <w:rFonts w:ascii="Arial" w:hAnsi="Arial" w:cs="Arial"/>
        </w:rPr>
      </w:pPr>
      <w:r>
        <w:rPr>
          <w:rFonts w:ascii="Arial" w:eastAsia="Arial" w:hAnsi="Arial" w:cs="Arial"/>
          <w:lang w:val="eu-ES"/>
        </w:rPr>
        <w:t>1.   Arabako Ehizako Lurralde Kontseiluak 2025eko apirilaren 9an egindako bileraren akta. Bilkura horretako gai-zerrendan 2025-2026 denboraldiko ehizari buruzko foru aginduaren proiektuari buruzko txostena egitea zegoen.</w:t>
      </w:r>
    </w:p>
    <w:p w14:paraId="39594B72" w14:textId="77777777" w:rsidR="005301E1" w:rsidRPr="005301E1" w:rsidRDefault="00260A71" w:rsidP="005301E1">
      <w:pPr>
        <w:jc w:val="both"/>
        <w:rPr>
          <w:rFonts w:ascii="Arial" w:hAnsi="Arial" w:cs="Arial"/>
        </w:rPr>
      </w:pPr>
      <w:r>
        <w:rPr>
          <w:rFonts w:ascii="Arial" w:eastAsia="Arial" w:hAnsi="Arial" w:cs="Arial"/>
          <w:lang w:val="eu-ES"/>
        </w:rPr>
        <w:t>2. 2024-2025 ehiza denboraldian ehiza populazio nagusien jarraipen datuen analisiari buruzko txosten teknikoa, eta 2025-2026 denboraldian ehiza arautzen duen foru aginduaren proiektuan sartu beharreko kudeaketa parametroen proposamena.</w:t>
      </w:r>
    </w:p>
    <w:p w14:paraId="31B028C9" w14:textId="77777777" w:rsidR="005301E1" w:rsidRPr="005301E1" w:rsidRDefault="00260A71" w:rsidP="005301E1">
      <w:pPr>
        <w:jc w:val="both"/>
        <w:rPr>
          <w:rFonts w:ascii="Arial" w:hAnsi="Arial" w:cs="Arial"/>
        </w:rPr>
      </w:pPr>
      <w:r>
        <w:rPr>
          <w:rFonts w:ascii="Arial" w:eastAsia="Arial" w:hAnsi="Arial" w:cs="Arial"/>
          <w:lang w:val="eu-ES"/>
        </w:rPr>
        <w:t>3.   117/2025 Foru Agindua, maiatzaren 12koa, Nekazaritzako diputatuarena, 2025-2026 denboraldian Arabako Lurralde Historikoan ehizan aritzeko araudi espezifikoa ezartzen duen foru agindua egiteko prozedura hasten duena.</w:t>
      </w:r>
    </w:p>
    <w:p w14:paraId="4E196EBA" w14:textId="77777777" w:rsidR="005301E1" w:rsidRPr="005301E1" w:rsidRDefault="00260A71" w:rsidP="001C18D9">
      <w:pPr>
        <w:spacing w:after="0" w:line="240" w:lineRule="auto"/>
        <w:jc w:val="both"/>
        <w:rPr>
          <w:rFonts w:ascii="Arial" w:hAnsi="Arial" w:cs="Arial"/>
        </w:rPr>
      </w:pPr>
      <w:r>
        <w:rPr>
          <w:rFonts w:ascii="Arial" w:eastAsia="Arial" w:hAnsi="Arial" w:cs="Arial"/>
          <w:lang w:val="eu-ES"/>
        </w:rPr>
        <w:t xml:space="preserve">4.   </w:t>
      </w:r>
      <w:r w:rsidRPr="001C18D9">
        <w:rPr>
          <w:rFonts w:ascii="Arial" w:hAnsi="Arial" w:cs="Arial"/>
        </w:rPr>
        <w:t>Generoaren</w:t>
      </w:r>
      <w:r>
        <w:rPr>
          <w:rFonts w:ascii="Arial" w:eastAsia="Arial" w:hAnsi="Arial" w:cs="Arial"/>
          <w:lang w:val="eu-ES"/>
        </w:rPr>
        <w:t xml:space="preserve"> araberako eraginari buruzko txostena, Nekazaritzako </w:t>
      </w:r>
    </w:p>
    <w:p w14:paraId="40B9A8E4" w14:textId="77777777" w:rsidR="005301E1" w:rsidRPr="005301E1" w:rsidRDefault="00260A71" w:rsidP="005301E1">
      <w:pPr>
        <w:jc w:val="both"/>
        <w:rPr>
          <w:rFonts w:ascii="Arial" w:hAnsi="Arial" w:cs="Arial"/>
        </w:rPr>
      </w:pPr>
      <w:r>
        <w:rPr>
          <w:rFonts w:ascii="Arial" w:eastAsia="Arial" w:hAnsi="Arial" w:cs="Arial"/>
          <w:lang w:val="eu-ES"/>
        </w:rPr>
        <w:t>Idazkaritza Teknikoko teknikariek 2025eko maiatzaren 22an egina.</w:t>
      </w:r>
    </w:p>
    <w:p w14:paraId="2D910C12" w14:textId="77777777" w:rsidR="005301E1" w:rsidRPr="005301E1" w:rsidRDefault="00260A71" w:rsidP="005301E1">
      <w:pPr>
        <w:jc w:val="both"/>
        <w:rPr>
          <w:rFonts w:ascii="Arial" w:hAnsi="Arial" w:cs="Arial"/>
        </w:rPr>
      </w:pPr>
      <w:r>
        <w:rPr>
          <w:rFonts w:ascii="Arial" w:eastAsia="Arial" w:hAnsi="Arial" w:cs="Arial"/>
          <w:lang w:val="eu-ES"/>
        </w:rPr>
        <w:t>5.   Berdintasun Zerbitzuak 2025eko maiatzaren 22an genero inpaktuaren ebaluazioa egiaztatzeko eskaerari egindako oharrak.</w:t>
      </w:r>
    </w:p>
    <w:p w14:paraId="3088CED4" w14:textId="77777777" w:rsidR="005301E1" w:rsidRPr="005301E1" w:rsidRDefault="00260A71" w:rsidP="005301E1">
      <w:pPr>
        <w:jc w:val="both"/>
        <w:rPr>
          <w:rFonts w:ascii="Arial" w:hAnsi="Arial" w:cs="Arial"/>
        </w:rPr>
      </w:pPr>
      <w:r>
        <w:rPr>
          <w:rFonts w:ascii="Arial" w:eastAsia="Arial" w:hAnsi="Arial" w:cs="Arial"/>
          <w:lang w:val="eu-ES"/>
        </w:rPr>
        <w:t>6.   Entzunaldi eta jendaurreko informazio izapidearen emaitzei buruzko txostena.</w:t>
      </w:r>
    </w:p>
    <w:p w14:paraId="0B736F04" w14:textId="77777777" w:rsidR="005301E1" w:rsidRDefault="00260A71" w:rsidP="005301E1">
      <w:pPr>
        <w:jc w:val="both"/>
        <w:rPr>
          <w:rFonts w:ascii="Arial" w:eastAsia="Arial" w:hAnsi="Arial" w:cs="Arial"/>
          <w:lang w:val="eu-ES"/>
        </w:rPr>
      </w:pPr>
      <w:r>
        <w:rPr>
          <w:rFonts w:ascii="Arial" w:eastAsia="Arial" w:hAnsi="Arial" w:cs="Arial"/>
          <w:lang w:val="eu-ES"/>
        </w:rPr>
        <w:t>7.   Arauen eraginari buruzko txostena, Nekazaritzako Idazkaritza Teknikoko teknikariek 2025eko ekainaren 9an egina.</w:t>
      </w:r>
    </w:p>
    <w:p w14:paraId="278E347D" w14:textId="77777777" w:rsidR="001C18D9" w:rsidRPr="005301E1" w:rsidRDefault="001C18D9" w:rsidP="005301E1">
      <w:pPr>
        <w:jc w:val="both"/>
        <w:rPr>
          <w:rFonts w:ascii="Arial" w:hAnsi="Arial" w:cs="Arial"/>
        </w:rPr>
      </w:pPr>
    </w:p>
    <w:p w14:paraId="66769151" w14:textId="77777777" w:rsidR="005301E1" w:rsidRPr="005301E1" w:rsidRDefault="00260A71" w:rsidP="005301E1">
      <w:pPr>
        <w:jc w:val="both"/>
        <w:rPr>
          <w:rFonts w:ascii="Arial" w:hAnsi="Arial" w:cs="Arial"/>
        </w:rPr>
      </w:pPr>
      <w:r>
        <w:rPr>
          <w:rFonts w:ascii="Arial" w:eastAsia="Arial" w:hAnsi="Arial" w:cs="Arial"/>
          <w:lang w:val="eu-ES"/>
        </w:rPr>
        <w:lastRenderedPageBreak/>
        <w:t>8.   Foru agindu proiektua, 2025-2026 denboraldian Arabako Lurralde Historikoan ehizan jarduteko araudi espezifikoa ezartzen duena.</w:t>
      </w:r>
    </w:p>
    <w:p w14:paraId="6DB1B859" w14:textId="77777777" w:rsidR="005301E1" w:rsidRPr="005301E1" w:rsidRDefault="00260A71" w:rsidP="005301E1">
      <w:pPr>
        <w:jc w:val="both"/>
        <w:rPr>
          <w:rFonts w:ascii="Arial" w:hAnsi="Arial" w:cs="Arial"/>
        </w:rPr>
      </w:pPr>
      <w:r>
        <w:rPr>
          <w:rFonts w:ascii="Arial" w:eastAsia="Arial" w:hAnsi="Arial" w:cs="Arial"/>
          <w:lang w:val="eu-ES"/>
        </w:rPr>
        <w:t>9.   Kontsulta urgentea dela dioen adierazpena, Aholku Batzordeari aurkeztua, 2025eko maiatzaren 30ekoa.</w:t>
      </w:r>
    </w:p>
    <w:p w14:paraId="55FA2C10" w14:textId="77777777" w:rsidR="005301E1" w:rsidRPr="005301E1" w:rsidRDefault="005301E1" w:rsidP="005301E1">
      <w:pPr>
        <w:jc w:val="both"/>
        <w:rPr>
          <w:rFonts w:ascii="Arial" w:hAnsi="Arial" w:cs="Arial"/>
        </w:rPr>
      </w:pPr>
    </w:p>
    <w:p w14:paraId="797933DB" w14:textId="77777777" w:rsidR="005301E1" w:rsidRPr="005301E1" w:rsidRDefault="00260A71" w:rsidP="005301E1">
      <w:pPr>
        <w:jc w:val="both"/>
        <w:rPr>
          <w:rFonts w:ascii="Arial" w:hAnsi="Arial" w:cs="Arial"/>
          <w:b/>
          <w:bCs/>
        </w:rPr>
      </w:pPr>
      <w:r>
        <w:rPr>
          <w:rFonts w:ascii="Arial" w:eastAsia="Arial" w:hAnsi="Arial" w:cs="Arial"/>
          <w:b/>
          <w:bCs/>
          <w:lang w:val="eu-ES"/>
        </w:rPr>
        <w:t>II. OHAR JURIDIKOAK</w:t>
      </w:r>
    </w:p>
    <w:p w14:paraId="39C754CA" w14:textId="77777777" w:rsidR="005301E1" w:rsidRPr="005301E1" w:rsidRDefault="00260A71" w:rsidP="005301E1">
      <w:pPr>
        <w:jc w:val="both"/>
        <w:rPr>
          <w:rFonts w:ascii="Arial" w:hAnsi="Arial" w:cs="Arial"/>
        </w:rPr>
      </w:pPr>
      <w:r>
        <w:rPr>
          <w:rFonts w:ascii="Arial" w:eastAsia="Arial" w:hAnsi="Arial" w:cs="Arial"/>
          <w:b/>
          <w:bCs/>
          <w:lang w:val="eu-ES"/>
        </w:rPr>
        <w:t>LEHENENGOA.-</w:t>
      </w:r>
      <w:r>
        <w:rPr>
          <w:rFonts w:ascii="Arial" w:eastAsia="Arial" w:hAnsi="Arial" w:cs="Arial"/>
          <w:lang w:val="eu-ES"/>
        </w:rPr>
        <w:t xml:space="preserve"> Aholku Batzordearen eskumena.</w:t>
      </w:r>
    </w:p>
    <w:p w14:paraId="2F0CA984" w14:textId="77777777" w:rsidR="005301E1" w:rsidRPr="005301E1" w:rsidRDefault="00260A71" w:rsidP="005301E1">
      <w:pPr>
        <w:jc w:val="both"/>
        <w:rPr>
          <w:rFonts w:ascii="Arial" w:hAnsi="Arial" w:cs="Arial"/>
        </w:rPr>
      </w:pPr>
      <w:r>
        <w:rPr>
          <w:rFonts w:ascii="Arial" w:eastAsia="Arial" w:hAnsi="Arial" w:cs="Arial"/>
          <w:lang w:val="eu-ES"/>
        </w:rPr>
        <w:t>Aholku Batzordeak irizpen hau emateko duen eskumena Foru Gobernu Kontseiluaren martxoaren 30eko 40/1999 Foru Dekretuaren bidez onetsitako Erregelamendu Organikoaren 3.1.b) artikulutik dator; izan ere, batzorde horren nahitaezko irizpen ez loteslearen mende jartzen ditu «lurralde historikoaren eskumen esklusiboko edo arauak garatzeko gaiak arautzen dituzten foru arauak edo Euskal Autonomia Erkidegoko legeak betearazteko ematen diren erregelamenduzko xedapenen proiektuak, horien erregelamendu bidezko garapena lurralde historikoari dagokion gaietan».</w:t>
      </w:r>
    </w:p>
    <w:p w14:paraId="13D00885" w14:textId="77777777" w:rsidR="005301E1" w:rsidRPr="005301E1" w:rsidRDefault="00260A71" w:rsidP="005301E1">
      <w:pPr>
        <w:jc w:val="both"/>
        <w:rPr>
          <w:rFonts w:ascii="Arial" w:hAnsi="Arial" w:cs="Arial"/>
        </w:rPr>
      </w:pPr>
      <w:r>
        <w:rPr>
          <w:rFonts w:ascii="Arial" w:eastAsia="Arial" w:hAnsi="Arial" w:cs="Arial"/>
          <w:lang w:val="eu-ES"/>
        </w:rPr>
        <w:t>Bestalde, Erregelamendu Organiko honen 20. artikuluak 15 eguneko epea ezartzen du kontsulta-organo honek irizpena eman dezan kontsulta presaz egiten denean. Nolanahi ere, urgentzia diputatu nagusiak aztertu beharko du, kontsulta egin duen organoak horretarako egiten duen proposamen arrazoitua ikusita. Xede horrekin, Diputatu Nagusiak idazkia bidali du 2025eko maiatzaren 30ean, eta Aholku Batzorde horren aurrean egindako kontsulta premiazkoa dela ezartzeko.</w:t>
      </w:r>
    </w:p>
    <w:p w14:paraId="2EE38872" w14:textId="77777777" w:rsidR="005301E1" w:rsidRPr="005301E1" w:rsidRDefault="005301E1" w:rsidP="005301E1">
      <w:pPr>
        <w:jc w:val="both"/>
        <w:rPr>
          <w:rFonts w:ascii="Arial" w:hAnsi="Arial" w:cs="Arial"/>
        </w:rPr>
      </w:pPr>
    </w:p>
    <w:p w14:paraId="69F644BE" w14:textId="77777777" w:rsidR="005301E1" w:rsidRDefault="00260A71" w:rsidP="005301E1">
      <w:pPr>
        <w:jc w:val="both"/>
        <w:rPr>
          <w:rFonts w:ascii="Arial" w:hAnsi="Arial" w:cs="Arial"/>
        </w:rPr>
      </w:pPr>
      <w:r>
        <w:rPr>
          <w:rFonts w:ascii="Arial" w:eastAsia="Arial" w:hAnsi="Arial" w:cs="Arial"/>
          <w:b/>
          <w:bCs/>
          <w:lang w:val="eu-ES"/>
        </w:rPr>
        <w:t>BIGARRENA.-</w:t>
      </w:r>
      <w:r>
        <w:rPr>
          <w:rFonts w:ascii="Arial" w:eastAsia="Arial" w:hAnsi="Arial" w:cs="Arial"/>
          <w:lang w:val="eu-ES"/>
        </w:rPr>
        <w:t xml:space="preserve"> Proiektuan dagoen arauaren alderdi formalak. </w:t>
      </w:r>
    </w:p>
    <w:p w14:paraId="27B82A3B" w14:textId="77777777" w:rsidR="005301E1" w:rsidRPr="005301E1" w:rsidRDefault="00260A71" w:rsidP="005301E1">
      <w:pPr>
        <w:jc w:val="both"/>
        <w:rPr>
          <w:rFonts w:ascii="Arial" w:hAnsi="Arial" w:cs="Arial"/>
        </w:rPr>
      </w:pPr>
      <w:r>
        <w:rPr>
          <w:rFonts w:ascii="Arial" w:eastAsia="Arial" w:hAnsi="Arial" w:cs="Arial"/>
          <w:lang w:val="eu-ES"/>
        </w:rPr>
        <w:t>a) Eskumena.</w:t>
      </w:r>
    </w:p>
    <w:p w14:paraId="5F38E0EA" w14:textId="77777777" w:rsidR="005301E1" w:rsidRPr="005301E1" w:rsidRDefault="00260A71" w:rsidP="005301E1">
      <w:pPr>
        <w:jc w:val="both"/>
        <w:rPr>
          <w:rFonts w:ascii="Arial" w:hAnsi="Arial" w:cs="Arial"/>
        </w:rPr>
      </w:pPr>
      <w:r>
        <w:rPr>
          <w:rFonts w:ascii="Arial" w:eastAsia="Arial" w:hAnsi="Arial" w:cs="Arial"/>
          <w:lang w:val="eu-ES"/>
        </w:rPr>
        <w:t>Arabako Foru Aldundiaren gobernuari, antolaketari eta araubide juridikoari buruzko martxoaren 15eko 10/2023 Foru Arauaren 24.11 artikuluak foru diputatuei esleitzen die “beren saileko gai propioetan ahalmen arautzailea baliatzea, indarrean dagoen legediak berariaz horretarako gaitu duen kasuetan”.</w:t>
      </w:r>
    </w:p>
    <w:p w14:paraId="241955CA" w14:textId="77777777" w:rsidR="005301E1" w:rsidRPr="005301E1" w:rsidRDefault="00260A71" w:rsidP="005301E1">
      <w:pPr>
        <w:jc w:val="both"/>
        <w:rPr>
          <w:rFonts w:ascii="Arial" w:hAnsi="Arial" w:cs="Arial"/>
        </w:rPr>
      </w:pPr>
      <w:r>
        <w:rPr>
          <w:rFonts w:ascii="Arial" w:eastAsia="Arial" w:hAnsi="Arial" w:cs="Arial"/>
          <w:lang w:val="eu-ES"/>
        </w:rPr>
        <w:t>Zehatzago esanda, ekainaren 14ko 8/2004 Foru Arauak, Arabako Lurralde Historikoko Ehizari buruzkoak, 32. artikuluan, honako hau xedatzen du:</w:t>
      </w:r>
    </w:p>
    <w:p w14:paraId="7AFCE59E" w14:textId="77777777" w:rsidR="005301E1" w:rsidRPr="005301E1" w:rsidRDefault="00260A71" w:rsidP="005301E1">
      <w:pPr>
        <w:jc w:val="both"/>
        <w:rPr>
          <w:rFonts w:ascii="Arial" w:hAnsi="Arial" w:cs="Arial"/>
        </w:rPr>
      </w:pPr>
      <w:r>
        <w:rPr>
          <w:rFonts w:ascii="Arial" w:eastAsia="Arial" w:hAnsi="Arial" w:cs="Arial"/>
          <w:lang w:val="eu-ES"/>
        </w:rPr>
        <w:t>“Foru Aldundiko sail eskudunak, Ehizaren Lurralde Kontseiluari entzun ondoren, lurralde historikoan ehizan aritzea arautzen duen Ehizaren Urteko Foru Agindua onetsiko du urtero. Agindu horretan, gutxienez, honako hauek zehaztuko dira: ehiza intereseko espezie merkaturagarriak, araudiak, ehiza garaiak, egunak eta orduak, espezie bakoitzari eremu desberdinetan aplika dakizkiokeenak, modalitateak eta baimendutako harrapaketak adierazita”.</w:t>
      </w:r>
    </w:p>
    <w:p w14:paraId="5301EA4A" w14:textId="77777777" w:rsidR="005301E1" w:rsidRDefault="005301E1" w:rsidP="005301E1">
      <w:pPr>
        <w:jc w:val="both"/>
        <w:rPr>
          <w:rFonts w:ascii="Arial" w:hAnsi="Arial" w:cs="Arial"/>
        </w:rPr>
      </w:pPr>
    </w:p>
    <w:p w14:paraId="184605CF" w14:textId="77777777" w:rsidR="001C18D9" w:rsidRPr="005301E1" w:rsidRDefault="001C18D9" w:rsidP="005301E1">
      <w:pPr>
        <w:jc w:val="both"/>
        <w:rPr>
          <w:rFonts w:ascii="Arial" w:hAnsi="Arial" w:cs="Arial"/>
        </w:rPr>
      </w:pPr>
    </w:p>
    <w:p w14:paraId="0B85F785" w14:textId="315C70A9" w:rsidR="005301E1" w:rsidRPr="005301E1" w:rsidRDefault="00260A71" w:rsidP="005301E1">
      <w:pPr>
        <w:jc w:val="both"/>
        <w:rPr>
          <w:rFonts w:ascii="Arial" w:hAnsi="Arial" w:cs="Arial"/>
        </w:rPr>
      </w:pPr>
      <w:r>
        <w:rPr>
          <w:rFonts w:ascii="Arial" w:eastAsia="Arial" w:hAnsi="Arial" w:cs="Arial"/>
          <w:lang w:val="eu-ES"/>
        </w:rPr>
        <w:lastRenderedPageBreak/>
        <w:t>b) Xedapen orokorrak egiteko prozedurak.</w:t>
      </w:r>
    </w:p>
    <w:p w14:paraId="2D756C9A" w14:textId="77777777" w:rsidR="005301E1" w:rsidRPr="005301E1" w:rsidRDefault="00260A71" w:rsidP="005301E1">
      <w:pPr>
        <w:jc w:val="both"/>
        <w:rPr>
          <w:rFonts w:ascii="Arial" w:hAnsi="Arial" w:cs="Arial"/>
        </w:rPr>
      </w:pPr>
      <w:r>
        <w:rPr>
          <w:rFonts w:ascii="Arial" w:eastAsia="Arial" w:hAnsi="Arial" w:cs="Arial"/>
          <w:lang w:val="eu-ES"/>
        </w:rPr>
        <w:t>1. Aplikatu beharreko arautegia.</w:t>
      </w:r>
    </w:p>
    <w:p w14:paraId="0CD42E22" w14:textId="77777777" w:rsidR="005301E1" w:rsidRPr="005301E1" w:rsidRDefault="00260A71" w:rsidP="005301E1">
      <w:pPr>
        <w:jc w:val="both"/>
        <w:rPr>
          <w:rFonts w:ascii="Arial" w:hAnsi="Arial" w:cs="Arial"/>
        </w:rPr>
      </w:pPr>
      <w:r>
        <w:rPr>
          <w:rFonts w:ascii="Arial" w:eastAsia="Arial" w:hAnsi="Arial" w:cs="Arial"/>
          <w:lang w:val="eu-ES"/>
        </w:rPr>
        <w:t>Foru Gobernu Kontseiluaren otsailaren 28ko 6/2023 Foru Dekretuak Arabako Foru Aldundiaren xedapen orokorrak egiteko prozedurak onesten ditu (2023ko martxoaren 8ko ALHAO, 28 zenbakia). Azken xedapenak dio ALHAOn argitaratu eta hurrengo egunean sartuko dela indarrean.</w:t>
      </w:r>
    </w:p>
    <w:p w14:paraId="42FA8E31" w14:textId="77777777" w:rsidR="005301E1" w:rsidRDefault="00260A71" w:rsidP="005301E1">
      <w:pPr>
        <w:jc w:val="both"/>
        <w:rPr>
          <w:rFonts w:ascii="Arial" w:eastAsia="Arial" w:hAnsi="Arial" w:cs="Arial"/>
          <w:lang w:val="eu-ES"/>
        </w:rPr>
      </w:pPr>
      <w:r>
        <w:rPr>
          <w:rFonts w:ascii="Arial" w:eastAsia="Arial" w:hAnsi="Arial" w:cs="Arial"/>
          <w:lang w:val="eu-ES"/>
        </w:rPr>
        <w:t>Irizpenerako aurkeztu den proiektua egiteko prozedura Nekazaritzako diputatuaren maiatzaren 12ko 117/2025 Foru Aginduaren bidez hasi zen, eta, beraz, aipatutako foru dekretua aplikatuko zaio, azken xedapenarekin bat etorriz.</w:t>
      </w:r>
    </w:p>
    <w:p w14:paraId="55B7CC59" w14:textId="77777777" w:rsidR="001C18D9" w:rsidRPr="005301E1" w:rsidRDefault="001C18D9" w:rsidP="005301E1">
      <w:pPr>
        <w:jc w:val="both"/>
        <w:rPr>
          <w:rFonts w:ascii="Arial" w:hAnsi="Arial" w:cs="Arial"/>
        </w:rPr>
      </w:pPr>
    </w:p>
    <w:p w14:paraId="212DBE5A" w14:textId="77777777" w:rsidR="005301E1" w:rsidRPr="005301E1" w:rsidRDefault="00260A71" w:rsidP="005301E1">
      <w:pPr>
        <w:jc w:val="both"/>
        <w:rPr>
          <w:rFonts w:ascii="Arial" w:hAnsi="Arial" w:cs="Arial"/>
        </w:rPr>
      </w:pPr>
      <w:r>
        <w:rPr>
          <w:rFonts w:ascii="Arial" w:eastAsia="Arial" w:hAnsi="Arial" w:cs="Arial"/>
          <w:lang w:val="eu-ES"/>
        </w:rPr>
        <w:t>2. Urteko araugintza plana.</w:t>
      </w:r>
    </w:p>
    <w:p w14:paraId="6C6B1632" w14:textId="77777777" w:rsidR="005301E1" w:rsidRPr="005301E1" w:rsidRDefault="00260A71" w:rsidP="005301E1">
      <w:pPr>
        <w:jc w:val="both"/>
        <w:rPr>
          <w:rFonts w:ascii="Arial" w:hAnsi="Arial" w:cs="Arial"/>
        </w:rPr>
      </w:pPr>
      <w:r>
        <w:rPr>
          <w:rFonts w:ascii="Arial" w:eastAsia="Arial" w:hAnsi="Arial" w:cs="Arial"/>
          <w:lang w:val="eu-ES"/>
        </w:rPr>
        <w:t xml:space="preserve">6/2023 Foru Dekretuaren 4. artikuluak hauxe ezartzen du: urte bakoitzeko azken hiruhilekoan, Arabako Foru Aldundiak urteko araugintza plan bat onartuko du, eta, bertan, hurrengo urteko ekitaldian onartzeko proposatu asmo dituen araugintzako ekimenak jasoko dira. Organo eskudunak Urteko Araugintza Planean agertzen ez den arau proposamen bat sustatzen badu, xedapena egiteko prozedurari hasiera emateko ebazpenean justifikatu beharko da erregulazio horren premia edo beharra. </w:t>
      </w:r>
    </w:p>
    <w:p w14:paraId="633F68BC" w14:textId="77777777" w:rsidR="005301E1" w:rsidRPr="005301E1" w:rsidRDefault="00260A71" w:rsidP="005301E1">
      <w:pPr>
        <w:jc w:val="both"/>
        <w:rPr>
          <w:rFonts w:ascii="Arial" w:hAnsi="Arial" w:cs="Arial"/>
        </w:rPr>
      </w:pPr>
      <w:r>
        <w:rPr>
          <w:rFonts w:ascii="Arial" w:eastAsia="Arial" w:hAnsi="Arial" w:cs="Arial"/>
          <w:lang w:val="eu-ES"/>
        </w:rPr>
        <w:t>Foru Gobernu Kontseiluaren abenduaren 23ko 795/2024 Erabakiaren bidez onetsitako 2025eko Urteko Arau Plana berrikusi ondoren, egiaztatu da arau ekimen hau ez dagoela plan horretan aurreikusita, baina maiatzaren 12ko 117/2025 Foru Aginduaren azalpen zatiak kontrakoa adierazten du.</w:t>
      </w:r>
    </w:p>
    <w:p w14:paraId="12A1D5C8" w14:textId="77777777" w:rsidR="005301E1" w:rsidRPr="005301E1" w:rsidRDefault="00260A71" w:rsidP="005301E1">
      <w:pPr>
        <w:jc w:val="both"/>
        <w:rPr>
          <w:rFonts w:ascii="Arial" w:hAnsi="Arial" w:cs="Arial"/>
        </w:rPr>
      </w:pPr>
      <w:r>
        <w:rPr>
          <w:rFonts w:ascii="Arial" w:eastAsia="Arial" w:hAnsi="Arial" w:cs="Arial"/>
          <w:lang w:val="eu-ES"/>
        </w:rPr>
        <w:t>Urteko Araugintza Planean sartu ez denez, ez da justifikatzen arau horren premia edo presa izaera orokorreko xedapen hori egiteko prozedura abiarazten duen ebazpenean.</w:t>
      </w:r>
    </w:p>
    <w:p w14:paraId="65931932" w14:textId="77777777" w:rsidR="005301E1" w:rsidRPr="005301E1" w:rsidRDefault="00260A71" w:rsidP="005301E1">
      <w:pPr>
        <w:jc w:val="both"/>
        <w:rPr>
          <w:rFonts w:ascii="Arial" w:hAnsi="Arial" w:cs="Arial"/>
        </w:rPr>
      </w:pPr>
      <w:r>
        <w:rPr>
          <w:rFonts w:ascii="Arial" w:eastAsia="Arial" w:hAnsi="Arial" w:cs="Arial"/>
          <w:lang w:val="eu-ES"/>
        </w:rPr>
        <w:t>Ondorioz, onestea proposatzen den araudia Urteko Arau Planean sartu ez izanak (maiatzaren 12ko 117/2025 Foru Aginduan kontrakoa adierazi arren) eta hura onesteko prozedurari hasiera eman dion ebazpenak ez justifikatzeak hura onartzeko beharra eta presa justifikatzen ez izateak berekin dakar 6/2023 Foru Dekretuaren 4. artikuluan xedatutakoa ez betetzea.</w:t>
      </w:r>
    </w:p>
    <w:p w14:paraId="573A6E33" w14:textId="77777777" w:rsidR="005301E1" w:rsidRDefault="005301E1" w:rsidP="005301E1">
      <w:pPr>
        <w:jc w:val="both"/>
        <w:rPr>
          <w:rFonts w:ascii="Arial" w:hAnsi="Arial" w:cs="Arial"/>
        </w:rPr>
      </w:pPr>
    </w:p>
    <w:p w14:paraId="7B930949" w14:textId="77777777" w:rsidR="005301E1" w:rsidRPr="005301E1" w:rsidRDefault="00260A71" w:rsidP="005301E1">
      <w:pPr>
        <w:jc w:val="both"/>
        <w:rPr>
          <w:rFonts w:ascii="Arial" w:hAnsi="Arial" w:cs="Arial"/>
        </w:rPr>
      </w:pPr>
      <w:r>
        <w:rPr>
          <w:rFonts w:ascii="Arial" w:eastAsia="Arial" w:hAnsi="Arial" w:cs="Arial"/>
          <w:lang w:val="eu-ES"/>
        </w:rPr>
        <w:t>3. Arautze egokiaren printzipioak.</w:t>
      </w:r>
    </w:p>
    <w:p w14:paraId="52D83353" w14:textId="77777777" w:rsidR="005301E1" w:rsidRPr="005301E1" w:rsidRDefault="005301E1" w:rsidP="005301E1">
      <w:pPr>
        <w:jc w:val="both"/>
        <w:rPr>
          <w:rFonts w:ascii="Arial" w:hAnsi="Arial" w:cs="Arial"/>
        </w:rPr>
      </w:pPr>
    </w:p>
    <w:p w14:paraId="4B35D018" w14:textId="77777777" w:rsidR="005301E1" w:rsidRPr="005301E1" w:rsidRDefault="00260A71" w:rsidP="005301E1">
      <w:pPr>
        <w:jc w:val="both"/>
        <w:rPr>
          <w:rFonts w:ascii="Arial" w:hAnsi="Arial" w:cs="Arial"/>
        </w:rPr>
      </w:pPr>
      <w:r>
        <w:rPr>
          <w:rFonts w:ascii="Arial" w:eastAsia="Arial" w:hAnsi="Arial" w:cs="Arial"/>
          <w:lang w:val="eu-ES"/>
        </w:rPr>
        <w:t>Proiektuaren hitzaurreak justifikatzen du bat datorrela Administrazio Publikoen Administrazio Prozedura Erkidearen urriaren 1eko 39/2015 Legearen 129. artikuluan araututako erregulazio onaren printzipioekin, baita Arabako Foru Aldundiaren xedapen orokorrak egiteko prozedura onesten duen Foru Gobernu Kontseiluaren otsailaren 28ko 23ko 6/2023 Foru Dekretuaren 3. artikuluan arautzen direnekin ere.</w:t>
      </w:r>
    </w:p>
    <w:p w14:paraId="6A7CF37F" w14:textId="77777777" w:rsidR="005301E1" w:rsidRPr="005301E1" w:rsidRDefault="00260A71" w:rsidP="005301E1">
      <w:pPr>
        <w:jc w:val="both"/>
        <w:rPr>
          <w:rFonts w:ascii="Arial" w:hAnsi="Arial" w:cs="Arial"/>
        </w:rPr>
      </w:pPr>
      <w:r>
        <w:rPr>
          <w:rFonts w:ascii="Arial" w:eastAsia="Arial" w:hAnsi="Arial" w:cs="Arial"/>
          <w:lang w:val="eu-ES"/>
        </w:rPr>
        <w:lastRenderedPageBreak/>
        <w:t>42/2007 Legeak, natura ondareari eta biodibertsitateari buruzkoak, oinarrizkoa 1. artikuluaren eta azken xedapenetatik bigarrenaren arabera, 65.2 artikuluan ezarri zuenez,</w:t>
      </w:r>
    </w:p>
    <w:p w14:paraId="5696339D" w14:textId="77777777" w:rsidR="005301E1" w:rsidRPr="005301E1" w:rsidRDefault="005301E1" w:rsidP="005301E1">
      <w:pPr>
        <w:jc w:val="both"/>
        <w:rPr>
          <w:rFonts w:ascii="Arial" w:hAnsi="Arial" w:cs="Arial"/>
        </w:rPr>
      </w:pPr>
    </w:p>
    <w:p w14:paraId="5B46FE20" w14:textId="77777777" w:rsidR="005301E1" w:rsidRPr="005301E1" w:rsidRDefault="00260A71" w:rsidP="005301E1">
      <w:pPr>
        <w:jc w:val="both"/>
        <w:rPr>
          <w:rFonts w:ascii="Arial" w:hAnsi="Arial" w:cs="Arial"/>
        </w:rPr>
      </w:pPr>
      <w:r>
        <w:rPr>
          <w:rFonts w:ascii="Arial" w:eastAsia="Arial" w:hAnsi="Arial" w:cs="Arial"/>
          <w:lang w:val="eu-ES"/>
        </w:rPr>
        <w:t>“…ehiza eta arrantza kontinentala arautzean, bermatu egingo da jarduera horietarako baimenduta dauden espezieak kontserbatzea eta sustatzea; xede horietarako, autonomia erkidegoek zehaztu egingo dute zein lursail eta uretan ehizatu eta arrantzatu ahal izango den eta zein egunetan izango den haizu espezie bakoitzarentzat”.</w:t>
      </w:r>
    </w:p>
    <w:p w14:paraId="4D9007A3" w14:textId="77777777" w:rsidR="005301E1" w:rsidRPr="005301E1" w:rsidRDefault="005301E1" w:rsidP="005301E1">
      <w:pPr>
        <w:jc w:val="both"/>
        <w:rPr>
          <w:rFonts w:ascii="Arial" w:hAnsi="Arial" w:cs="Arial"/>
        </w:rPr>
      </w:pPr>
    </w:p>
    <w:p w14:paraId="2981D547" w14:textId="77777777" w:rsidR="005301E1" w:rsidRPr="005301E1" w:rsidRDefault="00260A71" w:rsidP="005301E1">
      <w:pPr>
        <w:jc w:val="both"/>
        <w:rPr>
          <w:rFonts w:ascii="Arial" w:hAnsi="Arial" w:cs="Arial"/>
        </w:rPr>
      </w:pPr>
      <w:r>
        <w:rPr>
          <w:rFonts w:ascii="Arial" w:eastAsia="Arial" w:hAnsi="Arial" w:cs="Arial"/>
          <w:lang w:val="eu-ES"/>
        </w:rPr>
        <w:t>Ildo beretik, Euskadiko Autonomia Erkidegoaren eremuaren barruko ehiza jarduerari dagokionez, Ehizari buruzko 2/2011 Legearen 31. artikuluan, urteko foru aginduak honako hau jaso beharko du: “Aginduan zehazten den ehiza espezie bakoitzaren berariazko araudia, betiere populazioen bideragarritasuna eta kasuan kasuko foru lurraldean bizirik irautea bermatuko duena.”</w:t>
      </w:r>
    </w:p>
    <w:p w14:paraId="74DFCF32" w14:textId="77777777" w:rsidR="00BB0A01" w:rsidRDefault="00BB0A01" w:rsidP="005301E1">
      <w:pPr>
        <w:jc w:val="both"/>
        <w:rPr>
          <w:rFonts w:ascii="Arial" w:hAnsi="Arial" w:cs="Arial"/>
        </w:rPr>
      </w:pPr>
    </w:p>
    <w:p w14:paraId="491C992A" w14:textId="77777777" w:rsidR="005301E1" w:rsidRPr="005301E1" w:rsidRDefault="00260A71" w:rsidP="005301E1">
      <w:pPr>
        <w:jc w:val="both"/>
        <w:rPr>
          <w:rFonts w:ascii="Arial" w:hAnsi="Arial" w:cs="Arial"/>
        </w:rPr>
      </w:pPr>
      <w:r>
        <w:rPr>
          <w:rFonts w:ascii="Arial" w:eastAsia="Arial" w:hAnsi="Arial" w:cs="Arial"/>
          <w:lang w:val="eu-ES"/>
        </w:rPr>
        <w:t>Alderdi jakin horren harira, aztertutako Foru Aginduaren hitzaurrean adierazten denaren arabera, hori prestatzeko orduan, “egiaztatutako erreferentzia bat egon da, Arabako Lurralde Historikoan baimendutako ehiza aldiak ezartzeko, Funtsezko Kontzeptuen Dokumentuarekin (KCD). Europar Batasuneko ehiza hegaztien ugaltze eta eztei aurreko migrazio garaiei buruzko dokumentu honen edukia kontuan izan da araudi hau prestatzeko orduan.”</w:t>
      </w:r>
    </w:p>
    <w:p w14:paraId="3527B970" w14:textId="77777777" w:rsidR="000E3E5B" w:rsidRDefault="000E3E5B" w:rsidP="005301E1">
      <w:pPr>
        <w:jc w:val="both"/>
        <w:rPr>
          <w:rFonts w:ascii="Arial" w:hAnsi="Arial" w:cs="Arial"/>
        </w:rPr>
      </w:pPr>
    </w:p>
    <w:p w14:paraId="74989AFE" w14:textId="26736CF5" w:rsidR="005301E1" w:rsidRPr="005301E1" w:rsidRDefault="00260A71" w:rsidP="005301E1">
      <w:pPr>
        <w:jc w:val="both"/>
        <w:rPr>
          <w:rFonts w:ascii="Arial" w:hAnsi="Arial" w:cs="Arial"/>
        </w:rPr>
      </w:pPr>
      <w:r>
        <w:rPr>
          <w:rFonts w:ascii="Arial" w:eastAsia="Arial" w:hAnsi="Arial" w:cs="Arial"/>
          <w:lang w:val="eu-ES"/>
        </w:rPr>
        <w:t>4. Prozedura presaz izapidetzea.</w:t>
      </w:r>
    </w:p>
    <w:p w14:paraId="1D7EF0F2" w14:textId="21006814" w:rsidR="005301E1" w:rsidRPr="005301E1" w:rsidRDefault="00260A71" w:rsidP="005301E1">
      <w:pPr>
        <w:jc w:val="both"/>
        <w:rPr>
          <w:rFonts w:ascii="Arial" w:hAnsi="Arial" w:cs="Arial"/>
        </w:rPr>
      </w:pPr>
      <w:r>
        <w:rPr>
          <w:rFonts w:ascii="Arial" w:eastAsia="Arial" w:hAnsi="Arial" w:cs="Arial"/>
          <w:lang w:val="eu-ES"/>
        </w:rPr>
        <w:t>6/2023 Foru Dekretuaren 22.1 artikuluaren arabera, “interes publikoko arrazoi larriak edo aparteko inguruabarrak direla eta, aurrez aurreikusi ezin izan diren arren, xedapena presaz onetsi behar denean, prozedura hasteko eskumena duen organoak presako izapidetzea deklaratu ahal izango du, dekretu honetan aurreikusitako epeak murrizteko edo egin beharreko izapideren bat salbuesteko”</w:t>
      </w:r>
      <w:r w:rsidR="000E3E5B">
        <w:rPr>
          <w:rFonts w:ascii="Arial" w:eastAsia="Arial" w:hAnsi="Arial" w:cs="Arial"/>
          <w:lang w:val="eu-ES"/>
        </w:rPr>
        <w:t>.</w:t>
      </w:r>
    </w:p>
    <w:p w14:paraId="29EE3255" w14:textId="77777777" w:rsidR="005301E1" w:rsidRPr="005301E1" w:rsidRDefault="00260A71" w:rsidP="005301E1">
      <w:pPr>
        <w:jc w:val="both"/>
        <w:rPr>
          <w:rFonts w:ascii="Arial" w:hAnsi="Arial" w:cs="Arial"/>
        </w:rPr>
      </w:pPr>
      <w:r>
        <w:rPr>
          <w:rFonts w:ascii="Arial" w:eastAsia="Arial" w:hAnsi="Arial" w:cs="Arial"/>
          <w:lang w:val="eu-ES"/>
        </w:rPr>
        <w:t>Kasu horietan, prozedura hasteko ebazpenak haren oinarri diren egitate eta oinarrien justifikazioa jasoko du, 6/2023 Foru Dekretuaren 22.2 eta 13.2.f) artikuluetan xedatutakoarekin bat etorriz.</w:t>
      </w:r>
    </w:p>
    <w:p w14:paraId="320DA61F" w14:textId="54F02D93" w:rsidR="005301E1" w:rsidRPr="005301E1" w:rsidRDefault="00260A71" w:rsidP="005301E1">
      <w:pPr>
        <w:jc w:val="both"/>
        <w:rPr>
          <w:rFonts w:ascii="Arial" w:hAnsi="Arial" w:cs="Arial"/>
        </w:rPr>
      </w:pPr>
      <w:r>
        <w:rPr>
          <w:rFonts w:ascii="Arial" w:eastAsia="Arial" w:hAnsi="Arial" w:cs="Arial"/>
          <w:lang w:val="eu-ES"/>
        </w:rPr>
        <w:t>Maiatzaren 12ko 117/2025 Foru Aginduaren xedapen-zatiaren hirugarren atalak adierazten du foru aginduaren proiektua presazko prozeduraren bidez izapidetuko dela, eta horren justifikazioa foru agindu horren lehenengo d) idatz-zatian jasotzen da</w:t>
      </w:r>
      <w:r w:rsidR="007B4BC8">
        <w:rPr>
          <w:rFonts w:ascii="Arial" w:eastAsia="Arial" w:hAnsi="Arial" w:cs="Arial"/>
          <w:lang w:val="eu-ES"/>
        </w:rPr>
        <w:t>.</w:t>
      </w:r>
    </w:p>
    <w:p w14:paraId="50AAB26D" w14:textId="77777777" w:rsidR="005301E1" w:rsidRDefault="005301E1" w:rsidP="005301E1">
      <w:pPr>
        <w:jc w:val="both"/>
        <w:rPr>
          <w:rFonts w:ascii="Arial" w:hAnsi="Arial" w:cs="Arial"/>
        </w:rPr>
      </w:pPr>
    </w:p>
    <w:p w14:paraId="063151C3" w14:textId="77777777" w:rsidR="0002224C" w:rsidRDefault="0002224C" w:rsidP="005301E1">
      <w:pPr>
        <w:jc w:val="both"/>
        <w:rPr>
          <w:rFonts w:ascii="Arial" w:hAnsi="Arial" w:cs="Arial"/>
        </w:rPr>
      </w:pPr>
    </w:p>
    <w:p w14:paraId="67938214" w14:textId="77777777" w:rsidR="0002224C" w:rsidRPr="005301E1" w:rsidRDefault="0002224C" w:rsidP="005301E1">
      <w:pPr>
        <w:jc w:val="both"/>
        <w:rPr>
          <w:rFonts w:ascii="Arial" w:hAnsi="Arial" w:cs="Arial"/>
        </w:rPr>
      </w:pPr>
    </w:p>
    <w:p w14:paraId="3F8BDE28" w14:textId="77777777" w:rsidR="005301E1" w:rsidRPr="005301E1" w:rsidRDefault="00260A71" w:rsidP="005301E1">
      <w:pPr>
        <w:jc w:val="both"/>
        <w:rPr>
          <w:rFonts w:ascii="Arial" w:hAnsi="Arial" w:cs="Arial"/>
        </w:rPr>
      </w:pPr>
      <w:r>
        <w:rPr>
          <w:rFonts w:ascii="Arial" w:eastAsia="Arial" w:hAnsi="Arial" w:cs="Arial"/>
          <w:lang w:val="eu-ES"/>
        </w:rPr>
        <w:lastRenderedPageBreak/>
        <w:t>5. Aldez aurreko kontsulta publikoa.</w:t>
      </w:r>
    </w:p>
    <w:p w14:paraId="73D68735" w14:textId="77777777" w:rsidR="005301E1" w:rsidRPr="005301E1" w:rsidRDefault="00260A71" w:rsidP="005301E1">
      <w:pPr>
        <w:jc w:val="both"/>
        <w:rPr>
          <w:rFonts w:ascii="Arial" w:hAnsi="Arial" w:cs="Arial"/>
        </w:rPr>
      </w:pPr>
      <w:r>
        <w:rPr>
          <w:rFonts w:ascii="Arial" w:eastAsia="Arial" w:hAnsi="Arial" w:cs="Arial"/>
          <w:lang w:val="eu-ES"/>
        </w:rPr>
        <w:t>Ez da egin aldez aurreko kontsulta publikoaren tramitea, ezin baita eskatu, prozedura hasteko maiatzaren 12ko 117/2025 Foru Aginduan arrazoitutakoaren arabera, 6/2023 Foru Dekretuaren 10.g) artikuluan xedatutakoarekin bat etorriz. Hala ere, ez da ikusten g) atalean jasotzen den inolako arrazoirik.</w:t>
      </w:r>
    </w:p>
    <w:p w14:paraId="080E04ED" w14:textId="77777777" w:rsidR="005301E1" w:rsidRPr="005301E1" w:rsidRDefault="00260A71" w:rsidP="005301E1">
      <w:pPr>
        <w:jc w:val="both"/>
        <w:rPr>
          <w:rFonts w:ascii="Arial" w:hAnsi="Arial" w:cs="Arial"/>
        </w:rPr>
      </w:pPr>
      <w:r>
        <w:rPr>
          <w:rFonts w:ascii="Arial" w:eastAsia="Arial" w:hAnsi="Arial" w:cs="Arial"/>
          <w:lang w:val="eu-ES"/>
        </w:rPr>
        <w:t>Hala ere, aldez aurreko kontsulta publikoaren tramitetik salbuestea espresuki jasotzen da 6/2023 Foru Dekretuaren 22.3 artikuluan presako prozeduraren bidez tramitatzen diren arau ekimenetarako.</w:t>
      </w:r>
    </w:p>
    <w:p w14:paraId="1CDFB790" w14:textId="77777777" w:rsidR="005301E1" w:rsidRPr="005301E1" w:rsidRDefault="00260A71" w:rsidP="005301E1">
      <w:pPr>
        <w:jc w:val="both"/>
        <w:rPr>
          <w:rFonts w:ascii="Arial" w:hAnsi="Arial" w:cs="Arial"/>
        </w:rPr>
      </w:pPr>
      <w:r>
        <w:rPr>
          <w:rFonts w:ascii="Arial" w:eastAsia="Arial" w:hAnsi="Arial" w:cs="Arial"/>
          <w:lang w:val="eu-ES"/>
        </w:rPr>
        <w:t>6.  Entzunaldia eta jendaurrean jartzea.</w:t>
      </w:r>
    </w:p>
    <w:p w14:paraId="4D91E362" w14:textId="77777777" w:rsidR="005301E1" w:rsidRPr="005301E1" w:rsidRDefault="00260A71" w:rsidP="005301E1">
      <w:pPr>
        <w:jc w:val="both"/>
        <w:rPr>
          <w:rFonts w:ascii="Arial" w:hAnsi="Arial" w:cs="Arial"/>
        </w:rPr>
      </w:pPr>
      <w:r>
        <w:rPr>
          <w:rFonts w:ascii="Arial" w:eastAsia="Arial" w:hAnsi="Arial" w:cs="Arial"/>
          <w:lang w:val="eu-ES"/>
        </w:rPr>
        <w:t>Nekazaritzako Idazkaritza Teknikoaren Zerbitzuak 2025eko ekainaren 9an egindako entzunaldi eta jendaurrean jartzeko izapideei emaitzei buruzko txostenean, herritarrei entzunaldia eman zaiela adierazten da, proiektuaren edukia ikus dezaten, premiazko prozedurak ezartzen duen sei egun balioduneko epean, eta Arabako Foru Aldundiaren web-orrian ere argitaratu dela, baina ez dela ekarpenik aurkeztu.</w:t>
      </w:r>
    </w:p>
    <w:p w14:paraId="70CCF8CC" w14:textId="77777777" w:rsidR="005301E1" w:rsidRPr="005301E1" w:rsidRDefault="00260A71" w:rsidP="005301E1">
      <w:pPr>
        <w:jc w:val="both"/>
        <w:rPr>
          <w:rFonts w:ascii="Arial" w:hAnsi="Arial" w:cs="Arial"/>
        </w:rPr>
      </w:pPr>
      <w:r>
        <w:rPr>
          <w:rFonts w:ascii="Arial" w:eastAsia="Arial" w:hAnsi="Arial" w:cs="Arial"/>
          <w:lang w:val="eu-ES"/>
        </w:rPr>
        <w:t>7. Nahitaezko txostenak eta izapideak.</w:t>
      </w:r>
    </w:p>
    <w:p w14:paraId="02718DEB" w14:textId="77777777" w:rsidR="005301E1" w:rsidRPr="005301E1" w:rsidRDefault="00260A71" w:rsidP="005301E1">
      <w:pPr>
        <w:jc w:val="both"/>
        <w:rPr>
          <w:rFonts w:ascii="Arial" w:hAnsi="Arial" w:cs="Arial"/>
        </w:rPr>
      </w:pPr>
      <w:r>
        <w:rPr>
          <w:rFonts w:ascii="Arial" w:eastAsia="Arial" w:hAnsi="Arial" w:cs="Arial"/>
          <w:lang w:val="eu-ES"/>
        </w:rPr>
        <w:t>Espedientean daude Nekazaritzako Idazkaritza Teknikoak 2025eko ekainaren 9an emandako arau eraginari buruzko txostena, 6/2023 Foru Dekretuaren 16. artikuluan aurreikusitakoa.</w:t>
      </w:r>
    </w:p>
    <w:p w14:paraId="595E21BF" w14:textId="77777777" w:rsidR="005301E1" w:rsidRPr="005301E1" w:rsidRDefault="00260A71" w:rsidP="005301E1">
      <w:pPr>
        <w:jc w:val="both"/>
        <w:rPr>
          <w:rFonts w:ascii="Arial" w:hAnsi="Arial" w:cs="Arial"/>
        </w:rPr>
      </w:pPr>
      <w:r>
        <w:rPr>
          <w:rFonts w:ascii="Arial" w:eastAsia="Arial" w:hAnsi="Arial" w:cs="Arial"/>
          <w:lang w:val="eu-ES"/>
        </w:rPr>
        <w:t>Era berean, jasota daude generoaren arabera eragina aldez aurretik ebaluatzeko txostena eta Berdintasun Zerbitzuaren oharrak, 6/2023 Foru Dekretuaren 8. eta 17. artikuluetan ezarritakoak.</w:t>
      </w:r>
    </w:p>
    <w:p w14:paraId="0B419122" w14:textId="77777777" w:rsidR="005301E1" w:rsidRDefault="00260A71" w:rsidP="005301E1">
      <w:pPr>
        <w:jc w:val="both"/>
        <w:rPr>
          <w:rFonts w:ascii="Arial" w:hAnsi="Arial" w:cs="Arial"/>
        </w:rPr>
      </w:pPr>
      <w:r>
        <w:rPr>
          <w:rFonts w:ascii="Arial" w:eastAsia="Arial" w:hAnsi="Arial" w:cs="Arial"/>
          <w:lang w:val="eu-ES"/>
        </w:rPr>
        <w:t>Proiektua aldez aurretik onartu baino lehen, kontsulta egin zaio Arabako Ehizaren Lurralde Kontseiluari. Kontsulta hori nahitaezkoa da «ehiza jarduerari eragiten dioten gai orokorrei dagokienez, eta, bereziki, ehizari buruzko urteko Foru Agindua egiteari dagokionez», Arabako Lurralde Historikoko Ehizari buruzko Foru Arauaren 33.1 artikuluak ezartzen duenari jarraiki. Kontzeju horren bileraren akta jasotzen da, 2025eko apirilaren 9koa dena.</w:t>
      </w:r>
    </w:p>
    <w:p w14:paraId="3B155009" w14:textId="77777777" w:rsidR="005301E1" w:rsidRPr="005301E1" w:rsidRDefault="00260A71" w:rsidP="005301E1">
      <w:pPr>
        <w:jc w:val="both"/>
        <w:rPr>
          <w:rFonts w:ascii="Arial" w:hAnsi="Arial" w:cs="Arial"/>
        </w:rPr>
      </w:pPr>
      <w:r>
        <w:rPr>
          <w:rFonts w:ascii="Arial" w:eastAsia="Arial" w:hAnsi="Arial" w:cs="Arial"/>
          <w:b/>
          <w:bCs/>
          <w:lang w:val="eu-ES"/>
        </w:rPr>
        <w:t>HIRUGARRENA.-</w:t>
      </w:r>
      <w:r>
        <w:rPr>
          <w:rFonts w:ascii="Arial" w:eastAsia="Arial" w:hAnsi="Arial" w:cs="Arial"/>
          <w:lang w:val="eu-ES"/>
        </w:rPr>
        <w:t xml:space="preserve"> Proiektuan dagoen erregelamenduzko arauak baliatzen dituen eskumen tituluak.</w:t>
      </w:r>
    </w:p>
    <w:p w14:paraId="3BAC3DB7" w14:textId="77777777" w:rsidR="005301E1" w:rsidRDefault="00260A71" w:rsidP="005301E1">
      <w:pPr>
        <w:jc w:val="both"/>
        <w:rPr>
          <w:rFonts w:ascii="Arial" w:eastAsia="Arial" w:hAnsi="Arial" w:cs="Arial"/>
          <w:lang w:val="eu-ES"/>
        </w:rPr>
      </w:pPr>
      <w:r>
        <w:rPr>
          <w:rFonts w:ascii="Arial" w:eastAsia="Arial" w:hAnsi="Arial" w:cs="Arial"/>
          <w:lang w:val="eu-ES"/>
        </w:rPr>
        <w:t>Irizpenaren xede den proiektuak, gaitzen duen Foru Arauak bezala, hau da, Arabako Lurralde Historikoko Ehizari buruzko ekainaren 14ko 8/2004 Foru Arauak bezala, Arabako Lurralde Historikoaren eskumena du «EAEko erakunde erkideetatik datozen arauak garatzeko eta betearazteko», «arrainen aberastasun kontinentala eta ehizakoa aprobetxatzeko araubidearen» arloan (Autonomia Erkidego osorako erakundeen eta bertako lurralde historikoetako foru-organoen arteko harremanei buruzko azaroaren 25eko 27/1983 Legearen 7.b] .3 artikulua).</w:t>
      </w:r>
    </w:p>
    <w:p w14:paraId="385AD241" w14:textId="77777777" w:rsidR="00293E12" w:rsidRDefault="00293E12" w:rsidP="005301E1">
      <w:pPr>
        <w:jc w:val="both"/>
        <w:rPr>
          <w:rFonts w:ascii="Arial" w:eastAsia="Arial" w:hAnsi="Arial" w:cs="Arial"/>
          <w:lang w:val="eu-ES"/>
        </w:rPr>
      </w:pPr>
    </w:p>
    <w:p w14:paraId="455584FD" w14:textId="77777777" w:rsidR="00293E12" w:rsidRPr="005301E1" w:rsidRDefault="00293E12" w:rsidP="005301E1">
      <w:pPr>
        <w:jc w:val="both"/>
        <w:rPr>
          <w:rFonts w:ascii="Arial" w:hAnsi="Arial" w:cs="Arial"/>
        </w:rPr>
      </w:pPr>
    </w:p>
    <w:p w14:paraId="59C86427" w14:textId="77777777" w:rsidR="005301E1" w:rsidRPr="005301E1" w:rsidRDefault="00260A71" w:rsidP="005301E1">
      <w:pPr>
        <w:jc w:val="both"/>
        <w:rPr>
          <w:rFonts w:ascii="Arial" w:hAnsi="Arial" w:cs="Arial"/>
        </w:rPr>
      </w:pPr>
      <w:r>
        <w:rPr>
          <w:rFonts w:ascii="Arial" w:eastAsia="Arial" w:hAnsi="Arial" w:cs="Arial"/>
          <w:b/>
          <w:bCs/>
          <w:lang w:val="eu-ES"/>
        </w:rPr>
        <w:lastRenderedPageBreak/>
        <w:t>LAUGARRENA.-</w:t>
      </w:r>
      <w:r>
        <w:rPr>
          <w:rFonts w:ascii="Arial" w:eastAsia="Arial" w:hAnsi="Arial" w:cs="Arial"/>
          <w:lang w:val="eu-ES"/>
        </w:rPr>
        <w:t xml:space="preserve"> Proiektuaren edukia.</w:t>
      </w:r>
    </w:p>
    <w:p w14:paraId="77B721BA" w14:textId="77777777" w:rsidR="005301E1" w:rsidRPr="005301E1" w:rsidRDefault="00260A71" w:rsidP="005301E1">
      <w:pPr>
        <w:jc w:val="both"/>
        <w:rPr>
          <w:rFonts w:ascii="Arial" w:hAnsi="Arial" w:cs="Arial"/>
        </w:rPr>
      </w:pPr>
      <w:r>
        <w:rPr>
          <w:rFonts w:ascii="Arial" w:eastAsia="Arial" w:hAnsi="Arial" w:cs="Arial"/>
          <w:lang w:val="eu-ES"/>
        </w:rPr>
        <w:t>Erregelamenduzko arau proiektuak artikulu bakarra du, 2025-2026 denboraldian, Arabako Lurralde Historikoan ehizan nola jardun erregulatzen duen araudia onartzen duena, I. eranskinean jasotako artikuluen arabera, bai eta indarrean sartu dela ezartzen duen azken xedapen baten arabera.</w:t>
      </w:r>
    </w:p>
    <w:p w14:paraId="4795DC8C" w14:textId="77777777" w:rsidR="005301E1" w:rsidRPr="005301E1" w:rsidRDefault="005301E1" w:rsidP="005301E1">
      <w:pPr>
        <w:jc w:val="both"/>
        <w:rPr>
          <w:rFonts w:ascii="Arial" w:hAnsi="Arial" w:cs="Arial"/>
        </w:rPr>
      </w:pPr>
    </w:p>
    <w:p w14:paraId="5B3AC9FD" w14:textId="77777777" w:rsidR="005301E1" w:rsidRPr="005301E1" w:rsidRDefault="00260A71" w:rsidP="005301E1">
      <w:pPr>
        <w:jc w:val="both"/>
        <w:rPr>
          <w:rFonts w:ascii="Arial" w:hAnsi="Arial" w:cs="Arial"/>
        </w:rPr>
      </w:pPr>
      <w:r>
        <w:rPr>
          <w:rFonts w:ascii="Arial" w:eastAsia="Arial" w:hAnsi="Arial" w:cs="Arial"/>
          <w:lang w:val="eu-ES"/>
        </w:rPr>
        <w:t>Bestalde, I. eranskinak, zortzi artikulu ditu, eta honako hauek arautzen ditu: ehiza lursailak, eta egun eta ordu baliodunak, oro har (1. artikulua), egun baliodunak, ordutegia eta ehizatu daitezkeen espezieak, bereziki debeku erdiko aldirako (2. artikulua), bai eta pertsonako eta eguneko kupoak ere, ehiza xeherako (3. artikulua) eta ehiza larrirako (4. artikulua).</w:t>
      </w:r>
    </w:p>
    <w:p w14:paraId="7963D4A9" w14:textId="77777777" w:rsidR="005301E1" w:rsidRPr="005301E1" w:rsidRDefault="005301E1" w:rsidP="005301E1">
      <w:pPr>
        <w:jc w:val="both"/>
        <w:rPr>
          <w:rFonts w:ascii="Arial" w:hAnsi="Arial" w:cs="Arial"/>
        </w:rPr>
      </w:pPr>
    </w:p>
    <w:p w14:paraId="05E24ADD" w14:textId="77777777" w:rsidR="005301E1" w:rsidRPr="005301E1" w:rsidRDefault="00260A71" w:rsidP="005301E1">
      <w:pPr>
        <w:jc w:val="both"/>
        <w:rPr>
          <w:rFonts w:ascii="Arial" w:hAnsi="Arial" w:cs="Arial"/>
        </w:rPr>
      </w:pPr>
      <w:r>
        <w:rPr>
          <w:rFonts w:ascii="Arial" w:eastAsia="Arial" w:hAnsi="Arial" w:cs="Arial"/>
          <w:lang w:val="eu-ES"/>
        </w:rPr>
        <w:t>Halaber, honako hauek ezartzen ditu: baimen berezia behar duten modalitateak (5. artikulua), ehiza faunaren eta basafaunaren babes orokorrari buruzko arauak (6. artikulua), merkaturatu daitezkeen ehiza espezieak (7. artikulua) eta Ehizari buruzko 2/2011 Legean ezarritako ehizaren arloko arau hausteengatiko zehapenen eguneraketa (8. artikulua).</w:t>
      </w:r>
    </w:p>
    <w:p w14:paraId="555EB050" w14:textId="77777777" w:rsidR="005301E1" w:rsidRPr="005301E1" w:rsidRDefault="005301E1" w:rsidP="005301E1">
      <w:pPr>
        <w:jc w:val="both"/>
        <w:rPr>
          <w:rFonts w:ascii="Arial" w:hAnsi="Arial" w:cs="Arial"/>
        </w:rPr>
      </w:pPr>
    </w:p>
    <w:p w14:paraId="2C9ED776" w14:textId="77777777" w:rsidR="005301E1" w:rsidRPr="005301E1" w:rsidRDefault="00260A71" w:rsidP="005301E1">
      <w:pPr>
        <w:jc w:val="both"/>
        <w:rPr>
          <w:rFonts w:ascii="Arial" w:hAnsi="Arial" w:cs="Arial"/>
        </w:rPr>
      </w:pPr>
      <w:r>
        <w:rPr>
          <w:rFonts w:ascii="Arial" w:eastAsia="Arial" w:hAnsi="Arial" w:cs="Arial"/>
          <w:b/>
          <w:bCs/>
          <w:lang w:val="eu-ES"/>
        </w:rPr>
        <w:t>BOSGARRENA.-</w:t>
      </w:r>
      <w:r>
        <w:rPr>
          <w:rFonts w:ascii="Arial" w:eastAsia="Arial" w:hAnsi="Arial" w:cs="Arial"/>
          <w:lang w:val="eu-ES"/>
        </w:rPr>
        <w:t xml:space="preserve"> Proiektuaren analisia.</w:t>
      </w:r>
    </w:p>
    <w:p w14:paraId="64BCA102" w14:textId="77777777" w:rsidR="005301E1" w:rsidRPr="005301E1" w:rsidRDefault="00260A71" w:rsidP="005301E1">
      <w:pPr>
        <w:jc w:val="both"/>
        <w:rPr>
          <w:rFonts w:ascii="Arial" w:hAnsi="Arial" w:cs="Arial"/>
        </w:rPr>
      </w:pPr>
      <w:r>
        <w:rPr>
          <w:rFonts w:ascii="Arial" w:eastAsia="Arial" w:hAnsi="Arial" w:cs="Arial"/>
          <w:lang w:val="eu-ES"/>
        </w:rPr>
        <w:t>1. Proiektuaren xedea da 2025-2026 ehiza kanpaina arautuko duen araudia onartzea, Euskal Autonomia Erkidegoko Ehizari buruzko martxoaren 17ko 2/2011 Legearen 31. artikuluak ezarritako edukien arabera. Artikulu horrek honako hau xedatzen du:</w:t>
      </w:r>
    </w:p>
    <w:p w14:paraId="3379AD15" w14:textId="77777777" w:rsidR="005301E1" w:rsidRPr="005301E1" w:rsidRDefault="005301E1" w:rsidP="005301E1">
      <w:pPr>
        <w:jc w:val="both"/>
        <w:rPr>
          <w:rFonts w:ascii="Arial" w:hAnsi="Arial" w:cs="Arial"/>
        </w:rPr>
      </w:pPr>
    </w:p>
    <w:p w14:paraId="5DF1D2EC" w14:textId="77777777" w:rsidR="005301E1" w:rsidRPr="005301E1" w:rsidRDefault="00260A71" w:rsidP="005301E1">
      <w:pPr>
        <w:jc w:val="both"/>
        <w:rPr>
          <w:rFonts w:ascii="Arial" w:hAnsi="Arial" w:cs="Arial"/>
        </w:rPr>
      </w:pPr>
      <w:r>
        <w:rPr>
          <w:rFonts w:ascii="Arial" w:eastAsia="Arial" w:hAnsi="Arial" w:cs="Arial"/>
          <w:lang w:val="eu-ES"/>
        </w:rPr>
        <w:t>“1) Foru aldundiek urtero emango dute debekualdien foru agindua. Xedapen horretan, nahitaez, gutxienez honako alderdi hauek jaso beharko dira:</w:t>
      </w:r>
    </w:p>
    <w:p w14:paraId="21358ED7" w14:textId="77777777" w:rsidR="005301E1" w:rsidRPr="005301E1" w:rsidRDefault="005301E1" w:rsidP="005301E1">
      <w:pPr>
        <w:jc w:val="both"/>
        <w:rPr>
          <w:rFonts w:ascii="Arial" w:hAnsi="Arial" w:cs="Arial"/>
        </w:rPr>
      </w:pPr>
    </w:p>
    <w:p w14:paraId="1EB57F30"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Ehizan jarduteko egunak.</w:t>
      </w:r>
    </w:p>
    <w:p w14:paraId="33DD06F1" w14:textId="77777777" w:rsidR="005301E1" w:rsidRPr="005301E1" w:rsidRDefault="005301E1" w:rsidP="005301E1">
      <w:pPr>
        <w:jc w:val="both"/>
        <w:rPr>
          <w:rFonts w:ascii="Arial" w:hAnsi="Arial" w:cs="Arial"/>
        </w:rPr>
      </w:pPr>
    </w:p>
    <w:p w14:paraId="41600F5C"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Ehizan jarduteko orduak.</w:t>
      </w:r>
    </w:p>
    <w:p w14:paraId="1D3A2506" w14:textId="77777777" w:rsidR="005301E1" w:rsidRPr="005301E1" w:rsidRDefault="005301E1" w:rsidP="005301E1">
      <w:pPr>
        <w:jc w:val="both"/>
        <w:rPr>
          <w:rFonts w:ascii="Arial" w:hAnsi="Arial" w:cs="Arial"/>
        </w:rPr>
      </w:pPr>
    </w:p>
    <w:p w14:paraId="5AAB2088"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Ehiza daitezkeen espezieak, ehiza larriko eta ehiza xeheko espezieak bereizita. Horien barruan, halaber, hegazti migratzaileen eta ur hegaztien zerrenda bana sartuko da.</w:t>
      </w:r>
    </w:p>
    <w:p w14:paraId="720BFAF0" w14:textId="77777777" w:rsidR="005301E1" w:rsidRPr="005301E1" w:rsidRDefault="005301E1" w:rsidP="005301E1">
      <w:pPr>
        <w:jc w:val="both"/>
        <w:rPr>
          <w:rFonts w:ascii="Arial" w:hAnsi="Arial" w:cs="Arial"/>
        </w:rPr>
      </w:pPr>
    </w:p>
    <w:p w14:paraId="50A6BADA"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Merkaturatu daitezkeen ehiza espezieak.</w:t>
      </w:r>
    </w:p>
    <w:p w14:paraId="275B2C2A" w14:textId="77777777" w:rsidR="005301E1" w:rsidRPr="005301E1" w:rsidRDefault="005301E1" w:rsidP="005301E1">
      <w:pPr>
        <w:jc w:val="both"/>
        <w:rPr>
          <w:rFonts w:ascii="Arial" w:hAnsi="Arial" w:cs="Arial"/>
        </w:rPr>
      </w:pPr>
    </w:p>
    <w:p w14:paraId="6FBA2178"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Aginduan zehaztutako ehiza espezie bakoitzari dagokion araudi zehatza, beti ere horien populazioen bideragarritasuna eta iraupena bermatuz dagokion lurralde historikoan.</w:t>
      </w:r>
    </w:p>
    <w:p w14:paraId="52A2ED1B" w14:textId="77777777" w:rsidR="005301E1" w:rsidRPr="005301E1" w:rsidRDefault="005301E1" w:rsidP="005301E1">
      <w:pPr>
        <w:jc w:val="both"/>
        <w:rPr>
          <w:rFonts w:ascii="Arial" w:hAnsi="Arial" w:cs="Arial"/>
        </w:rPr>
      </w:pPr>
    </w:p>
    <w:p w14:paraId="4F6F1008"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Baimen berezia behar duten ehiza modalitateak, eta, bereziki, ehiza larria arautzen duena, lege honetako 49. eta 50. artikuluei dagokienez.</w:t>
      </w:r>
    </w:p>
    <w:p w14:paraId="72C6D9F8" w14:textId="77777777" w:rsidR="005301E1" w:rsidRPr="005301E1" w:rsidRDefault="005301E1" w:rsidP="005301E1">
      <w:pPr>
        <w:jc w:val="both"/>
        <w:rPr>
          <w:rFonts w:ascii="Arial" w:hAnsi="Arial" w:cs="Arial"/>
        </w:rPr>
      </w:pPr>
    </w:p>
    <w:p w14:paraId="51A501D8"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Dagokion ehiza denboraldian fauna babesteko egoki jotzen diren arau zehatzak.</w:t>
      </w:r>
    </w:p>
    <w:p w14:paraId="424493F6" w14:textId="77777777" w:rsidR="005301E1" w:rsidRPr="005301E1" w:rsidRDefault="005301E1" w:rsidP="005301E1">
      <w:pPr>
        <w:jc w:val="both"/>
        <w:rPr>
          <w:rFonts w:ascii="Arial" w:hAnsi="Arial" w:cs="Arial"/>
        </w:rPr>
      </w:pPr>
    </w:p>
    <w:p w14:paraId="5BED0BB3" w14:textId="77777777" w:rsidR="005301E1" w:rsidRPr="005301E1" w:rsidRDefault="00260A71" w:rsidP="005301E1">
      <w:pPr>
        <w:pStyle w:val="Prrafodelista"/>
        <w:numPr>
          <w:ilvl w:val="0"/>
          <w:numId w:val="1"/>
        </w:numPr>
        <w:jc w:val="both"/>
        <w:rPr>
          <w:rFonts w:ascii="Arial" w:hAnsi="Arial" w:cs="Arial"/>
        </w:rPr>
      </w:pPr>
      <w:r>
        <w:rPr>
          <w:rFonts w:ascii="Arial" w:eastAsia="Arial" w:hAnsi="Arial" w:cs="Arial"/>
          <w:lang w:val="eu-ES"/>
        </w:rPr>
        <w:t>Zehapenen zenbatekoen eguneratzea, Euskal Autonomia Erkidegoko kontsumoko prezioen indizearen aldaketak kontuan hartuta.</w:t>
      </w:r>
    </w:p>
    <w:p w14:paraId="2FE6A8DF" w14:textId="77777777" w:rsidR="005301E1" w:rsidRPr="005301E1" w:rsidRDefault="005301E1" w:rsidP="005301E1">
      <w:pPr>
        <w:jc w:val="both"/>
        <w:rPr>
          <w:rFonts w:ascii="Arial" w:hAnsi="Arial" w:cs="Arial"/>
        </w:rPr>
      </w:pPr>
    </w:p>
    <w:p w14:paraId="3EE93A7E" w14:textId="77777777" w:rsidR="005301E1" w:rsidRDefault="00260A71" w:rsidP="005301E1">
      <w:pPr>
        <w:jc w:val="both"/>
        <w:rPr>
          <w:rFonts w:ascii="Arial" w:hAnsi="Arial" w:cs="Arial"/>
        </w:rPr>
      </w:pPr>
      <w:r>
        <w:rPr>
          <w:rFonts w:ascii="Arial" w:eastAsia="Arial" w:hAnsi="Arial" w:cs="Arial"/>
          <w:lang w:val="eu-ES"/>
        </w:rPr>
        <w:t>2) Debekualdien foru aginduetan, ehiza lur jakin batzuetan edo araubide bereziko lurretan debeku espezifikoak ezartzen dituzten xedapenak sartu ahalko dira.”</w:t>
      </w:r>
    </w:p>
    <w:p w14:paraId="3C6B4A2E" w14:textId="1787C4B5" w:rsidR="005301E1" w:rsidRPr="005301E1" w:rsidRDefault="00260A71" w:rsidP="005301E1">
      <w:pPr>
        <w:jc w:val="both"/>
        <w:rPr>
          <w:rFonts w:ascii="Arial" w:hAnsi="Arial" w:cs="Arial"/>
        </w:rPr>
      </w:pPr>
      <w:r>
        <w:rPr>
          <w:rFonts w:ascii="Arial" w:eastAsia="Arial" w:hAnsi="Arial" w:cs="Arial"/>
          <w:lang w:val="eu-ES"/>
        </w:rPr>
        <w:t>2. Transkribatutako lege-manuan aurreikusitako gutxieneko edukiari jarraituz, proiektuak 1. artikuluan ehizarako egun eta ordu baliodunak arautzen ditu.</w:t>
      </w:r>
    </w:p>
    <w:p w14:paraId="3C162ABF" w14:textId="77777777" w:rsidR="005301E1" w:rsidRPr="005301E1" w:rsidRDefault="00260A71" w:rsidP="005301E1">
      <w:pPr>
        <w:jc w:val="both"/>
        <w:rPr>
          <w:rFonts w:ascii="Arial" w:hAnsi="Arial" w:cs="Arial"/>
        </w:rPr>
      </w:pPr>
      <w:r>
        <w:rPr>
          <w:rFonts w:ascii="Arial" w:eastAsia="Arial" w:hAnsi="Arial" w:cs="Arial"/>
          <w:lang w:val="eu-ES"/>
        </w:rPr>
        <w:t>Debekualdi ertainari, ehiza xeheari eta ehiza larriari eta ehiza-espezie jakin batzuei aplikatu beharreko xedapen bereziak onartzen ditu 2. artikulutik 4.era bitartekoetan. Ehiza daitezkeen espezieak 2. artikulutik 4.era bitarteko artikuluetan zerrendatzen dira, legearen 12. artikuluan xedatutako sailkapenari jarraituz (ehiza larria eta ehiza xehea; azkeneko horren barruan, hegazti migratzaileak eta ez migratzaileak eta ur hegaztiak bereizten dira), eta pertsona eta eguneko gehieneko harrapaketa kupoak ezartzen dira eper gorriarentzat, oilagorrarentzat, galeperrarentzat eta erbiarentzat. Ehiza daitezkeen espezie guztiak Euskal Autonomia Erkidegoko ehiza espezieen zerrenda ezartzen duen urriaren 16ko 216/2012 Dekretuaren eranskinean zerrendatzen direnen barruan daude, Ehizari buruzko 2/2011 Legearen 11. artikuluan ezarritakoarekin bat etorriz. Artikulu horrek Eusko Jaurlaritzari esleitzen dio ehiza espezie izenda daitezkeen espezieak eta azpiespezieak erregelamenduz ezartzeko eskumena, eta baimena ematen die foru aldundiei “lurralde historiko bakoitzean ehiza daitezkeen espezieak murrizteko, baina ez zabaltzeko”. Ahalmen hori baliatuz, ahate txistularia sartzen da foru-agindu honetan, aldi baterako galarazita dagoen espezie gisa. Laugarren artikuluko 3. atalean, ehiza larriko espezieak harrapatzeko kupoak ezartzen dira.</w:t>
      </w:r>
    </w:p>
    <w:p w14:paraId="02CD2301" w14:textId="77777777" w:rsidR="005301E1" w:rsidRPr="005301E1" w:rsidRDefault="00260A71" w:rsidP="005301E1">
      <w:pPr>
        <w:jc w:val="both"/>
        <w:rPr>
          <w:rFonts w:ascii="Arial" w:hAnsi="Arial" w:cs="Arial"/>
        </w:rPr>
      </w:pPr>
      <w:r>
        <w:rPr>
          <w:rFonts w:ascii="Arial" w:eastAsia="Arial" w:hAnsi="Arial" w:cs="Arial"/>
          <w:lang w:val="eu-ES"/>
        </w:rPr>
        <w:t xml:space="preserve">Baimen berezia eskatzen duten ehiza modalitateak Eranskinaren 5. artikuluan arautzen dira, eta, jadanik berariazko foru aginduetan araututa dauden arren, gogorarazteko aipatu dute, txostenean azaltzen duten bezala. Hemen, ehiza-espezieak kontrolatzeko salbuespenezko neurrien erregulazioa mantentzen da, basurdearena bereziki. Neurri horiek berariazko baimena beharko dute, ez direlako hartzen ohiko ehiza jardueratzat. Basurdea eta oreina kontrolatzeko ekintzak hasteko, administrazio eskudunari jarduera </w:t>
      </w:r>
      <w:r>
        <w:rPr>
          <w:rFonts w:ascii="Arial" w:eastAsia="Arial" w:hAnsi="Arial" w:cs="Arial"/>
          <w:lang w:val="eu-ES"/>
        </w:rPr>
        <w:lastRenderedPageBreak/>
        <w:t>hasi aurretik jakinarazteko araubidea ezartzen da, Administrazio Publikoen Administrazio Prozedura Erkidearen urriaren 1eko 39/2015 Legearen 69. artikuluarekin bat etorriz. 5.3 atalean aipatutako komunikazioaren izaera juridikoa argitzeko eta interpretazio-zalantzak saihesteko, “aurretiko” terminoa gehitzea gomendatzen da, “komunikazio” terminoaren ondoren.</w:t>
      </w:r>
    </w:p>
    <w:p w14:paraId="12C486F4" w14:textId="77777777" w:rsidR="005301E1" w:rsidRPr="005301E1" w:rsidRDefault="005301E1" w:rsidP="005301E1">
      <w:pPr>
        <w:jc w:val="both"/>
        <w:rPr>
          <w:rFonts w:ascii="Arial" w:hAnsi="Arial" w:cs="Arial"/>
        </w:rPr>
      </w:pPr>
    </w:p>
    <w:p w14:paraId="1879EADA" w14:textId="77777777" w:rsidR="005301E1" w:rsidRPr="005301E1" w:rsidRDefault="00260A71" w:rsidP="005301E1">
      <w:pPr>
        <w:jc w:val="both"/>
        <w:rPr>
          <w:rFonts w:ascii="Arial" w:hAnsi="Arial" w:cs="Arial"/>
        </w:rPr>
      </w:pPr>
      <w:r>
        <w:rPr>
          <w:rFonts w:ascii="Arial" w:eastAsia="Arial" w:hAnsi="Arial" w:cs="Arial"/>
          <w:lang w:val="eu-ES"/>
        </w:rPr>
        <w:t>Bestalde, 6. artikulua ehiza- eta basa-faunaren babes orokorrari buruzkoa da, eta ehiza-denboraldi honetarako beharrezkotzat jotzen diren fauna babesteko arau espezifikoen barruan kokatzen da.</w:t>
      </w:r>
    </w:p>
    <w:p w14:paraId="18337E1F" w14:textId="77777777" w:rsidR="005301E1" w:rsidRPr="005301E1" w:rsidRDefault="005301E1" w:rsidP="005301E1">
      <w:pPr>
        <w:jc w:val="both"/>
        <w:rPr>
          <w:rFonts w:ascii="Arial" w:hAnsi="Arial" w:cs="Arial"/>
        </w:rPr>
      </w:pPr>
    </w:p>
    <w:p w14:paraId="0A7A2556" w14:textId="77777777" w:rsidR="005301E1" w:rsidRPr="005301E1" w:rsidRDefault="00260A71" w:rsidP="005301E1">
      <w:pPr>
        <w:jc w:val="both"/>
        <w:rPr>
          <w:rFonts w:ascii="Arial" w:hAnsi="Arial" w:cs="Arial"/>
        </w:rPr>
      </w:pPr>
      <w:r>
        <w:rPr>
          <w:rFonts w:ascii="Arial" w:eastAsia="Arial" w:hAnsi="Arial" w:cs="Arial"/>
          <w:lang w:val="eu-ES"/>
        </w:rPr>
        <w:t>Merkaturatzeko baimena duten ehiza espezieen zehaztapena proiektuaren 7. artikuluan ageri da. Artikulu hori, bestalde, bat dator ehizatu eta arrantzatu daitezkeen espezieak zehaztu eta horri buruzko arauak ematen dituen irailaren 15eko 1118/1989 Errege Dekretuan ezarritakoarekin.</w:t>
      </w:r>
    </w:p>
    <w:p w14:paraId="0AF6FEF4" w14:textId="77777777" w:rsidR="005301E1" w:rsidRPr="005301E1" w:rsidRDefault="005301E1" w:rsidP="005301E1">
      <w:pPr>
        <w:jc w:val="both"/>
        <w:rPr>
          <w:rFonts w:ascii="Arial" w:hAnsi="Arial" w:cs="Arial"/>
        </w:rPr>
      </w:pPr>
    </w:p>
    <w:p w14:paraId="409F9EA6" w14:textId="77777777" w:rsidR="005301E1" w:rsidRPr="005301E1" w:rsidRDefault="00260A71" w:rsidP="005301E1">
      <w:pPr>
        <w:jc w:val="both"/>
        <w:rPr>
          <w:rFonts w:ascii="Arial" w:hAnsi="Arial" w:cs="Arial"/>
        </w:rPr>
      </w:pPr>
      <w:r>
        <w:rPr>
          <w:rFonts w:ascii="Arial" w:eastAsia="Arial" w:hAnsi="Arial" w:cs="Arial"/>
          <w:lang w:val="eu-ES"/>
        </w:rPr>
        <w:t>Azkenik, proiektuak eguneratu egiten ditu Ehizari buruzko 2/2011 Legean ezarritako zehapenen zenbatekoak, Euskal Autonomia Erkidegoko kontsumoko prezioen indizearen aldaketak kontuan hartuta, Ehizari buruzko 2/2011 Legearen 31.1 artikuluan agindutakoarekin bat etorriz.</w:t>
      </w:r>
    </w:p>
    <w:p w14:paraId="46960F23" w14:textId="77777777" w:rsidR="005301E1" w:rsidRPr="005301E1" w:rsidRDefault="005301E1" w:rsidP="005301E1">
      <w:pPr>
        <w:jc w:val="both"/>
        <w:rPr>
          <w:rFonts w:ascii="Arial" w:hAnsi="Arial" w:cs="Arial"/>
        </w:rPr>
      </w:pPr>
    </w:p>
    <w:p w14:paraId="05CF7A79" w14:textId="77777777" w:rsidR="005301E1" w:rsidRPr="00BB0A01" w:rsidRDefault="00260A71" w:rsidP="005301E1">
      <w:pPr>
        <w:jc w:val="both"/>
        <w:rPr>
          <w:rFonts w:ascii="Arial" w:hAnsi="Arial" w:cs="Arial"/>
          <w:b/>
          <w:bCs/>
        </w:rPr>
      </w:pPr>
      <w:r>
        <w:rPr>
          <w:rFonts w:ascii="Arial" w:eastAsia="Arial" w:hAnsi="Arial" w:cs="Arial"/>
          <w:b/>
          <w:bCs/>
          <w:lang w:val="eu-ES"/>
        </w:rPr>
        <w:t>III. ONDORIOA</w:t>
      </w:r>
    </w:p>
    <w:p w14:paraId="039A35C0" w14:textId="77777777" w:rsidR="005301E1" w:rsidRPr="005301E1" w:rsidRDefault="005301E1" w:rsidP="005301E1">
      <w:pPr>
        <w:jc w:val="both"/>
        <w:rPr>
          <w:rFonts w:ascii="Arial" w:hAnsi="Arial" w:cs="Arial"/>
        </w:rPr>
      </w:pPr>
    </w:p>
    <w:p w14:paraId="4E0CA64B" w14:textId="77777777" w:rsidR="005301E1" w:rsidRPr="005301E1" w:rsidRDefault="00260A71" w:rsidP="005301E1">
      <w:pPr>
        <w:jc w:val="both"/>
        <w:rPr>
          <w:rFonts w:ascii="Arial" w:hAnsi="Arial" w:cs="Arial"/>
        </w:rPr>
      </w:pPr>
      <w:r>
        <w:rPr>
          <w:rFonts w:ascii="Arial" w:eastAsia="Arial" w:hAnsi="Arial" w:cs="Arial"/>
          <w:lang w:val="eu-ES"/>
        </w:rPr>
        <w:t>Foru aginduaren proiektua ordenamendu juridikora egokitzen da, salbu eta, prozedurari dagokionez, proiektua Urteko Araugintza Planean ez sartzea.</w:t>
      </w:r>
    </w:p>
    <w:p w14:paraId="56547724" w14:textId="77777777" w:rsidR="005301E1" w:rsidRPr="005301E1" w:rsidRDefault="005301E1" w:rsidP="005301E1">
      <w:pPr>
        <w:rPr>
          <w:rFonts w:ascii="Arial" w:hAnsi="Arial" w:cs="Arial"/>
        </w:rPr>
      </w:pPr>
    </w:p>
    <w:p w14:paraId="016B8F80" w14:textId="77777777" w:rsidR="005301E1" w:rsidRPr="005301E1" w:rsidRDefault="005301E1" w:rsidP="005301E1">
      <w:pPr>
        <w:rPr>
          <w:rFonts w:ascii="Arial" w:hAnsi="Arial" w:cs="Arial"/>
        </w:rPr>
      </w:pPr>
    </w:p>
    <w:p w14:paraId="166CD8CD" w14:textId="77777777" w:rsidR="005301E1" w:rsidRPr="005301E1" w:rsidRDefault="005301E1" w:rsidP="005301E1">
      <w:pPr>
        <w:rPr>
          <w:rFonts w:ascii="Arial" w:hAnsi="Arial" w:cs="Arial"/>
        </w:rPr>
      </w:pPr>
    </w:p>
    <w:p w14:paraId="68C5E5E5" w14:textId="77777777" w:rsidR="005301E1" w:rsidRPr="005301E1" w:rsidRDefault="005301E1" w:rsidP="005301E1">
      <w:pPr>
        <w:rPr>
          <w:rFonts w:ascii="Arial" w:hAnsi="Arial" w:cs="Arial"/>
        </w:rPr>
      </w:pPr>
    </w:p>
    <w:p w14:paraId="0B117B17" w14:textId="77777777" w:rsidR="005301E1" w:rsidRPr="005301E1" w:rsidRDefault="005301E1" w:rsidP="005301E1">
      <w:pPr>
        <w:rPr>
          <w:rFonts w:ascii="Arial" w:hAnsi="Arial" w:cs="Arial"/>
        </w:rPr>
      </w:pPr>
    </w:p>
    <w:p w14:paraId="38ABEAF0" w14:textId="77777777" w:rsidR="005301E1" w:rsidRPr="005301E1" w:rsidRDefault="005301E1" w:rsidP="005301E1">
      <w:pPr>
        <w:rPr>
          <w:rFonts w:ascii="Arial" w:hAnsi="Arial" w:cs="Arial"/>
        </w:rPr>
      </w:pPr>
    </w:p>
    <w:p w14:paraId="3660BAE7" w14:textId="77777777" w:rsidR="006254A6" w:rsidRPr="005301E1" w:rsidRDefault="006254A6">
      <w:pPr>
        <w:rPr>
          <w:rFonts w:ascii="Arial" w:hAnsi="Arial" w:cs="Arial"/>
        </w:rPr>
      </w:pPr>
    </w:p>
    <w:sectPr w:rsidR="006254A6" w:rsidRPr="005301E1" w:rsidSect="00543EF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A233" w14:textId="77777777" w:rsidR="00260A71" w:rsidRDefault="00260A71">
      <w:pPr>
        <w:spacing w:after="0" w:line="240" w:lineRule="auto"/>
      </w:pPr>
      <w:r>
        <w:separator/>
      </w:r>
    </w:p>
  </w:endnote>
  <w:endnote w:type="continuationSeparator" w:id="0">
    <w:p w14:paraId="649638CB" w14:textId="77777777" w:rsidR="00260A71" w:rsidRDefault="0026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9F5B" w14:textId="77777777" w:rsidR="002827D1" w:rsidRDefault="002827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45002170"/>
      <w:docPartObj>
        <w:docPartGallery w:val="Page Numbers (Bottom of Page)"/>
        <w:docPartUnique/>
      </w:docPartObj>
    </w:sdtPr>
    <w:sdtEndPr/>
    <w:sdtContent>
      <w:p w14:paraId="7B2732FB" w14:textId="0453C53F" w:rsidR="005301E1" w:rsidRPr="00543EF5" w:rsidRDefault="00260A71">
        <w:pPr>
          <w:pStyle w:val="Piedepgina"/>
          <w:jc w:val="right"/>
          <w:rPr>
            <w:rFonts w:ascii="Arial" w:hAnsi="Arial" w:cs="Arial"/>
            <w:sz w:val="18"/>
            <w:szCs w:val="18"/>
          </w:rPr>
        </w:pPr>
        <w:r w:rsidRPr="00543EF5">
          <w:rPr>
            <w:rFonts w:ascii="Arial" w:hAnsi="Arial" w:cs="Arial"/>
            <w:sz w:val="18"/>
            <w:szCs w:val="18"/>
          </w:rPr>
          <w:fldChar w:fldCharType="begin"/>
        </w:r>
        <w:r w:rsidRPr="00543EF5">
          <w:rPr>
            <w:rFonts w:ascii="Arial" w:hAnsi="Arial" w:cs="Arial"/>
            <w:sz w:val="18"/>
            <w:szCs w:val="18"/>
          </w:rPr>
          <w:instrText>PAGE   \* MERGEFORMAT</w:instrText>
        </w:r>
        <w:r w:rsidRPr="00543EF5">
          <w:rPr>
            <w:rFonts w:ascii="Arial" w:hAnsi="Arial" w:cs="Arial"/>
            <w:sz w:val="18"/>
            <w:szCs w:val="18"/>
          </w:rPr>
          <w:fldChar w:fldCharType="separate"/>
        </w:r>
        <w:r w:rsidRPr="00543EF5">
          <w:rPr>
            <w:rFonts w:ascii="Arial" w:hAnsi="Arial" w:cs="Arial"/>
            <w:sz w:val="18"/>
            <w:szCs w:val="18"/>
          </w:rPr>
          <w:t>2</w:t>
        </w:r>
        <w:r w:rsidRPr="00543EF5">
          <w:rPr>
            <w:rFonts w:ascii="Arial" w:hAnsi="Arial" w:cs="Arial"/>
            <w:sz w:val="18"/>
            <w:szCs w:val="18"/>
          </w:rPr>
          <w:fldChar w:fldCharType="end"/>
        </w:r>
        <w:r>
          <w:rPr>
            <w:rFonts w:ascii="Arial" w:eastAsia="Arial" w:hAnsi="Arial" w:cs="Arial"/>
            <w:sz w:val="18"/>
            <w:szCs w:val="18"/>
            <w:lang w:val="eu-ES"/>
          </w:rPr>
          <w:t>/</w:t>
        </w:r>
        <w:r w:rsidR="002827D1">
          <w:rPr>
            <w:rFonts w:ascii="Arial" w:eastAsia="Arial" w:hAnsi="Arial" w:cs="Arial"/>
            <w:sz w:val="18"/>
            <w:szCs w:val="18"/>
            <w:lang w:val="eu-ES"/>
          </w:rPr>
          <w:t>8</w:t>
        </w:r>
      </w:p>
    </w:sdtContent>
  </w:sdt>
  <w:p w14:paraId="29DBC60A" w14:textId="77777777" w:rsidR="005301E1" w:rsidRDefault="005301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ABE5" w14:textId="77777777" w:rsidR="002827D1" w:rsidRDefault="002827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E3793" w14:textId="77777777" w:rsidR="00260A71" w:rsidRDefault="00260A71">
      <w:pPr>
        <w:spacing w:after="0" w:line="240" w:lineRule="auto"/>
      </w:pPr>
      <w:r>
        <w:separator/>
      </w:r>
    </w:p>
  </w:footnote>
  <w:footnote w:type="continuationSeparator" w:id="0">
    <w:p w14:paraId="30598399" w14:textId="77777777" w:rsidR="00260A71" w:rsidRDefault="00260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6946" w14:textId="77777777" w:rsidR="002827D1" w:rsidRDefault="002827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13" w:type="dxa"/>
      <w:tblInd w:w="-639" w:type="dxa"/>
      <w:tblLayout w:type="fixed"/>
      <w:tblCellMar>
        <w:left w:w="70" w:type="dxa"/>
        <w:right w:w="70" w:type="dxa"/>
      </w:tblCellMar>
      <w:tblLook w:val="0000" w:firstRow="0" w:lastRow="0" w:firstColumn="0" w:lastColumn="0" w:noHBand="0" w:noVBand="0"/>
    </w:tblPr>
    <w:tblGrid>
      <w:gridCol w:w="9711"/>
      <w:gridCol w:w="3402"/>
    </w:tblGrid>
    <w:tr w:rsidR="00947589" w14:paraId="2595F7D2" w14:textId="77777777" w:rsidTr="00543EF5">
      <w:trPr>
        <w:trHeight w:val="1846"/>
      </w:trPr>
      <w:tc>
        <w:tcPr>
          <w:tcW w:w="9711" w:type="dxa"/>
        </w:tcPr>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3119"/>
            <w:gridCol w:w="1843"/>
            <w:gridCol w:w="3827"/>
          </w:tblGrid>
          <w:tr w:rsidR="00947589" w14:paraId="215A9F29" w14:textId="77777777" w:rsidTr="00594A3A">
            <w:trPr>
              <w:cantSplit/>
              <w:trHeight w:val="338"/>
            </w:trPr>
            <w:tc>
              <w:tcPr>
                <w:tcW w:w="3119" w:type="dxa"/>
                <w:tcBorders>
                  <w:top w:val="nil"/>
                  <w:left w:val="nil"/>
                  <w:bottom w:val="single" w:sz="4" w:space="0" w:color="auto"/>
                </w:tcBorders>
              </w:tcPr>
              <w:p w14:paraId="1487D9F0" w14:textId="77777777" w:rsidR="00543EF5" w:rsidRDefault="00543EF5" w:rsidP="00543EF5">
                <w:pPr>
                  <w:pStyle w:val="Encabezado"/>
                </w:pPr>
              </w:p>
            </w:tc>
            <w:tc>
              <w:tcPr>
                <w:tcW w:w="1843" w:type="dxa"/>
                <w:vMerge w:val="restart"/>
              </w:tcPr>
              <w:p w14:paraId="3AC07792" w14:textId="77777777" w:rsidR="00543EF5" w:rsidRDefault="00260A71" w:rsidP="00543EF5">
                <w:pPr>
                  <w:pStyle w:val="Encabezado"/>
                  <w:jc w:val="center"/>
                </w:pPr>
                <w:r>
                  <w:rPr>
                    <w:noProof/>
                  </w:rPr>
                  <w:drawing>
                    <wp:inline distT="0" distB="0" distL="0" distR="0" wp14:anchorId="22C1C629" wp14:editId="7EDBEA8F">
                      <wp:extent cx="428625" cy="428625"/>
                      <wp:effectExtent l="0" t="0" r="9525" b="9525"/>
                      <wp:docPr id="1447711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11912"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inline>
                  </w:drawing>
                </w:r>
              </w:p>
            </w:tc>
            <w:tc>
              <w:tcPr>
                <w:tcW w:w="3827" w:type="dxa"/>
                <w:tcBorders>
                  <w:top w:val="nil"/>
                  <w:bottom w:val="single" w:sz="4" w:space="0" w:color="auto"/>
                  <w:right w:val="nil"/>
                </w:tcBorders>
              </w:tcPr>
              <w:p w14:paraId="04B7FC67" w14:textId="77777777" w:rsidR="00543EF5" w:rsidRDefault="00543EF5" w:rsidP="00543EF5">
                <w:pPr>
                  <w:pStyle w:val="Encabezado"/>
                </w:pPr>
              </w:p>
            </w:tc>
          </w:tr>
          <w:tr w:rsidR="00947589" w14:paraId="2EEA8F51" w14:textId="77777777" w:rsidTr="00594A3A">
            <w:trPr>
              <w:cantSplit/>
              <w:trHeight w:val="337"/>
            </w:trPr>
            <w:tc>
              <w:tcPr>
                <w:tcW w:w="3119" w:type="dxa"/>
                <w:tcBorders>
                  <w:top w:val="single" w:sz="4" w:space="0" w:color="auto"/>
                  <w:left w:val="nil"/>
                  <w:bottom w:val="nil"/>
                </w:tcBorders>
              </w:tcPr>
              <w:p w14:paraId="2C98B406" w14:textId="77777777" w:rsidR="00543EF5" w:rsidRDefault="00543EF5" w:rsidP="00543EF5">
                <w:pPr>
                  <w:pStyle w:val="Encabezado"/>
                </w:pPr>
              </w:p>
            </w:tc>
            <w:tc>
              <w:tcPr>
                <w:tcW w:w="1843" w:type="dxa"/>
                <w:vMerge/>
              </w:tcPr>
              <w:p w14:paraId="793F12A2" w14:textId="77777777" w:rsidR="00543EF5" w:rsidRDefault="00543EF5" w:rsidP="00543EF5">
                <w:pPr>
                  <w:pStyle w:val="Encabezado"/>
                  <w:jc w:val="center"/>
                </w:pPr>
              </w:p>
            </w:tc>
            <w:tc>
              <w:tcPr>
                <w:tcW w:w="3827" w:type="dxa"/>
                <w:tcBorders>
                  <w:top w:val="single" w:sz="4" w:space="0" w:color="auto"/>
                  <w:bottom w:val="nil"/>
                  <w:right w:val="nil"/>
                </w:tcBorders>
              </w:tcPr>
              <w:p w14:paraId="03BAC37F" w14:textId="77777777" w:rsidR="00543EF5" w:rsidRDefault="00543EF5" w:rsidP="00543EF5">
                <w:pPr>
                  <w:pStyle w:val="Encabezado"/>
                </w:pPr>
              </w:p>
            </w:tc>
          </w:tr>
        </w:tbl>
        <w:p w14:paraId="7788E865" w14:textId="77777777" w:rsidR="005301E1" w:rsidRDefault="005301E1" w:rsidP="005301E1">
          <w:pPr>
            <w:pStyle w:val="Encabezado"/>
            <w:ind w:left="1064"/>
            <w:rPr>
              <w:noProof/>
              <w:sz w:val="16"/>
            </w:rPr>
          </w:pPr>
        </w:p>
      </w:tc>
      <w:tc>
        <w:tcPr>
          <w:tcW w:w="3402" w:type="dxa"/>
        </w:tcPr>
        <w:p w14:paraId="5A485FF4" w14:textId="77777777" w:rsidR="005301E1" w:rsidRDefault="005301E1" w:rsidP="005301E1">
          <w:pPr>
            <w:pStyle w:val="Encabezado"/>
            <w:tabs>
              <w:tab w:val="clear" w:pos="4252"/>
            </w:tabs>
            <w:spacing w:after="60" w:line="190" w:lineRule="exact"/>
            <w:ind w:left="781"/>
            <w:rPr>
              <w:noProof/>
              <w:sz w:val="18"/>
            </w:rPr>
          </w:pPr>
        </w:p>
      </w:tc>
    </w:tr>
  </w:tbl>
  <w:p w14:paraId="05510783" w14:textId="77777777" w:rsidR="005301E1" w:rsidRDefault="005301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9E71" w14:textId="77777777" w:rsidR="00543EF5" w:rsidRDefault="00260A71" w:rsidP="00543EF5">
    <w:pPr>
      <w:pStyle w:val="Encabezado"/>
      <w:tabs>
        <w:tab w:val="clear" w:pos="4252"/>
        <w:tab w:val="clear" w:pos="8504"/>
        <w:tab w:val="left" w:pos="1200"/>
      </w:tabs>
    </w:pPr>
    <w:r>
      <w:tab/>
    </w:r>
  </w:p>
  <w:tbl>
    <w:tblPr>
      <w:tblW w:w="0" w:type="auto"/>
      <w:tblInd w:w="-639" w:type="dxa"/>
      <w:tblLayout w:type="fixed"/>
      <w:tblCellMar>
        <w:left w:w="70" w:type="dxa"/>
        <w:right w:w="70" w:type="dxa"/>
      </w:tblCellMar>
      <w:tblLook w:val="0000" w:firstRow="0" w:lastRow="0" w:firstColumn="0" w:lastColumn="0" w:noHBand="0" w:noVBand="0"/>
    </w:tblPr>
    <w:tblGrid>
      <w:gridCol w:w="6379"/>
      <w:gridCol w:w="3402"/>
    </w:tblGrid>
    <w:tr w:rsidR="00947589" w14:paraId="14713653" w14:textId="77777777" w:rsidTr="00594A3A">
      <w:trPr>
        <w:trHeight w:val="1846"/>
      </w:trPr>
      <w:tc>
        <w:tcPr>
          <w:tcW w:w="6379" w:type="dxa"/>
        </w:tcPr>
        <w:p w14:paraId="08BF3EC7" w14:textId="77777777" w:rsidR="00543EF5" w:rsidRDefault="00260A71" w:rsidP="00543EF5">
          <w:pPr>
            <w:pStyle w:val="Encabezado"/>
            <w:tabs>
              <w:tab w:val="clear" w:pos="4252"/>
              <w:tab w:val="clear" w:pos="8504"/>
            </w:tabs>
            <w:spacing w:after="1200"/>
            <w:ind w:left="639"/>
            <w:rPr>
              <w:noProof/>
              <w:sz w:val="16"/>
            </w:rPr>
          </w:pPr>
          <w:r>
            <w:rPr>
              <w:noProof/>
              <w:sz w:val="16"/>
            </w:rPr>
            <w:object w:dxaOrig="3301" w:dyaOrig="1126" w14:anchorId="55C25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17032057" r:id="rId2"/>
            </w:object>
          </w:r>
        </w:p>
        <w:p w14:paraId="2BD81716" w14:textId="77777777" w:rsidR="00543EF5" w:rsidRDefault="00543EF5" w:rsidP="00543EF5">
          <w:pPr>
            <w:pStyle w:val="Encabezado"/>
            <w:ind w:left="1064"/>
            <w:rPr>
              <w:noProof/>
              <w:sz w:val="16"/>
            </w:rPr>
          </w:pPr>
        </w:p>
      </w:tc>
      <w:tc>
        <w:tcPr>
          <w:tcW w:w="3402" w:type="dxa"/>
        </w:tcPr>
        <w:p w14:paraId="1BFA62B6" w14:textId="77777777" w:rsidR="00543EF5" w:rsidRDefault="00543EF5" w:rsidP="00543EF5">
          <w:pPr>
            <w:pStyle w:val="Encabezado"/>
            <w:tabs>
              <w:tab w:val="clear" w:pos="4252"/>
            </w:tabs>
            <w:spacing w:after="240" w:line="240" w:lineRule="exact"/>
            <w:ind w:left="-68"/>
            <w:rPr>
              <w:b/>
              <w:noProof/>
              <w:sz w:val="18"/>
            </w:rPr>
          </w:pPr>
        </w:p>
        <w:p w14:paraId="6FA9B10A" w14:textId="77777777" w:rsidR="00543EF5" w:rsidRDefault="00260A71" w:rsidP="00543EF5">
          <w:pPr>
            <w:pStyle w:val="Encabezado"/>
            <w:tabs>
              <w:tab w:val="clear" w:pos="4252"/>
            </w:tabs>
            <w:spacing w:after="240" w:line="240" w:lineRule="exact"/>
            <w:ind w:left="781"/>
            <w:rPr>
              <w:b/>
              <w:noProof/>
              <w:sz w:val="18"/>
            </w:rPr>
          </w:pPr>
          <w:r>
            <w:rPr>
              <w:rFonts w:ascii="Aptos" w:eastAsia="Aptos" w:hAnsi="Aptos" w:cs="Times New Roman"/>
              <w:b/>
              <w:bCs/>
              <w:noProof/>
              <w:sz w:val="18"/>
              <w:szCs w:val="18"/>
              <w:lang w:val="eu-ES"/>
            </w:rPr>
            <w:t>Aholku Batzordea</w:t>
          </w:r>
        </w:p>
        <w:p w14:paraId="5BF9AD10" w14:textId="77777777" w:rsidR="00543EF5" w:rsidRDefault="00260A71" w:rsidP="00543EF5">
          <w:pPr>
            <w:pStyle w:val="Encabezado"/>
            <w:tabs>
              <w:tab w:val="clear" w:pos="4252"/>
            </w:tabs>
            <w:spacing w:after="60" w:line="190" w:lineRule="exact"/>
            <w:ind w:left="781"/>
            <w:rPr>
              <w:noProof/>
              <w:sz w:val="18"/>
            </w:rPr>
          </w:pPr>
          <w:r>
            <w:rPr>
              <w:rFonts w:ascii="Aptos" w:eastAsia="Aptos" w:hAnsi="Aptos" w:cs="Times New Roman"/>
              <w:b/>
              <w:bCs/>
              <w:noProof/>
              <w:sz w:val="18"/>
              <w:szCs w:val="18"/>
              <w:lang w:val="eu-ES"/>
            </w:rPr>
            <w:t>Comisión Consultiva</w:t>
          </w:r>
        </w:p>
      </w:tc>
    </w:tr>
  </w:tbl>
  <w:p w14:paraId="563DDD20" w14:textId="77777777" w:rsidR="00543EF5" w:rsidRDefault="00543EF5" w:rsidP="00543EF5">
    <w:pPr>
      <w:pStyle w:val="Encabezado"/>
      <w:tabs>
        <w:tab w:val="clear" w:pos="4252"/>
        <w:tab w:val="clear" w:pos="8504"/>
        <w:tab w:val="left" w:pos="1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F6742"/>
    <w:multiLevelType w:val="hybridMultilevel"/>
    <w:tmpl w:val="3ED0049A"/>
    <w:lvl w:ilvl="0" w:tplc="F552F2B8">
      <w:numFmt w:val="bullet"/>
      <w:lvlText w:val="-"/>
      <w:lvlJc w:val="left"/>
      <w:pPr>
        <w:ind w:left="720" w:hanging="360"/>
      </w:pPr>
      <w:rPr>
        <w:rFonts w:ascii="Calibri" w:eastAsia="Calibri" w:hAnsi="Calibri" w:cs="Calibri" w:hint="default"/>
      </w:rPr>
    </w:lvl>
    <w:lvl w:ilvl="1" w:tplc="48009846" w:tentative="1">
      <w:start w:val="1"/>
      <w:numFmt w:val="bullet"/>
      <w:lvlText w:val="o"/>
      <w:lvlJc w:val="left"/>
      <w:pPr>
        <w:ind w:left="1440" w:hanging="360"/>
      </w:pPr>
      <w:rPr>
        <w:rFonts w:ascii="Courier New" w:hAnsi="Courier New" w:cs="Courier New" w:hint="default"/>
      </w:rPr>
    </w:lvl>
    <w:lvl w:ilvl="2" w:tplc="2820C262" w:tentative="1">
      <w:start w:val="1"/>
      <w:numFmt w:val="bullet"/>
      <w:lvlText w:val=""/>
      <w:lvlJc w:val="left"/>
      <w:pPr>
        <w:ind w:left="2160" w:hanging="360"/>
      </w:pPr>
      <w:rPr>
        <w:rFonts w:ascii="Wingdings" w:hAnsi="Wingdings" w:hint="default"/>
      </w:rPr>
    </w:lvl>
    <w:lvl w:ilvl="3" w:tplc="CA9C5BBA" w:tentative="1">
      <w:start w:val="1"/>
      <w:numFmt w:val="bullet"/>
      <w:lvlText w:val=""/>
      <w:lvlJc w:val="left"/>
      <w:pPr>
        <w:ind w:left="2880" w:hanging="360"/>
      </w:pPr>
      <w:rPr>
        <w:rFonts w:ascii="Symbol" w:hAnsi="Symbol" w:hint="default"/>
      </w:rPr>
    </w:lvl>
    <w:lvl w:ilvl="4" w:tplc="4A68FEFC" w:tentative="1">
      <w:start w:val="1"/>
      <w:numFmt w:val="bullet"/>
      <w:lvlText w:val="o"/>
      <w:lvlJc w:val="left"/>
      <w:pPr>
        <w:ind w:left="3600" w:hanging="360"/>
      </w:pPr>
      <w:rPr>
        <w:rFonts w:ascii="Courier New" w:hAnsi="Courier New" w:cs="Courier New" w:hint="default"/>
      </w:rPr>
    </w:lvl>
    <w:lvl w:ilvl="5" w:tplc="BADAAF6E" w:tentative="1">
      <w:start w:val="1"/>
      <w:numFmt w:val="bullet"/>
      <w:lvlText w:val=""/>
      <w:lvlJc w:val="left"/>
      <w:pPr>
        <w:ind w:left="4320" w:hanging="360"/>
      </w:pPr>
      <w:rPr>
        <w:rFonts w:ascii="Wingdings" w:hAnsi="Wingdings" w:hint="default"/>
      </w:rPr>
    </w:lvl>
    <w:lvl w:ilvl="6" w:tplc="B37E7688" w:tentative="1">
      <w:start w:val="1"/>
      <w:numFmt w:val="bullet"/>
      <w:lvlText w:val=""/>
      <w:lvlJc w:val="left"/>
      <w:pPr>
        <w:ind w:left="5040" w:hanging="360"/>
      </w:pPr>
      <w:rPr>
        <w:rFonts w:ascii="Symbol" w:hAnsi="Symbol" w:hint="default"/>
      </w:rPr>
    </w:lvl>
    <w:lvl w:ilvl="7" w:tplc="DAEE7F06" w:tentative="1">
      <w:start w:val="1"/>
      <w:numFmt w:val="bullet"/>
      <w:lvlText w:val="o"/>
      <w:lvlJc w:val="left"/>
      <w:pPr>
        <w:ind w:left="5760" w:hanging="360"/>
      </w:pPr>
      <w:rPr>
        <w:rFonts w:ascii="Courier New" w:hAnsi="Courier New" w:cs="Courier New" w:hint="default"/>
      </w:rPr>
    </w:lvl>
    <w:lvl w:ilvl="8" w:tplc="7332C450" w:tentative="1">
      <w:start w:val="1"/>
      <w:numFmt w:val="bullet"/>
      <w:lvlText w:val=""/>
      <w:lvlJc w:val="left"/>
      <w:pPr>
        <w:ind w:left="6480" w:hanging="360"/>
      </w:pPr>
      <w:rPr>
        <w:rFonts w:ascii="Wingdings" w:hAnsi="Wingdings" w:hint="default"/>
      </w:rPr>
    </w:lvl>
  </w:abstractNum>
  <w:abstractNum w:abstractNumId="1" w15:restartNumberingAfterBreak="0">
    <w:nsid w:val="315A7C5A"/>
    <w:multiLevelType w:val="hybridMultilevel"/>
    <w:tmpl w:val="C38E9252"/>
    <w:lvl w:ilvl="0" w:tplc="395248D4">
      <w:numFmt w:val="bullet"/>
      <w:lvlText w:val="−"/>
      <w:lvlJc w:val="left"/>
      <w:pPr>
        <w:ind w:left="735" w:hanging="375"/>
      </w:pPr>
      <w:rPr>
        <w:rFonts w:ascii="Arial" w:eastAsiaTheme="minorHAnsi" w:hAnsi="Arial" w:cs="Arial" w:hint="default"/>
      </w:rPr>
    </w:lvl>
    <w:lvl w:ilvl="1" w:tplc="7F16D92C" w:tentative="1">
      <w:start w:val="1"/>
      <w:numFmt w:val="bullet"/>
      <w:lvlText w:val="o"/>
      <w:lvlJc w:val="left"/>
      <w:pPr>
        <w:ind w:left="1440" w:hanging="360"/>
      </w:pPr>
      <w:rPr>
        <w:rFonts w:ascii="Courier New" w:hAnsi="Courier New" w:cs="Courier New" w:hint="default"/>
      </w:rPr>
    </w:lvl>
    <w:lvl w:ilvl="2" w:tplc="F1ACD52A" w:tentative="1">
      <w:start w:val="1"/>
      <w:numFmt w:val="bullet"/>
      <w:lvlText w:val=""/>
      <w:lvlJc w:val="left"/>
      <w:pPr>
        <w:ind w:left="2160" w:hanging="360"/>
      </w:pPr>
      <w:rPr>
        <w:rFonts w:ascii="Wingdings" w:hAnsi="Wingdings" w:hint="default"/>
      </w:rPr>
    </w:lvl>
    <w:lvl w:ilvl="3" w:tplc="25908DB2" w:tentative="1">
      <w:start w:val="1"/>
      <w:numFmt w:val="bullet"/>
      <w:lvlText w:val=""/>
      <w:lvlJc w:val="left"/>
      <w:pPr>
        <w:ind w:left="2880" w:hanging="360"/>
      </w:pPr>
      <w:rPr>
        <w:rFonts w:ascii="Symbol" w:hAnsi="Symbol" w:hint="default"/>
      </w:rPr>
    </w:lvl>
    <w:lvl w:ilvl="4" w:tplc="8ED887E2" w:tentative="1">
      <w:start w:val="1"/>
      <w:numFmt w:val="bullet"/>
      <w:lvlText w:val="o"/>
      <w:lvlJc w:val="left"/>
      <w:pPr>
        <w:ind w:left="3600" w:hanging="360"/>
      </w:pPr>
      <w:rPr>
        <w:rFonts w:ascii="Courier New" w:hAnsi="Courier New" w:cs="Courier New" w:hint="default"/>
      </w:rPr>
    </w:lvl>
    <w:lvl w:ilvl="5" w:tplc="73CCB928" w:tentative="1">
      <w:start w:val="1"/>
      <w:numFmt w:val="bullet"/>
      <w:lvlText w:val=""/>
      <w:lvlJc w:val="left"/>
      <w:pPr>
        <w:ind w:left="4320" w:hanging="360"/>
      </w:pPr>
      <w:rPr>
        <w:rFonts w:ascii="Wingdings" w:hAnsi="Wingdings" w:hint="default"/>
      </w:rPr>
    </w:lvl>
    <w:lvl w:ilvl="6" w:tplc="AA38B5E6" w:tentative="1">
      <w:start w:val="1"/>
      <w:numFmt w:val="bullet"/>
      <w:lvlText w:val=""/>
      <w:lvlJc w:val="left"/>
      <w:pPr>
        <w:ind w:left="5040" w:hanging="360"/>
      </w:pPr>
      <w:rPr>
        <w:rFonts w:ascii="Symbol" w:hAnsi="Symbol" w:hint="default"/>
      </w:rPr>
    </w:lvl>
    <w:lvl w:ilvl="7" w:tplc="ABD0DDEC" w:tentative="1">
      <w:start w:val="1"/>
      <w:numFmt w:val="bullet"/>
      <w:lvlText w:val="o"/>
      <w:lvlJc w:val="left"/>
      <w:pPr>
        <w:ind w:left="5760" w:hanging="360"/>
      </w:pPr>
      <w:rPr>
        <w:rFonts w:ascii="Courier New" w:hAnsi="Courier New" w:cs="Courier New" w:hint="default"/>
      </w:rPr>
    </w:lvl>
    <w:lvl w:ilvl="8" w:tplc="36DE52C8" w:tentative="1">
      <w:start w:val="1"/>
      <w:numFmt w:val="bullet"/>
      <w:lvlText w:val=""/>
      <w:lvlJc w:val="left"/>
      <w:pPr>
        <w:ind w:left="6480" w:hanging="360"/>
      </w:pPr>
      <w:rPr>
        <w:rFonts w:ascii="Wingdings" w:hAnsi="Wingdings" w:hint="default"/>
      </w:rPr>
    </w:lvl>
  </w:abstractNum>
  <w:num w:numId="1" w16cid:durableId="319579566">
    <w:abstractNumId w:val="0"/>
  </w:num>
  <w:num w:numId="2" w16cid:durableId="53916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E1"/>
    <w:rsid w:val="0002224C"/>
    <w:rsid w:val="000C2A24"/>
    <w:rsid w:val="000D7872"/>
    <w:rsid w:val="000E3E5B"/>
    <w:rsid w:val="001C18D9"/>
    <w:rsid w:val="00260A71"/>
    <w:rsid w:val="002827D1"/>
    <w:rsid w:val="00293E12"/>
    <w:rsid w:val="003D30AB"/>
    <w:rsid w:val="003F466A"/>
    <w:rsid w:val="0049091C"/>
    <w:rsid w:val="005301E1"/>
    <w:rsid w:val="00543EF5"/>
    <w:rsid w:val="00603EEC"/>
    <w:rsid w:val="006254A6"/>
    <w:rsid w:val="006F282A"/>
    <w:rsid w:val="0077466F"/>
    <w:rsid w:val="007B4BC8"/>
    <w:rsid w:val="00946C01"/>
    <w:rsid w:val="00947589"/>
    <w:rsid w:val="0096379E"/>
    <w:rsid w:val="00A57187"/>
    <w:rsid w:val="00A60B79"/>
    <w:rsid w:val="00BB0A01"/>
    <w:rsid w:val="00BD71A2"/>
    <w:rsid w:val="00CC07CE"/>
    <w:rsid w:val="00D23708"/>
    <w:rsid w:val="00E4138F"/>
    <w:rsid w:val="00F40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D8544"/>
  <w15:chartTrackingRefBased/>
  <w15:docId w15:val="{FFF1592F-BD0A-4E73-B030-C7AA2573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1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1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1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1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1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1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1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1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1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1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1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1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1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1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1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1E1"/>
    <w:rPr>
      <w:rFonts w:eastAsiaTheme="majorEastAsia" w:cstheme="majorBidi"/>
      <w:color w:val="272727" w:themeColor="text1" w:themeTint="D8"/>
    </w:rPr>
  </w:style>
  <w:style w:type="paragraph" w:styleId="Ttulo">
    <w:name w:val="Title"/>
    <w:basedOn w:val="Normal"/>
    <w:next w:val="Normal"/>
    <w:link w:val="TtuloCar"/>
    <w:uiPriority w:val="10"/>
    <w:qFormat/>
    <w:rsid w:val="00530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1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1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1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1E1"/>
    <w:pPr>
      <w:spacing w:before="160"/>
      <w:jc w:val="center"/>
    </w:pPr>
    <w:rPr>
      <w:i/>
      <w:iCs/>
      <w:color w:val="404040" w:themeColor="text1" w:themeTint="BF"/>
    </w:rPr>
  </w:style>
  <w:style w:type="character" w:customStyle="1" w:styleId="CitaCar">
    <w:name w:val="Cita Car"/>
    <w:basedOn w:val="Fuentedeprrafopredeter"/>
    <w:link w:val="Cita"/>
    <w:uiPriority w:val="29"/>
    <w:rsid w:val="005301E1"/>
    <w:rPr>
      <w:i/>
      <w:iCs/>
      <w:color w:val="404040" w:themeColor="text1" w:themeTint="BF"/>
    </w:rPr>
  </w:style>
  <w:style w:type="paragraph" w:styleId="Prrafodelista">
    <w:name w:val="List Paragraph"/>
    <w:basedOn w:val="Normal"/>
    <w:uiPriority w:val="34"/>
    <w:qFormat/>
    <w:rsid w:val="005301E1"/>
    <w:pPr>
      <w:ind w:left="720"/>
      <w:contextualSpacing/>
    </w:pPr>
  </w:style>
  <w:style w:type="character" w:styleId="nfasisintenso">
    <w:name w:val="Intense Emphasis"/>
    <w:basedOn w:val="Fuentedeprrafopredeter"/>
    <w:uiPriority w:val="21"/>
    <w:qFormat/>
    <w:rsid w:val="005301E1"/>
    <w:rPr>
      <w:i/>
      <w:iCs/>
      <w:color w:val="0F4761" w:themeColor="accent1" w:themeShade="BF"/>
    </w:rPr>
  </w:style>
  <w:style w:type="paragraph" w:styleId="Citadestacada">
    <w:name w:val="Intense Quote"/>
    <w:basedOn w:val="Normal"/>
    <w:next w:val="Normal"/>
    <w:link w:val="CitadestacadaCar"/>
    <w:uiPriority w:val="30"/>
    <w:qFormat/>
    <w:rsid w:val="00530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1E1"/>
    <w:rPr>
      <w:i/>
      <w:iCs/>
      <w:color w:val="0F4761" w:themeColor="accent1" w:themeShade="BF"/>
    </w:rPr>
  </w:style>
  <w:style w:type="character" w:styleId="Referenciaintensa">
    <w:name w:val="Intense Reference"/>
    <w:basedOn w:val="Fuentedeprrafopredeter"/>
    <w:uiPriority w:val="32"/>
    <w:qFormat/>
    <w:rsid w:val="005301E1"/>
    <w:rPr>
      <w:b/>
      <w:bCs/>
      <w:smallCaps/>
      <w:color w:val="0F4761" w:themeColor="accent1" w:themeShade="BF"/>
      <w:spacing w:val="5"/>
    </w:rPr>
  </w:style>
  <w:style w:type="paragraph" w:styleId="Encabezado">
    <w:name w:val="header"/>
    <w:aliases w:val="Encabezado CJA"/>
    <w:basedOn w:val="Normal"/>
    <w:link w:val="EncabezadoCar"/>
    <w:unhideWhenUsed/>
    <w:rsid w:val="005301E1"/>
    <w:pPr>
      <w:tabs>
        <w:tab w:val="center" w:pos="4252"/>
        <w:tab w:val="right" w:pos="8504"/>
      </w:tabs>
      <w:spacing w:after="0" w:line="240" w:lineRule="auto"/>
    </w:pPr>
  </w:style>
  <w:style w:type="character" w:customStyle="1" w:styleId="EncabezadoCar">
    <w:name w:val="Encabezado Car"/>
    <w:aliases w:val="Encabezado CJA Car"/>
    <w:basedOn w:val="Fuentedeprrafopredeter"/>
    <w:link w:val="Encabezado"/>
    <w:rsid w:val="005301E1"/>
  </w:style>
  <w:style w:type="paragraph" w:styleId="Piedepgina">
    <w:name w:val="footer"/>
    <w:basedOn w:val="Normal"/>
    <w:link w:val="PiedepginaCar"/>
    <w:uiPriority w:val="99"/>
    <w:unhideWhenUsed/>
    <w:rsid w:val="005301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0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276C-5E15-4FA6-B5AE-62A4C793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2545</Words>
  <Characters>13998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dfa</Company>
  <LinksUpToDate>false</LinksUpToDate>
  <CharactersWithSpaces>16510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Bengoechea, Marta</dc:creator>
  <cp:lastModifiedBy>Lopez de Heredia Lopez de Vicuña, Elena</cp:lastModifiedBy>
  <cp:revision>11</cp:revision>
  <cp:lastPrinted>2025-06-18T07:41:00Z</cp:lastPrinted>
  <dcterms:created xsi:type="dcterms:W3CDTF">2025-08-18T10:45:00Z</dcterms:created>
  <dcterms:modified xsi:type="dcterms:W3CDTF">2025-08-18T12:21:00Z</dcterms:modified>
</cp:coreProperties>
</file>