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D427A" w14:textId="77777777" w:rsidR="0096379E" w:rsidRDefault="0096379E" w:rsidP="005301E1">
      <w:pPr>
        <w:jc w:val="both"/>
        <w:rPr>
          <w:rFonts w:ascii="Arial" w:hAnsi="Arial" w:cs="Arial"/>
        </w:rPr>
      </w:pPr>
    </w:p>
    <w:p w14:paraId="5763C0FC" w14:textId="55906D14" w:rsidR="0096379E" w:rsidRPr="0096379E" w:rsidRDefault="0096379E" w:rsidP="0096379E">
      <w:pPr>
        <w:jc w:val="both"/>
        <w:rPr>
          <w:rFonts w:ascii="Arial" w:hAnsi="Arial" w:cs="Arial"/>
          <w:b/>
          <w:bCs/>
        </w:rPr>
      </w:pPr>
      <w:r w:rsidRPr="0096379E">
        <w:rPr>
          <w:rFonts w:ascii="Arial" w:hAnsi="Arial" w:cs="Arial"/>
          <w:b/>
          <w:bCs/>
        </w:rPr>
        <w:t xml:space="preserve">DICTAMEN SOBRE EL PROYECTO DE NORMA FORAL POR LA QUE SE ESTABLECE LA NORMATIVA ESPECÍFICA QUE REGULA EL EJERCICIO DE LA CAZA EN EL TERRITORIO HISTÓRICO DE ÁLAVA DURANTE LA CAMPAÑA 2025-2026 </w:t>
      </w:r>
      <w:r>
        <w:rPr>
          <w:rFonts w:ascii="Arial" w:hAnsi="Arial" w:cs="Arial"/>
          <w:b/>
          <w:bCs/>
        </w:rPr>
        <w:t>(Sesión 17. Junio.2025)</w:t>
      </w:r>
    </w:p>
    <w:p w14:paraId="14FB9AA4" w14:textId="28EF5F90" w:rsidR="0096379E" w:rsidRDefault="0096379E" w:rsidP="005301E1">
      <w:pPr>
        <w:jc w:val="both"/>
        <w:rPr>
          <w:rFonts w:ascii="Arial" w:hAnsi="Arial" w:cs="Arial"/>
        </w:rPr>
      </w:pPr>
    </w:p>
    <w:p w14:paraId="5D0E0425" w14:textId="47D24B39" w:rsidR="005301E1" w:rsidRPr="0096379E" w:rsidRDefault="0049091C" w:rsidP="005301E1">
      <w:pPr>
        <w:jc w:val="both"/>
        <w:rPr>
          <w:rFonts w:ascii="Arial" w:hAnsi="Arial" w:cs="Arial"/>
          <w:b/>
          <w:bCs/>
        </w:rPr>
      </w:pPr>
      <w:r>
        <w:rPr>
          <w:rFonts w:ascii="Arial" w:hAnsi="Arial" w:cs="Arial"/>
          <w:b/>
          <w:bCs/>
        </w:rPr>
        <w:t>I.</w:t>
      </w:r>
      <w:r w:rsidR="005301E1" w:rsidRPr="0096379E">
        <w:rPr>
          <w:rFonts w:ascii="Arial" w:hAnsi="Arial" w:cs="Arial"/>
          <w:b/>
          <w:bCs/>
        </w:rPr>
        <w:t>ANTECEDENTES DE HECHO</w:t>
      </w:r>
    </w:p>
    <w:p w14:paraId="107A33AD" w14:textId="77777777" w:rsidR="005301E1" w:rsidRPr="005301E1" w:rsidRDefault="005301E1" w:rsidP="005301E1">
      <w:pPr>
        <w:jc w:val="both"/>
        <w:rPr>
          <w:rFonts w:ascii="Arial" w:hAnsi="Arial" w:cs="Arial"/>
        </w:rPr>
      </w:pPr>
    </w:p>
    <w:p w14:paraId="3B1D34D0" w14:textId="77777777" w:rsidR="005301E1" w:rsidRPr="005301E1" w:rsidRDefault="005301E1" w:rsidP="005301E1">
      <w:pPr>
        <w:jc w:val="both"/>
        <w:rPr>
          <w:rFonts w:ascii="Arial" w:hAnsi="Arial" w:cs="Arial"/>
        </w:rPr>
      </w:pPr>
      <w:r w:rsidRPr="005301E1">
        <w:rPr>
          <w:rFonts w:ascii="Arial" w:hAnsi="Arial" w:cs="Arial"/>
        </w:rPr>
        <w:t xml:space="preserve">Mediante escrito del </w:t>
      </w:r>
      <w:proofErr w:type="gramStart"/>
      <w:r w:rsidRPr="005301E1">
        <w:rPr>
          <w:rFonts w:ascii="Arial" w:hAnsi="Arial" w:cs="Arial"/>
        </w:rPr>
        <w:t>Director</w:t>
      </w:r>
      <w:proofErr w:type="gramEnd"/>
      <w:r w:rsidRPr="005301E1">
        <w:rPr>
          <w:rFonts w:ascii="Arial" w:hAnsi="Arial" w:cs="Arial"/>
        </w:rPr>
        <w:t xml:space="preserve"> de Agricultura se remite, con fecha 6 de junio de 2025, solicitud de Dictamen sobre el proyecto de orden foral por la que se establece la normativa específica que regula el ejercicio de la caza en el Territorio Histórico de Álava durante la campaña 2025-2026, con el objeto de que por esta Comisión Consultiva se emita el preceptivo dictamen.</w:t>
      </w:r>
    </w:p>
    <w:p w14:paraId="63893CB8" w14:textId="77777777" w:rsidR="005301E1" w:rsidRPr="005301E1" w:rsidRDefault="005301E1" w:rsidP="005301E1">
      <w:pPr>
        <w:jc w:val="both"/>
        <w:rPr>
          <w:rFonts w:ascii="Arial" w:hAnsi="Arial" w:cs="Arial"/>
        </w:rPr>
      </w:pPr>
      <w:r w:rsidRPr="005301E1">
        <w:rPr>
          <w:rFonts w:ascii="Arial" w:hAnsi="Arial" w:cs="Arial"/>
        </w:rPr>
        <w:t>A la petición del dictamen se acompañó la documentación que a continuación se detalla:</w:t>
      </w:r>
    </w:p>
    <w:p w14:paraId="3E556B27" w14:textId="77777777" w:rsidR="005301E1" w:rsidRPr="005301E1" w:rsidRDefault="005301E1" w:rsidP="005301E1">
      <w:pPr>
        <w:jc w:val="both"/>
        <w:rPr>
          <w:rFonts w:ascii="Arial" w:hAnsi="Arial" w:cs="Arial"/>
        </w:rPr>
      </w:pPr>
      <w:r w:rsidRPr="005301E1">
        <w:rPr>
          <w:rFonts w:ascii="Arial" w:hAnsi="Arial" w:cs="Arial"/>
        </w:rPr>
        <w:t>1.   Acta del Consejo Territorial de Caza de Álava de la sesión celebrada el 9 de abril de 2025, en cuyo orden del día se incluía informar sobre el proyecto de orden foral de caza de la temporada 2025-2026.</w:t>
      </w:r>
    </w:p>
    <w:p w14:paraId="6DFC9A5F" w14:textId="77777777" w:rsidR="005301E1" w:rsidRPr="005301E1" w:rsidRDefault="005301E1" w:rsidP="005301E1">
      <w:pPr>
        <w:jc w:val="both"/>
        <w:rPr>
          <w:rFonts w:ascii="Arial" w:hAnsi="Arial" w:cs="Arial"/>
        </w:rPr>
      </w:pPr>
      <w:r w:rsidRPr="005301E1">
        <w:rPr>
          <w:rFonts w:ascii="Arial" w:hAnsi="Arial" w:cs="Arial"/>
        </w:rPr>
        <w:t>2. Informe técnico sobre el análisis de los datos de seguimiento de las principales poblaciones cinegéticas durante la temporada de caza 2024-2025, y propuesta de los parámetros de gestión a incluir en el proyecto de orden foral reguladora de la caza durante la temporada 2025-2026.</w:t>
      </w:r>
    </w:p>
    <w:p w14:paraId="0EBB1B3C" w14:textId="77777777" w:rsidR="005301E1" w:rsidRPr="005301E1" w:rsidRDefault="005301E1" w:rsidP="005301E1">
      <w:pPr>
        <w:jc w:val="both"/>
        <w:rPr>
          <w:rFonts w:ascii="Arial" w:hAnsi="Arial" w:cs="Arial"/>
        </w:rPr>
      </w:pPr>
      <w:r w:rsidRPr="005301E1">
        <w:rPr>
          <w:rFonts w:ascii="Arial" w:hAnsi="Arial" w:cs="Arial"/>
        </w:rPr>
        <w:t>3.   Orden Foral 117/2025, de 12 de mayo, de la Diputada de Agricultura, por la que se inicia el procedimiento de elaboración de la orden foral por la que se establece la normativa reguladora específica para el ejercicio de la caza en el Territorio Histórico de Álava durante la temporada 2025-2026.</w:t>
      </w:r>
    </w:p>
    <w:p w14:paraId="3B1095DA" w14:textId="77777777" w:rsidR="005301E1" w:rsidRPr="005301E1" w:rsidRDefault="005301E1" w:rsidP="00756F90">
      <w:pPr>
        <w:spacing w:after="0" w:line="240" w:lineRule="auto"/>
        <w:jc w:val="both"/>
        <w:rPr>
          <w:rFonts w:ascii="Arial" w:hAnsi="Arial" w:cs="Arial"/>
        </w:rPr>
      </w:pPr>
      <w:r w:rsidRPr="005301E1">
        <w:rPr>
          <w:rFonts w:ascii="Arial" w:hAnsi="Arial" w:cs="Arial"/>
        </w:rPr>
        <w:t>4.   Informe de impacto en función del género emitido por personal técnico de Secretaría</w:t>
      </w:r>
    </w:p>
    <w:p w14:paraId="0651A9DC" w14:textId="77777777" w:rsidR="005301E1" w:rsidRDefault="005301E1" w:rsidP="00756F90">
      <w:pPr>
        <w:spacing w:after="0" w:line="240" w:lineRule="auto"/>
        <w:jc w:val="both"/>
        <w:rPr>
          <w:rFonts w:ascii="Arial" w:hAnsi="Arial" w:cs="Arial"/>
        </w:rPr>
      </w:pPr>
      <w:r w:rsidRPr="005301E1">
        <w:rPr>
          <w:rFonts w:ascii="Arial" w:hAnsi="Arial" w:cs="Arial"/>
        </w:rPr>
        <w:t>Técnica de Agricultura el 22 de mayo de 2025.</w:t>
      </w:r>
    </w:p>
    <w:p w14:paraId="65317F01" w14:textId="77777777" w:rsidR="00756F90" w:rsidRPr="005301E1" w:rsidRDefault="00756F90" w:rsidP="00756F90">
      <w:pPr>
        <w:spacing w:after="0" w:line="240" w:lineRule="auto"/>
        <w:jc w:val="both"/>
        <w:rPr>
          <w:rFonts w:ascii="Arial" w:hAnsi="Arial" w:cs="Arial"/>
        </w:rPr>
      </w:pPr>
    </w:p>
    <w:p w14:paraId="05EE125A" w14:textId="77777777" w:rsidR="005301E1" w:rsidRPr="005301E1" w:rsidRDefault="005301E1" w:rsidP="005301E1">
      <w:pPr>
        <w:jc w:val="both"/>
        <w:rPr>
          <w:rFonts w:ascii="Arial" w:hAnsi="Arial" w:cs="Arial"/>
        </w:rPr>
      </w:pPr>
      <w:r w:rsidRPr="005301E1">
        <w:rPr>
          <w:rFonts w:ascii="Arial" w:hAnsi="Arial" w:cs="Arial"/>
        </w:rPr>
        <w:t>5.   Observaciones que emite el Servicio de Igualdad a la solicitud de verificación de la evaluación de impacto de género en fecha 22 de mayo de 2025.</w:t>
      </w:r>
    </w:p>
    <w:p w14:paraId="1942A75E" w14:textId="77777777" w:rsidR="005301E1" w:rsidRPr="005301E1" w:rsidRDefault="005301E1" w:rsidP="005301E1">
      <w:pPr>
        <w:jc w:val="both"/>
        <w:rPr>
          <w:rFonts w:ascii="Arial" w:hAnsi="Arial" w:cs="Arial"/>
        </w:rPr>
      </w:pPr>
      <w:r w:rsidRPr="005301E1">
        <w:rPr>
          <w:rFonts w:ascii="Arial" w:hAnsi="Arial" w:cs="Arial"/>
        </w:rPr>
        <w:t>6.   Memoria sobre los resultados del trámite de audiencia e información pública.</w:t>
      </w:r>
    </w:p>
    <w:p w14:paraId="127562DE" w14:textId="0C4EA823" w:rsidR="005301E1" w:rsidRPr="005301E1" w:rsidRDefault="005301E1" w:rsidP="005301E1">
      <w:pPr>
        <w:jc w:val="both"/>
        <w:rPr>
          <w:rFonts w:ascii="Arial" w:hAnsi="Arial" w:cs="Arial"/>
        </w:rPr>
      </w:pPr>
      <w:r w:rsidRPr="005301E1">
        <w:rPr>
          <w:rFonts w:ascii="Arial" w:hAnsi="Arial" w:cs="Arial"/>
        </w:rPr>
        <w:t>7.   Informe de impacto normativo emitido por personal técnico de la Secretaría Técnica de</w:t>
      </w:r>
      <w:r>
        <w:rPr>
          <w:rFonts w:ascii="Arial" w:hAnsi="Arial" w:cs="Arial"/>
        </w:rPr>
        <w:t xml:space="preserve"> </w:t>
      </w:r>
      <w:r w:rsidRPr="005301E1">
        <w:rPr>
          <w:rFonts w:ascii="Arial" w:hAnsi="Arial" w:cs="Arial"/>
        </w:rPr>
        <w:t>Agricultura el 9 de junio de 2025.</w:t>
      </w:r>
    </w:p>
    <w:p w14:paraId="3C5E9B91" w14:textId="77777777" w:rsidR="005301E1" w:rsidRPr="005301E1" w:rsidRDefault="005301E1" w:rsidP="005301E1">
      <w:pPr>
        <w:jc w:val="both"/>
        <w:rPr>
          <w:rFonts w:ascii="Arial" w:hAnsi="Arial" w:cs="Arial"/>
        </w:rPr>
      </w:pPr>
      <w:r w:rsidRPr="005301E1">
        <w:rPr>
          <w:rFonts w:ascii="Arial" w:hAnsi="Arial" w:cs="Arial"/>
        </w:rPr>
        <w:lastRenderedPageBreak/>
        <w:t>8.   Proyecto de orden foral por el que se establece la normativa reguladora específica para el ejercicio de la caza en el Territorio Histórico de Álava durante la temporada 2025-2026.</w:t>
      </w:r>
    </w:p>
    <w:p w14:paraId="1482D701" w14:textId="77777777" w:rsidR="005301E1" w:rsidRPr="005301E1" w:rsidRDefault="005301E1" w:rsidP="005301E1">
      <w:pPr>
        <w:jc w:val="both"/>
        <w:rPr>
          <w:rFonts w:ascii="Arial" w:hAnsi="Arial" w:cs="Arial"/>
        </w:rPr>
      </w:pPr>
      <w:r w:rsidRPr="005301E1">
        <w:rPr>
          <w:rFonts w:ascii="Arial" w:hAnsi="Arial" w:cs="Arial"/>
        </w:rPr>
        <w:t>9.   Declaración del carácter urgente de la consulta planteada ante la Comisión Consultiva, de fecha 30 de mayo de 2025.</w:t>
      </w:r>
    </w:p>
    <w:p w14:paraId="7A7F0638" w14:textId="77777777" w:rsidR="005301E1" w:rsidRPr="005301E1" w:rsidRDefault="005301E1" w:rsidP="005301E1">
      <w:pPr>
        <w:jc w:val="both"/>
        <w:rPr>
          <w:rFonts w:ascii="Arial" w:hAnsi="Arial" w:cs="Arial"/>
        </w:rPr>
      </w:pPr>
    </w:p>
    <w:p w14:paraId="48536AA8" w14:textId="1A1783D1" w:rsidR="005301E1" w:rsidRPr="005301E1" w:rsidRDefault="0049091C" w:rsidP="005301E1">
      <w:pPr>
        <w:jc w:val="both"/>
        <w:rPr>
          <w:rFonts w:ascii="Arial" w:hAnsi="Arial" w:cs="Arial"/>
          <w:b/>
          <w:bCs/>
        </w:rPr>
      </w:pPr>
      <w:r>
        <w:rPr>
          <w:rFonts w:ascii="Arial" w:hAnsi="Arial" w:cs="Arial"/>
          <w:b/>
          <w:bCs/>
        </w:rPr>
        <w:t>II.</w:t>
      </w:r>
      <w:r w:rsidR="005301E1" w:rsidRPr="005301E1">
        <w:rPr>
          <w:rFonts w:ascii="Arial" w:hAnsi="Arial" w:cs="Arial"/>
          <w:b/>
          <w:bCs/>
        </w:rPr>
        <w:t>CONSIDERACIONES JURÍDICAS</w:t>
      </w:r>
    </w:p>
    <w:p w14:paraId="0C0AAF63" w14:textId="77777777" w:rsidR="005301E1" w:rsidRPr="005301E1" w:rsidRDefault="005301E1" w:rsidP="005301E1">
      <w:pPr>
        <w:jc w:val="both"/>
        <w:rPr>
          <w:rFonts w:ascii="Arial" w:hAnsi="Arial" w:cs="Arial"/>
        </w:rPr>
      </w:pPr>
      <w:proofErr w:type="gramStart"/>
      <w:r w:rsidRPr="005301E1">
        <w:rPr>
          <w:rFonts w:ascii="Arial" w:hAnsi="Arial" w:cs="Arial"/>
          <w:b/>
          <w:bCs/>
        </w:rPr>
        <w:t>PRIMERA.-</w:t>
      </w:r>
      <w:proofErr w:type="gramEnd"/>
      <w:r w:rsidRPr="005301E1">
        <w:rPr>
          <w:rFonts w:ascii="Arial" w:hAnsi="Arial" w:cs="Arial"/>
        </w:rPr>
        <w:t xml:space="preserve"> Competencia de la Comisión Consultiva.</w:t>
      </w:r>
    </w:p>
    <w:p w14:paraId="27D5DA93" w14:textId="308EBF1B" w:rsidR="005301E1" w:rsidRPr="005301E1" w:rsidRDefault="005301E1" w:rsidP="005301E1">
      <w:pPr>
        <w:jc w:val="both"/>
        <w:rPr>
          <w:rFonts w:ascii="Arial" w:hAnsi="Arial" w:cs="Arial"/>
        </w:rPr>
      </w:pPr>
      <w:r w:rsidRPr="005301E1">
        <w:rPr>
          <w:rFonts w:ascii="Arial" w:hAnsi="Arial" w:cs="Arial"/>
        </w:rPr>
        <w:t>La competencia de la Comisión Consultiva para emitir el presente dictamen resulta del artículo</w:t>
      </w:r>
      <w:r>
        <w:rPr>
          <w:rFonts w:ascii="Arial" w:hAnsi="Arial" w:cs="Arial"/>
        </w:rPr>
        <w:t xml:space="preserve"> </w:t>
      </w:r>
      <w:r w:rsidRPr="005301E1">
        <w:rPr>
          <w:rFonts w:ascii="Arial" w:hAnsi="Arial" w:cs="Arial"/>
        </w:rPr>
        <w:t>3.1.b) de su Reglamento Orgánico, aprobado por Decreto Foral 40/1999, del Consejo de Gobierno</w:t>
      </w:r>
      <w:r>
        <w:rPr>
          <w:rFonts w:ascii="Arial" w:hAnsi="Arial" w:cs="Arial"/>
        </w:rPr>
        <w:t xml:space="preserve"> </w:t>
      </w:r>
      <w:r w:rsidRPr="005301E1">
        <w:rPr>
          <w:rFonts w:ascii="Arial" w:hAnsi="Arial" w:cs="Arial"/>
        </w:rPr>
        <w:t xml:space="preserve">Foral de 30 marzo, que somete al dictamen preceptivo y no vinculante de esta Comisión los </w:t>
      </w:r>
      <w:r>
        <w:rPr>
          <w:rFonts w:ascii="Arial" w:hAnsi="Arial" w:cs="Arial"/>
        </w:rPr>
        <w:t xml:space="preserve"> </w:t>
      </w:r>
      <w:r w:rsidRPr="005301E1">
        <w:rPr>
          <w:rFonts w:ascii="Arial" w:hAnsi="Arial" w:cs="Arial"/>
        </w:rPr>
        <w:t>«Proyectos de disposiciones reglamentarias que se dicten en ejecución de las Normas Forales que regulen materias de la competencia exclusiva o de desarrollo normativo del Territorio Histórico, o en ejecución de las Leyes de la Comunidad Autónoma en aquellas materias en que compete al Territorio Histórico el desarrollo reglamentario de las mismas».</w:t>
      </w:r>
    </w:p>
    <w:p w14:paraId="71EE0F9C" w14:textId="77777777" w:rsidR="005301E1" w:rsidRPr="005301E1" w:rsidRDefault="005301E1" w:rsidP="005301E1">
      <w:pPr>
        <w:jc w:val="both"/>
        <w:rPr>
          <w:rFonts w:ascii="Arial" w:hAnsi="Arial" w:cs="Arial"/>
        </w:rPr>
      </w:pPr>
      <w:r w:rsidRPr="005301E1">
        <w:rPr>
          <w:rFonts w:ascii="Arial" w:hAnsi="Arial" w:cs="Arial"/>
        </w:rPr>
        <w:t>Por otra parte, el art. 20 de este Reglamento Orgánico, establece un plazo de 15 días para la emisión del Dictamen por parte de este órgano consultivo cuando la consulta se efectúe con carácter urgente, debiendo ser la urgencia apreciada, en todo caso, por el Diputado o la Diputada General a la vista de la propuesta motivada que a tal efecto realice el órgano consultante. A este efecto, por el Diputado General ha sido enviado escrito de fecha 30 de mayo de 2025, en el que acuerda la urgencia de la consulta planteada ante esta Comisión Consultiva.</w:t>
      </w:r>
    </w:p>
    <w:p w14:paraId="54D9B90D" w14:textId="77777777" w:rsidR="005301E1" w:rsidRPr="005301E1" w:rsidRDefault="005301E1" w:rsidP="005301E1">
      <w:pPr>
        <w:jc w:val="both"/>
        <w:rPr>
          <w:rFonts w:ascii="Arial" w:hAnsi="Arial" w:cs="Arial"/>
        </w:rPr>
      </w:pPr>
    </w:p>
    <w:p w14:paraId="74752FF6" w14:textId="77777777" w:rsidR="005301E1" w:rsidRDefault="005301E1" w:rsidP="005301E1">
      <w:pPr>
        <w:jc w:val="both"/>
        <w:rPr>
          <w:rFonts w:ascii="Arial" w:hAnsi="Arial" w:cs="Arial"/>
        </w:rPr>
      </w:pPr>
      <w:proofErr w:type="gramStart"/>
      <w:r w:rsidRPr="005301E1">
        <w:rPr>
          <w:rFonts w:ascii="Arial" w:hAnsi="Arial" w:cs="Arial"/>
          <w:b/>
          <w:bCs/>
        </w:rPr>
        <w:t>SEGUNDA</w:t>
      </w:r>
      <w:r w:rsidRPr="005301E1">
        <w:rPr>
          <w:rFonts w:ascii="Arial" w:hAnsi="Arial" w:cs="Arial"/>
        </w:rPr>
        <w:t>.-</w:t>
      </w:r>
      <w:proofErr w:type="gramEnd"/>
      <w:r w:rsidRPr="005301E1">
        <w:rPr>
          <w:rFonts w:ascii="Arial" w:hAnsi="Arial" w:cs="Arial"/>
        </w:rPr>
        <w:t xml:space="preserve"> Sobre los aspectos formales de la norma en proyecto. </w:t>
      </w:r>
    </w:p>
    <w:p w14:paraId="3F9CF86C" w14:textId="6F463BE8" w:rsidR="005301E1" w:rsidRPr="005301E1" w:rsidRDefault="005301E1" w:rsidP="005301E1">
      <w:pPr>
        <w:jc w:val="both"/>
        <w:rPr>
          <w:rFonts w:ascii="Arial" w:hAnsi="Arial" w:cs="Arial"/>
        </w:rPr>
      </w:pPr>
      <w:r w:rsidRPr="005301E1">
        <w:rPr>
          <w:rFonts w:ascii="Arial" w:hAnsi="Arial" w:cs="Arial"/>
        </w:rPr>
        <w:t>a) Competencia.</w:t>
      </w:r>
    </w:p>
    <w:p w14:paraId="03F312C4" w14:textId="2856FEFA" w:rsidR="005301E1" w:rsidRPr="005301E1" w:rsidRDefault="005301E1" w:rsidP="005301E1">
      <w:pPr>
        <w:jc w:val="both"/>
        <w:rPr>
          <w:rFonts w:ascii="Arial" w:hAnsi="Arial" w:cs="Arial"/>
        </w:rPr>
      </w:pPr>
      <w:r w:rsidRPr="005301E1">
        <w:rPr>
          <w:rFonts w:ascii="Arial" w:hAnsi="Arial" w:cs="Arial"/>
        </w:rPr>
        <w:t>El artículo 24.11 de la Norma Foral 10/2023, de 15 de marzo, de gobierno, organización y régimen jurídico de la Diputación Foral de Álava, atribuye a las diputadas y diputados forales el ejercicio de</w:t>
      </w:r>
      <w:r w:rsidR="00756F90">
        <w:rPr>
          <w:rFonts w:ascii="Arial" w:hAnsi="Arial" w:cs="Arial"/>
        </w:rPr>
        <w:t xml:space="preserve"> “</w:t>
      </w:r>
      <w:r w:rsidRPr="005301E1">
        <w:rPr>
          <w:rFonts w:ascii="Arial" w:hAnsi="Arial" w:cs="Arial"/>
        </w:rPr>
        <w:t>la potestad reglamentaria en las materias propias de su departamento para las que se hallen expresamente habilitados por la normativa vigente”</w:t>
      </w:r>
    </w:p>
    <w:p w14:paraId="0C7CE23F" w14:textId="4BD29787" w:rsidR="005301E1" w:rsidRPr="005301E1" w:rsidRDefault="005301E1" w:rsidP="005301E1">
      <w:pPr>
        <w:jc w:val="both"/>
        <w:rPr>
          <w:rFonts w:ascii="Arial" w:hAnsi="Arial" w:cs="Arial"/>
        </w:rPr>
      </w:pPr>
      <w:r w:rsidRPr="005301E1">
        <w:rPr>
          <w:rFonts w:ascii="Arial" w:hAnsi="Arial" w:cs="Arial"/>
        </w:rPr>
        <w:t>Más específicamente, el artículo 32 de la Norma Foral 8/2004, de 14 de junio, de Caza del</w:t>
      </w:r>
      <w:r>
        <w:rPr>
          <w:rFonts w:ascii="Arial" w:hAnsi="Arial" w:cs="Arial"/>
        </w:rPr>
        <w:t xml:space="preserve"> </w:t>
      </w:r>
      <w:r w:rsidRPr="005301E1">
        <w:rPr>
          <w:rFonts w:ascii="Arial" w:hAnsi="Arial" w:cs="Arial"/>
        </w:rPr>
        <w:t>Territorio Histórico de Álava, dispone que:</w:t>
      </w:r>
    </w:p>
    <w:p w14:paraId="17D4559A" w14:textId="2EB02DBE" w:rsidR="005301E1" w:rsidRPr="005301E1" w:rsidRDefault="00756F90" w:rsidP="005301E1">
      <w:pPr>
        <w:jc w:val="both"/>
        <w:rPr>
          <w:rFonts w:ascii="Arial" w:hAnsi="Arial" w:cs="Arial"/>
        </w:rPr>
      </w:pPr>
      <w:proofErr w:type="gramStart"/>
      <w:r>
        <w:rPr>
          <w:rFonts w:ascii="Arial" w:hAnsi="Arial" w:cs="Arial"/>
        </w:rPr>
        <w:t xml:space="preserve">“ </w:t>
      </w:r>
      <w:r w:rsidR="005301E1" w:rsidRPr="005301E1">
        <w:rPr>
          <w:rFonts w:ascii="Arial" w:hAnsi="Arial" w:cs="Arial"/>
        </w:rPr>
        <w:t>El</w:t>
      </w:r>
      <w:proofErr w:type="gramEnd"/>
      <w:r w:rsidR="005301E1" w:rsidRPr="005301E1">
        <w:rPr>
          <w:rFonts w:ascii="Arial" w:hAnsi="Arial" w:cs="Arial"/>
        </w:rPr>
        <w:t xml:space="preserve"> Departamento competente de la Diputación Foral, oído el Consejo Territorial de Caza, aprobará anualmente la Orden Foral Anual de Caza, reguladora del ejercicio de la caza en el Territorio Histórico, en la que se determinarán, al menos, las especies de interés cinegético y comercializables, las regulaciones, las épocas, días y horas hábiles de caza aplicables a las distintas especies en las diversas zonas, con expresión de las distintas modalidades y capturas permitidas”.</w:t>
      </w:r>
    </w:p>
    <w:p w14:paraId="47E4BCA7" w14:textId="77777777" w:rsidR="005301E1" w:rsidRPr="005301E1" w:rsidRDefault="005301E1" w:rsidP="005301E1">
      <w:pPr>
        <w:jc w:val="both"/>
        <w:rPr>
          <w:rFonts w:ascii="Arial" w:hAnsi="Arial" w:cs="Arial"/>
        </w:rPr>
      </w:pPr>
      <w:r w:rsidRPr="005301E1">
        <w:rPr>
          <w:rFonts w:ascii="Arial" w:hAnsi="Arial" w:cs="Arial"/>
        </w:rPr>
        <w:lastRenderedPageBreak/>
        <w:t>b) Procedimiento de elaboración de disposiciones de carácter general.</w:t>
      </w:r>
    </w:p>
    <w:p w14:paraId="3CB97C75" w14:textId="77777777" w:rsidR="005301E1" w:rsidRPr="005301E1" w:rsidRDefault="005301E1" w:rsidP="005301E1">
      <w:pPr>
        <w:jc w:val="both"/>
        <w:rPr>
          <w:rFonts w:ascii="Arial" w:hAnsi="Arial" w:cs="Arial"/>
        </w:rPr>
      </w:pPr>
      <w:r w:rsidRPr="005301E1">
        <w:rPr>
          <w:rFonts w:ascii="Arial" w:hAnsi="Arial" w:cs="Arial"/>
        </w:rPr>
        <w:t>1. Normativa aplicable.</w:t>
      </w:r>
    </w:p>
    <w:p w14:paraId="59FDE47F" w14:textId="0FA0515E" w:rsidR="005301E1" w:rsidRPr="005301E1" w:rsidRDefault="005301E1" w:rsidP="005301E1">
      <w:pPr>
        <w:jc w:val="both"/>
        <w:rPr>
          <w:rFonts w:ascii="Arial" w:hAnsi="Arial" w:cs="Arial"/>
        </w:rPr>
      </w:pPr>
      <w:r w:rsidRPr="005301E1">
        <w:rPr>
          <w:rFonts w:ascii="Arial" w:hAnsi="Arial" w:cs="Arial"/>
        </w:rPr>
        <w:t>El Decreto Foral 6/2023, de 28 de febrero, del Consejo de Gobierno Foral aprueba el procedimiento de elaboración de disposiciones de carácter general de la Diputación Foral de Álava (BOTHA n</w:t>
      </w:r>
      <w:r w:rsidR="005123E5">
        <w:rPr>
          <w:rFonts w:ascii="Arial" w:hAnsi="Arial" w:cs="Arial"/>
        </w:rPr>
        <w:t>úmero</w:t>
      </w:r>
      <w:r w:rsidRPr="005301E1">
        <w:rPr>
          <w:rFonts w:ascii="Arial" w:hAnsi="Arial" w:cs="Arial"/>
        </w:rPr>
        <w:t xml:space="preserve"> 28, de 8 de marzo de 2023). Su disposición final señala que el mismo entrará en vigor al día siguiente de su publicación en BOTHA.</w:t>
      </w:r>
    </w:p>
    <w:p w14:paraId="667A2DC2" w14:textId="77777777" w:rsidR="005301E1" w:rsidRDefault="005301E1" w:rsidP="005301E1">
      <w:pPr>
        <w:jc w:val="both"/>
        <w:rPr>
          <w:rFonts w:ascii="Arial" w:hAnsi="Arial" w:cs="Arial"/>
        </w:rPr>
      </w:pPr>
      <w:r w:rsidRPr="005301E1">
        <w:rPr>
          <w:rFonts w:ascii="Arial" w:hAnsi="Arial" w:cs="Arial"/>
        </w:rPr>
        <w:t>El procedimiento de elaboración del proyecto sometido a dictamen se inició mediante la Orden Foral 117/2025, de 12 de mayo, de la Diputada de Agricultura, por lo que le será de aplicación el aludido Decreto Foral, conforme a su disposición final.</w:t>
      </w:r>
    </w:p>
    <w:p w14:paraId="08885255" w14:textId="77777777" w:rsidR="00FD6060" w:rsidRPr="005301E1" w:rsidRDefault="00FD6060" w:rsidP="005301E1">
      <w:pPr>
        <w:jc w:val="both"/>
        <w:rPr>
          <w:rFonts w:ascii="Arial" w:hAnsi="Arial" w:cs="Arial"/>
        </w:rPr>
      </w:pPr>
    </w:p>
    <w:p w14:paraId="7195A2A9" w14:textId="77777777" w:rsidR="005301E1" w:rsidRPr="005301E1" w:rsidRDefault="005301E1" w:rsidP="005301E1">
      <w:pPr>
        <w:jc w:val="both"/>
        <w:rPr>
          <w:rFonts w:ascii="Arial" w:hAnsi="Arial" w:cs="Arial"/>
        </w:rPr>
      </w:pPr>
      <w:r w:rsidRPr="005301E1">
        <w:rPr>
          <w:rFonts w:ascii="Arial" w:hAnsi="Arial" w:cs="Arial"/>
        </w:rPr>
        <w:t>2. Plan anual normativo.</w:t>
      </w:r>
    </w:p>
    <w:p w14:paraId="2AE8B5D1" w14:textId="22429090" w:rsidR="005301E1" w:rsidRPr="005301E1" w:rsidRDefault="005301E1" w:rsidP="005301E1">
      <w:pPr>
        <w:jc w:val="both"/>
        <w:rPr>
          <w:rFonts w:ascii="Arial" w:hAnsi="Arial" w:cs="Arial"/>
        </w:rPr>
      </w:pPr>
      <w:r w:rsidRPr="005301E1">
        <w:rPr>
          <w:rFonts w:ascii="Arial" w:hAnsi="Arial" w:cs="Arial"/>
        </w:rPr>
        <w:t>Dispone el artículo 4 del Decreto Foral 6/2023 que, en el último trimestre de cada año, la Diputación Foral de Álava aprobará</w:t>
      </w:r>
      <w:r w:rsidR="00BB0A01">
        <w:rPr>
          <w:rFonts w:ascii="Arial" w:hAnsi="Arial" w:cs="Arial"/>
        </w:rPr>
        <w:t xml:space="preserve"> </w:t>
      </w:r>
      <w:r w:rsidRPr="005301E1">
        <w:rPr>
          <w:rFonts w:ascii="Arial" w:hAnsi="Arial" w:cs="Arial"/>
        </w:rPr>
        <w:t xml:space="preserve">un Plan Anual Normativo que incluirá las iniciativas normativas que tenga previsto proponer para su aprobación durante el ejercicio anual siguiente. En caso de que se promueva, por el órgano competente, una propuesta normativa que no figure en el Plan Anual Normativo, se deberá justificar la urgencia o la necesidad de tal regulación en la resolución de incoación del procedimiento de elaboración de la disposición. </w:t>
      </w:r>
    </w:p>
    <w:p w14:paraId="3C93DFCE" w14:textId="77777777" w:rsidR="005301E1" w:rsidRPr="005301E1" w:rsidRDefault="005301E1" w:rsidP="005301E1">
      <w:pPr>
        <w:jc w:val="both"/>
        <w:rPr>
          <w:rFonts w:ascii="Arial" w:hAnsi="Arial" w:cs="Arial"/>
        </w:rPr>
      </w:pPr>
      <w:r w:rsidRPr="005301E1">
        <w:rPr>
          <w:rFonts w:ascii="Arial" w:hAnsi="Arial" w:cs="Arial"/>
        </w:rPr>
        <w:t>Revisado el Plan Anual Normativo del año 2025, aprobado por Acuerdo 795/2024, de 23 de diciembre, del Consejo de Gobierno Foral, se constata que la presente iniciativa normativa no está prevista en dicho Plan, si bien la parte expositiva de la Orden Foral 117/2025, de 12 de mayo, indica lo contrario.</w:t>
      </w:r>
    </w:p>
    <w:p w14:paraId="106C97AF" w14:textId="77777777" w:rsidR="005301E1" w:rsidRPr="005301E1" w:rsidRDefault="005301E1" w:rsidP="005301E1">
      <w:pPr>
        <w:jc w:val="both"/>
        <w:rPr>
          <w:rFonts w:ascii="Arial" w:hAnsi="Arial" w:cs="Arial"/>
        </w:rPr>
      </w:pPr>
      <w:r w:rsidRPr="005301E1">
        <w:rPr>
          <w:rFonts w:ascii="Arial" w:hAnsi="Arial" w:cs="Arial"/>
        </w:rPr>
        <w:t>En defecto de la inclusión en el Plan Anual Normativo, tampoco se justifica la urgencia o la necesidad de tal regulación en la resolución de incoación del procedimiento de elaboración de dicha disposición de carácter general.</w:t>
      </w:r>
    </w:p>
    <w:p w14:paraId="4EAC511E" w14:textId="37D78F17" w:rsidR="00603EEC" w:rsidRDefault="005301E1" w:rsidP="005301E1">
      <w:pPr>
        <w:jc w:val="both"/>
        <w:rPr>
          <w:rFonts w:ascii="Arial" w:hAnsi="Arial" w:cs="Arial"/>
        </w:rPr>
      </w:pPr>
      <w:r w:rsidRPr="005301E1">
        <w:rPr>
          <w:rFonts w:ascii="Arial" w:hAnsi="Arial" w:cs="Arial"/>
        </w:rPr>
        <w:t xml:space="preserve">En conclusión, el hecho de que la normativa cuya aprobación se propone no haya sido incluida en el Plan Anual Normativo (aunque se indique lo contrario en la Orden Foral 117/2025, de 12 de mayo) y que la resolución que ha dado inicio al procedimiento de aprobación de </w:t>
      </w:r>
      <w:proofErr w:type="gramStart"/>
      <w:r w:rsidRPr="005301E1">
        <w:rPr>
          <w:rFonts w:ascii="Arial" w:hAnsi="Arial" w:cs="Arial"/>
        </w:rPr>
        <w:t>la misma</w:t>
      </w:r>
      <w:proofErr w:type="gramEnd"/>
      <w:r w:rsidRPr="005301E1">
        <w:rPr>
          <w:rFonts w:ascii="Arial" w:hAnsi="Arial" w:cs="Arial"/>
        </w:rPr>
        <w:t xml:space="preserve"> no justifique la necesidad ni la urgencia de su aprobación, supone la inobservancia de lo dispuesto en el artículo 4 del Decreto Foral 6/2023.</w:t>
      </w:r>
    </w:p>
    <w:p w14:paraId="0950D062" w14:textId="77777777" w:rsidR="00DC43AB" w:rsidRPr="005301E1" w:rsidRDefault="00DC43AB" w:rsidP="005301E1">
      <w:pPr>
        <w:jc w:val="both"/>
        <w:rPr>
          <w:rFonts w:ascii="Arial" w:hAnsi="Arial" w:cs="Arial"/>
        </w:rPr>
      </w:pPr>
    </w:p>
    <w:p w14:paraId="4B728CBD" w14:textId="77777777" w:rsidR="005301E1" w:rsidRPr="005301E1" w:rsidRDefault="005301E1" w:rsidP="005301E1">
      <w:pPr>
        <w:jc w:val="both"/>
        <w:rPr>
          <w:rFonts w:ascii="Arial" w:hAnsi="Arial" w:cs="Arial"/>
        </w:rPr>
      </w:pPr>
      <w:r w:rsidRPr="005301E1">
        <w:rPr>
          <w:rFonts w:ascii="Arial" w:hAnsi="Arial" w:cs="Arial"/>
        </w:rPr>
        <w:t>3. Principios de buena regulación.</w:t>
      </w:r>
    </w:p>
    <w:p w14:paraId="421C7256" w14:textId="4F9CE4CE" w:rsidR="005301E1" w:rsidRPr="005301E1" w:rsidRDefault="005301E1" w:rsidP="005301E1">
      <w:pPr>
        <w:jc w:val="both"/>
        <w:rPr>
          <w:rFonts w:ascii="Arial" w:hAnsi="Arial" w:cs="Arial"/>
        </w:rPr>
      </w:pPr>
      <w:r w:rsidRPr="005301E1">
        <w:rPr>
          <w:rFonts w:ascii="Arial" w:hAnsi="Arial" w:cs="Arial"/>
        </w:rPr>
        <w:t>El preámbulo del proyecto justifica su adecuación a los principios de buena regulación regulados en el artículo 129 de la Ley 39/2015, de 1 de octubre, de Procedimiento Administrativo Común de las Administraciones Públicas (en adelante, LPACAP), y en el artículo 3 del Decreto Foral</w:t>
      </w:r>
      <w:r w:rsidR="00BB0A01">
        <w:rPr>
          <w:rFonts w:ascii="Arial" w:hAnsi="Arial" w:cs="Arial"/>
        </w:rPr>
        <w:t xml:space="preserve"> </w:t>
      </w:r>
      <w:r w:rsidRPr="005301E1">
        <w:rPr>
          <w:rFonts w:ascii="Arial" w:hAnsi="Arial" w:cs="Arial"/>
        </w:rPr>
        <w:t>6/2023, de 28 de febrero, del Consejo de Gobierno Foral, que aprueba el procedimiento de elaboración de disposiciones de carácter general de la Diputación Foral de Álava.</w:t>
      </w:r>
    </w:p>
    <w:p w14:paraId="3B9566B3" w14:textId="77777777" w:rsidR="005301E1" w:rsidRPr="005301E1" w:rsidRDefault="005301E1" w:rsidP="005301E1">
      <w:pPr>
        <w:jc w:val="both"/>
        <w:rPr>
          <w:rFonts w:ascii="Arial" w:hAnsi="Arial" w:cs="Arial"/>
        </w:rPr>
      </w:pPr>
      <w:r w:rsidRPr="005301E1">
        <w:rPr>
          <w:rFonts w:ascii="Arial" w:hAnsi="Arial" w:cs="Arial"/>
        </w:rPr>
        <w:lastRenderedPageBreak/>
        <w:t>Sin perjuicio de lo anterior, el artículo 65.2 de la Ley 42/2007, del Patrimonio Natural y la Biodiversidad, de carácter básico según su artículo 1 y la Disposición Final Segunda, establece lo siguiente:</w:t>
      </w:r>
    </w:p>
    <w:p w14:paraId="6D91AD14" w14:textId="77777777" w:rsidR="005301E1" w:rsidRPr="005301E1" w:rsidRDefault="005301E1" w:rsidP="005301E1">
      <w:pPr>
        <w:jc w:val="both"/>
        <w:rPr>
          <w:rFonts w:ascii="Arial" w:hAnsi="Arial" w:cs="Arial"/>
        </w:rPr>
      </w:pPr>
    </w:p>
    <w:p w14:paraId="08A9C01F" w14:textId="77777777" w:rsidR="005301E1" w:rsidRPr="005301E1" w:rsidRDefault="005301E1" w:rsidP="005301E1">
      <w:pPr>
        <w:jc w:val="both"/>
        <w:rPr>
          <w:rFonts w:ascii="Arial" w:hAnsi="Arial" w:cs="Arial"/>
        </w:rPr>
      </w:pPr>
      <w:r w:rsidRPr="005301E1">
        <w:rPr>
          <w:rFonts w:ascii="Arial" w:hAnsi="Arial" w:cs="Arial"/>
        </w:rPr>
        <w:t>“…el ejercicio de la caza y la pesca continental se regulará de modo que queden garantizados la conservación y el fomento de las especies autorizadas para este ejercicio, a cuyos efectos la Comunidades Autónomas determinarán los terrenos y las aguas donde puedan realizarse tales actividades, así como las fechas hábiles para cada especie.”</w:t>
      </w:r>
    </w:p>
    <w:p w14:paraId="733C0F72" w14:textId="77777777" w:rsidR="005301E1" w:rsidRPr="005301E1" w:rsidRDefault="005301E1" w:rsidP="005301E1">
      <w:pPr>
        <w:jc w:val="both"/>
        <w:rPr>
          <w:rFonts w:ascii="Arial" w:hAnsi="Arial" w:cs="Arial"/>
        </w:rPr>
      </w:pPr>
    </w:p>
    <w:p w14:paraId="62296C5E" w14:textId="62F685AF" w:rsidR="005301E1" w:rsidRPr="005301E1" w:rsidRDefault="005301E1" w:rsidP="005301E1">
      <w:pPr>
        <w:jc w:val="both"/>
        <w:rPr>
          <w:rFonts w:ascii="Arial" w:hAnsi="Arial" w:cs="Arial"/>
        </w:rPr>
      </w:pPr>
      <w:r w:rsidRPr="005301E1">
        <w:rPr>
          <w:rFonts w:ascii="Arial" w:hAnsi="Arial" w:cs="Arial"/>
        </w:rPr>
        <w:t xml:space="preserve">En el mismo sentido y en relación con la actividad cinegética en el ámbito de la Comunidad Autónoma de Euskadi, según el artículo 31 de la Ley 2/2011, de caza, la orden foral anual </w:t>
      </w:r>
      <w:proofErr w:type="gramStart"/>
      <w:r w:rsidRPr="005301E1">
        <w:rPr>
          <w:rFonts w:ascii="Arial" w:hAnsi="Arial" w:cs="Arial"/>
        </w:rPr>
        <w:t xml:space="preserve">contendrá </w:t>
      </w:r>
      <w:r w:rsidR="003926ED">
        <w:rPr>
          <w:rFonts w:ascii="Arial" w:hAnsi="Arial" w:cs="Arial"/>
        </w:rPr>
        <w:t xml:space="preserve"> </w:t>
      </w:r>
      <w:r w:rsidRPr="005301E1">
        <w:rPr>
          <w:rFonts w:ascii="Arial" w:hAnsi="Arial" w:cs="Arial"/>
        </w:rPr>
        <w:t>”</w:t>
      </w:r>
      <w:proofErr w:type="gramEnd"/>
      <w:r w:rsidRPr="005301E1">
        <w:rPr>
          <w:rFonts w:ascii="Arial" w:hAnsi="Arial" w:cs="Arial"/>
        </w:rPr>
        <w:t>La regulación específica para cada especie cinegética que se determine en la orden, que garantizará, en todo caso, la viabilidad de sus poblaciones y su pervivencia en el territorio foral de que se trate.”</w:t>
      </w:r>
    </w:p>
    <w:p w14:paraId="69126392" w14:textId="77777777" w:rsidR="00BB0A01" w:rsidRDefault="00BB0A01" w:rsidP="005301E1">
      <w:pPr>
        <w:jc w:val="both"/>
        <w:rPr>
          <w:rFonts w:ascii="Arial" w:hAnsi="Arial" w:cs="Arial"/>
        </w:rPr>
      </w:pPr>
    </w:p>
    <w:p w14:paraId="308345E4" w14:textId="5102876E" w:rsidR="005301E1" w:rsidRPr="005301E1" w:rsidRDefault="005301E1" w:rsidP="005301E1">
      <w:pPr>
        <w:jc w:val="both"/>
        <w:rPr>
          <w:rFonts w:ascii="Arial" w:hAnsi="Arial" w:cs="Arial"/>
        </w:rPr>
      </w:pPr>
      <w:r w:rsidRPr="005301E1">
        <w:rPr>
          <w:rFonts w:ascii="Arial" w:hAnsi="Arial" w:cs="Arial"/>
        </w:rPr>
        <w:t>En este concreto aspecto, el preámbulo de la Orden Foral examinada indica que en su elaboración se ha contado con “una referencia contrastada para establecer los períodos de caza autorizados en el Territorio Histórico de Álava, con el Documento de Conceptos Claves (KCD). El contenido de este Documento que versa sobre períodos de reproducción y migración prenupcial de las aves consideradas cinegéticas en la Unión Europea se ha tenido en cuenta en la elaboración de la presente normativa.”</w:t>
      </w:r>
    </w:p>
    <w:p w14:paraId="371D0E06" w14:textId="77777777" w:rsidR="005301E1" w:rsidRPr="005301E1" w:rsidRDefault="005301E1" w:rsidP="005301E1">
      <w:pPr>
        <w:jc w:val="both"/>
        <w:rPr>
          <w:rFonts w:ascii="Arial" w:hAnsi="Arial" w:cs="Arial"/>
        </w:rPr>
      </w:pPr>
    </w:p>
    <w:p w14:paraId="70AFDFFB" w14:textId="77777777" w:rsidR="005301E1" w:rsidRPr="005301E1" w:rsidRDefault="005301E1" w:rsidP="005301E1">
      <w:pPr>
        <w:jc w:val="both"/>
        <w:rPr>
          <w:rFonts w:ascii="Arial" w:hAnsi="Arial" w:cs="Arial"/>
        </w:rPr>
      </w:pPr>
      <w:r w:rsidRPr="005301E1">
        <w:rPr>
          <w:rFonts w:ascii="Arial" w:hAnsi="Arial" w:cs="Arial"/>
        </w:rPr>
        <w:t>4. Tramitación urgente del procedimiento.</w:t>
      </w:r>
    </w:p>
    <w:p w14:paraId="32354B55" w14:textId="714186C7" w:rsidR="005301E1" w:rsidRPr="005301E1" w:rsidRDefault="005301E1" w:rsidP="005301E1">
      <w:pPr>
        <w:jc w:val="both"/>
        <w:rPr>
          <w:rFonts w:ascii="Arial" w:hAnsi="Arial" w:cs="Arial"/>
        </w:rPr>
      </w:pPr>
      <w:r w:rsidRPr="005301E1">
        <w:rPr>
          <w:rFonts w:ascii="Arial" w:hAnsi="Arial" w:cs="Arial"/>
        </w:rPr>
        <w:t>De conformidad con el artículo 22.1 del Decreto Foral 6/2023, “cuando concurran razones graves de interés público o circunstancias extraordinarias que, no habiendo podido preverse con anterioridad, exijan la aprobación urgente de la disposición, el órgano competente para iniciar el procedimiento podrá declarar su tramitación de urgencia, a los efectos de la reducción de los plazos previstos en este decreto o la exoneración de alguno de los trámites a evacuar”</w:t>
      </w:r>
      <w:r w:rsidR="003926ED">
        <w:rPr>
          <w:rFonts w:ascii="Arial" w:hAnsi="Arial" w:cs="Arial"/>
        </w:rPr>
        <w:t>.</w:t>
      </w:r>
      <w:r w:rsidRPr="005301E1">
        <w:rPr>
          <w:rFonts w:ascii="Arial" w:hAnsi="Arial" w:cs="Arial"/>
        </w:rPr>
        <w:t xml:space="preserve"> </w:t>
      </w:r>
    </w:p>
    <w:p w14:paraId="4197DC89" w14:textId="77777777" w:rsidR="005301E1" w:rsidRPr="005301E1" w:rsidRDefault="005301E1" w:rsidP="005301E1">
      <w:pPr>
        <w:jc w:val="both"/>
        <w:rPr>
          <w:rFonts w:ascii="Arial" w:hAnsi="Arial" w:cs="Arial"/>
        </w:rPr>
      </w:pPr>
      <w:r w:rsidRPr="005301E1">
        <w:rPr>
          <w:rFonts w:ascii="Arial" w:hAnsi="Arial" w:cs="Arial"/>
        </w:rPr>
        <w:t>En estos casos, la resolución de inicio del procedimiento contendrá una justificación de los hechos y fundamentos que la sustentan, de acuerdo con lo dispuesto en los artículos 22.2 y 13.2.f) del Decreto Foral 6/2023.</w:t>
      </w:r>
    </w:p>
    <w:p w14:paraId="2E23D665" w14:textId="77777777" w:rsidR="005301E1" w:rsidRPr="005301E1" w:rsidRDefault="005301E1" w:rsidP="005301E1">
      <w:pPr>
        <w:jc w:val="both"/>
        <w:rPr>
          <w:rFonts w:ascii="Arial" w:hAnsi="Arial" w:cs="Arial"/>
        </w:rPr>
      </w:pPr>
      <w:r w:rsidRPr="005301E1">
        <w:rPr>
          <w:rFonts w:ascii="Arial" w:hAnsi="Arial" w:cs="Arial"/>
        </w:rPr>
        <w:t xml:space="preserve">El apartado tercero de la parte dispositiva de la Orden Foral 117/2025, de 12 de mayo, declara la tramitación del proyecto de orden foral por el procedimiento de urgencia, conteniéndose la justificación de </w:t>
      </w:r>
      <w:proofErr w:type="gramStart"/>
      <w:r w:rsidRPr="005301E1">
        <w:rPr>
          <w:rFonts w:ascii="Arial" w:hAnsi="Arial" w:cs="Arial"/>
        </w:rPr>
        <w:t>la misma</w:t>
      </w:r>
      <w:proofErr w:type="gramEnd"/>
      <w:r w:rsidRPr="005301E1">
        <w:rPr>
          <w:rFonts w:ascii="Arial" w:hAnsi="Arial" w:cs="Arial"/>
        </w:rPr>
        <w:t xml:space="preserve"> en el apartado primero, d) de la citada Orden Foral.</w:t>
      </w:r>
    </w:p>
    <w:p w14:paraId="2FE4AAA6" w14:textId="77777777" w:rsidR="005301E1" w:rsidRPr="005301E1" w:rsidRDefault="005301E1" w:rsidP="005301E1">
      <w:pPr>
        <w:jc w:val="both"/>
        <w:rPr>
          <w:rFonts w:ascii="Arial" w:hAnsi="Arial" w:cs="Arial"/>
        </w:rPr>
      </w:pPr>
    </w:p>
    <w:p w14:paraId="7273607E" w14:textId="77777777" w:rsidR="005301E1" w:rsidRPr="005301E1" w:rsidRDefault="005301E1" w:rsidP="005301E1">
      <w:pPr>
        <w:jc w:val="both"/>
        <w:rPr>
          <w:rFonts w:ascii="Arial" w:hAnsi="Arial" w:cs="Arial"/>
        </w:rPr>
      </w:pPr>
      <w:r w:rsidRPr="005301E1">
        <w:rPr>
          <w:rFonts w:ascii="Arial" w:hAnsi="Arial" w:cs="Arial"/>
        </w:rPr>
        <w:lastRenderedPageBreak/>
        <w:t>5. Consulta pública previa.</w:t>
      </w:r>
    </w:p>
    <w:p w14:paraId="5A44B558" w14:textId="77777777" w:rsidR="005301E1" w:rsidRPr="005301E1" w:rsidRDefault="005301E1" w:rsidP="005301E1">
      <w:pPr>
        <w:jc w:val="both"/>
        <w:rPr>
          <w:rFonts w:ascii="Arial" w:hAnsi="Arial" w:cs="Arial"/>
        </w:rPr>
      </w:pPr>
      <w:r w:rsidRPr="005301E1">
        <w:rPr>
          <w:rFonts w:ascii="Arial" w:hAnsi="Arial" w:cs="Arial"/>
        </w:rPr>
        <w:t>No se ha realizado el trámite de consulta pública previa, por no resultar exigible, según se motiva en la Orden Foral 117/2025, de 12 de mayo, de inicio del procedimiento, de conformidad con lo dispuesto en el artículo 10.g) del Decreto Foral 6/2023. No obstante, no puede apreciarse ninguna de las causas contenidas en el citado apartado g).</w:t>
      </w:r>
    </w:p>
    <w:p w14:paraId="771F86A2" w14:textId="77777777" w:rsidR="005301E1" w:rsidRPr="005301E1" w:rsidRDefault="005301E1" w:rsidP="005301E1">
      <w:pPr>
        <w:jc w:val="both"/>
        <w:rPr>
          <w:rFonts w:ascii="Arial" w:hAnsi="Arial" w:cs="Arial"/>
        </w:rPr>
      </w:pPr>
      <w:r w:rsidRPr="005301E1">
        <w:rPr>
          <w:rFonts w:ascii="Arial" w:hAnsi="Arial" w:cs="Arial"/>
        </w:rPr>
        <w:t>No obstante, la exención del trámite de consulta pública previa se contempla expresamente en el artículo 22.3 del Decreto Foral 6/2023 para aquellas iniciativas normativas que se tramiten por el procedimiento de urgencia.</w:t>
      </w:r>
    </w:p>
    <w:p w14:paraId="46E91662" w14:textId="77777777" w:rsidR="005301E1" w:rsidRPr="005301E1" w:rsidRDefault="005301E1" w:rsidP="005301E1">
      <w:pPr>
        <w:jc w:val="both"/>
        <w:rPr>
          <w:rFonts w:ascii="Arial" w:hAnsi="Arial" w:cs="Arial"/>
        </w:rPr>
      </w:pPr>
      <w:r w:rsidRPr="005301E1">
        <w:rPr>
          <w:rFonts w:ascii="Arial" w:hAnsi="Arial" w:cs="Arial"/>
        </w:rPr>
        <w:t>6.  Audiencia e información pública.</w:t>
      </w:r>
    </w:p>
    <w:p w14:paraId="3702683B" w14:textId="77777777" w:rsidR="005301E1" w:rsidRPr="005301E1" w:rsidRDefault="005301E1" w:rsidP="005301E1">
      <w:pPr>
        <w:jc w:val="both"/>
        <w:rPr>
          <w:rFonts w:ascii="Arial" w:hAnsi="Arial" w:cs="Arial"/>
        </w:rPr>
      </w:pPr>
      <w:r w:rsidRPr="005301E1">
        <w:rPr>
          <w:rFonts w:ascii="Arial" w:hAnsi="Arial" w:cs="Arial"/>
        </w:rPr>
        <w:t>La Memoria sobre los resultados del trámite de audiencia e información pública del Servicio de Secretaría Técnica de Agricultura de 9 de junio de 2025 da cuenta de que se ha dado audiencia a la ciudadanía sobre el contenido del proyecto por el plazo de seis días hábiles que establece el procedimiento de urgencia mediante su publicación en la página web de la Diputación Foral de Álava, no habiéndose formulado aportaciones durante el mismo.</w:t>
      </w:r>
    </w:p>
    <w:p w14:paraId="3A6E7E27" w14:textId="77777777" w:rsidR="005301E1" w:rsidRPr="005301E1" w:rsidRDefault="005301E1" w:rsidP="005301E1">
      <w:pPr>
        <w:jc w:val="both"/>
        <w:rPr>
          <w:rFonts w:ascii="Arial" w:hAnsi="Arial" w:cs="Arial"/>
        </w:rPr>
      </w:pPr>
      <w:r w:rsidRPr="005301E1">
        <w:rPr>
          <w:rFonts w:ascii="Arial" w:hAnsi="Arial" w:cs="Arial"/>
        </w:rPr>
        <w:t>7. Informes y trámites preceptivos.</w:t>
      </w:r>
    </w:p>
    <w:p w14:paraId="659E2DD1" w14:textId="42575F77" w:rsidR="005301E1" w:rsidRPr="005301E1" w:rsidRDefault="005301E1" w:rsidP="005301E1">
      <w:pPr>
        <w:jc w:val="both"/>
        <w:rPr>
          <w:rFonts w:ascii="Arial" w:hAnsi="Arial" w:cs="Arial"/>
        </w:rPr>
      </w:pPr>
      <w:r w:rsidRPr="005301E1">
        <w:rPr>
          <w:rFonts w:ascii="Arial" w:hAnsi="Arial" w:cs="Arial"/>
        </w:rPr>
        <w:t>Figuran en el expediente el informe de impacto normativo emitido por la Secretaría Técnica de</w:t>
      </w:r>
      <w:r>
        <w:rPr>
          <w:rFonts w:ascii="Arial" w:hAnsi="Arial" w:cs="Arial"/>
        </w:rPr>
        <w:t xml:space="preserve"> </w:t>
      </w:r>
      <w:r w:rsidRPr="005301E1">
        <w:rPr>
          <w:rFonts w:ascii="Arial" w:hAnsi="Arial" w:cs="Arial"/>
        </w:rPr>
        <w:t>Agricultura el 9 de junio de 2025, previsto en el artículo 16 del Decreto Foral 6/2023.</w:t>
      </w:r>
    </w:p>
    <w:p w14:paraId="315D4730" w14:textId="77777777" w:rsidR="005301E1" w:rsidRPr="005301E1" w:rsidRDefault="005301E1" w:rsidP="005301E1">
      <w:pPr>
        <w:jc w:val="both"/>
        <w:rPr>
          <w:rFonts w:ascii="Arial" w:hAnsi="Arial" w:cs="Arial"/>
        </w:rPr>
      </w:pPr>
      <w:r w:rsidRPr="005301E1">
        <w:rPr>
          <w:rFonts w:ascii="Arial" w:hAnsi="Arial" w:cs="Arial"/>
        </w:rPr>
        <w:t>Asimismo, consta el informe de evaluación previa de impacto en función del género, así como las observaciones al mismo del Servicio de Igualdad, previstos en los artículos 8 y 17 del Decreto Foral 6/2023.</w:t>
      </w:r>
    </w:p>
    <w:p w14:paraId="0236728A" w14:textId="77777777" w:rsidR="005301E1" w:rsidRDefault="005301E1" w:rsidP="005301E1">
      <w:pPr>
        <w:jc w:val="both"/>
        <w:rPr>
          <w:rFonts w:ascii="Arial" w:hAnsi="Arial" w:cs="Arial"/>
        </w:rPr>
      </w:pPr>
      <w:r w:rsidRPr="005301E1">
        <w:rPr>
          <w:rFonts w:ascii="Arial" w:hAnsi="Arial" w:cs="Arial"/>
        </w:rPr>
        <w:t>Con anterioridad a la aprobación previa del proyecto ha sido consultado el Consejo Territorial de Caza de Álava, consulta que tiene carácter preceptivo “en relación con las cuestiones de carácter general que afecten a la actividad cinegética, y en especial, para la elaboración de la Orden Foral Anual de Caza”, según lo dispuesto en el artículo 33.1 de la Norma Foral de Caza del THA. Consta en el expediente el acta de la reunión de dicho Consejo de fecha 9 de abril de 2025.</w:t>
      </w:r>
    </w:p>
    <w:p w14:paraId="49A1EFD5" w14:textId="77777777" w:rsidR="008B7D8D" w:rsidRDefault="008B7D8D" w:rsidP="005301E1">
      <w:pPr>
        <w:jc w:val="both"/>
        <w:rPr>
          <w:rFonts w:ascii="Arial" w:hAnsi="Arial" w:cs="Arial"/>
        </w:rPr>
      </w:pPr>
    </w:p>
    <w:p w14:paraId="65F8E3D6" w14:textId="7DF56148" w:rsidR="005301E1" w:rsidRPr="005301E1" w:rsidRDefault="005301E1" w:rsidP="005301E1">
      <w:pPr>
        <w:jc w:val="both"/>
        <w:rPr>
          <w:rFonts w:ascii="Arial" w:hAnsi="Arial" w:cs="Arial"/>
        </w:rPr>
      </w:pPr>
      <w:proofErr w:type="gramStart"/>
      <w:r w:rsidRPr="005301E1">
        <w:rPr>
          <w:rFonts w:ascii="Arial" w:hAnsi="Arial" w:cs="Arial"/>
          <w:b/>
          <w:bCs/>
        </w:rPr>
        <w:t>TERCERA</w:t>
      </w:r>
      <w:r w:rsidRPr="005301E1">
        <w:rPr>
          <w:rFonts w:ascii="Arial" w:hAnsi="Arial" w:cs="Arial"/>
        </w:rPr>
        <w:t>.-</w:t>
      </w:r>
      <w:proofErr w:type="gramEnd"/>
      <w:r w:rsidRPr="005301E1">
        <w:rPr>
          <w:rFonts w:ascii="Arial" w:hAnsi="Arial" w:cs="Arial"/>
        </w:rPr>
        <w:t xml:space="preserve"> Títulos competenciales actuados por la norma reglamentaria en proyecto.</w:t>
      </w:r>
    </w:p>
    <w:p w14:paraId="6512FBB9" w14:textId="7C6CE473" w:rsidR="005301E1" w:rsidRDefault="005301E1" w:rsidP="005301E1">
      <w:pPr>
        <w:jc w:val="both"/>
        <w:rPr>
          <w:rFonts w:ascii="Arial" w:hAnsi="Arial" w:cs="Arial"/>
        </w:rPr>
      </w:pPr>
      <w:r w:rsidRPr="005301E1">
        <w:rPr>
          <w:rFonts w:ascii="Arial" w:hAnsi="Arial" w:cs="Arial"/>
        </w:rPr>
        <w:t>El proyecto objeto de dictamen, al igual que la Norma Foral habilitante, esto es, la Norma Foral</w:t>
      </w:r>
      <w:r>
        <w:rPr>
          <w:rFonts w:ascii="Arial" w:hAnsi="Arial" w:cs="Arial"/>
        </w:rPr>
        <w:t xml:space="preserve"> </w:t>
      </w:r>
      <w:r w:rsidRPr="005301E1">
        <w:rPr>
          <w:rFonts w:ascii="Arial" w:hAnsi="Arial" w:cs="Arial"/>
        </w:rPr>
        <w:t>8/2004, de 14 de junio, de Caza del Territorio Histórico de Álava, actúa la competencia del Territorio Histórico de Álava para «el desarrollo y la ejecución de las normas emanadas de las Instituciones Comunes» de la CAPV en materia de «régimen de aprovechamiento de la riqueza piscícola continental y cinegética» (artículo 7.b].3 de la Ley 27/1983, de 25 de noviembre, de relaciones entre las instituciones comunes de la Comunidad Autónoma y los órganos forales de sus Territorios Históricos).</w:t>
      </w:r>
    </w:p>
    <w:p w14:paraId="12AF633D" w14:textId="77777777" w:rsidR="00161B7E" w:rsidRPr="005301E1" w:rsidRDefault="00161B7E" w:rsidP="005301E1">
      <w:pPr>
        <w:jc w:val="both"/>
        <w:rPr>
          <w:rFonts w:ascii="Arial" w:hAnsi="Arial" w:cs="Arial"/>
        </w:rPr>
      </w:pPr>
    </w:p>
    <w:p w14:paraId="25609AAD" w14:textId="77777777" w:rsidR="005301E1" w:rsidRPr="005301E1" w:rsidRDefault="005301E1" w:rsidP="005301E1">
      <w:pPr>
        <w:jc w:val="both"/>
        <w:rPr>
          <w:rFonts w:ascii="Arial" w:hAnsi="Arial" w:cs="Arial"/>
        </w:rPr>
      </w:pPr>
      <w:proofErr w:type="gramStart"/>
      <w:r w:rsidRPr="005301E1">
        <w:rPr>
          <w:rFonts w:ascii="Arial" w:hAnsi="Arial" w:cs="Arial"/>
          <w:b/>
          <w:bCs/>
        </w:rPr>
        <w:lastRenderedPageBreak/>
        <w:t>CUARTA</w:t>
      </w:r>
      <w:r w:rsidRPr="005301E1">
        <w:rPr>
          <w:rFonts w:ascii="Arial" w:hAnsi="Arial" w:cs="Arial"/>
        </w:rPr>
        <w:t>.-</w:t>
      </w:r>
      <w:proofErr w:type="gramEnd"/>
      <w:r w:rsidRPr="005301E1">
        <w:rPr>
          <w:rFonts w:ascii="Arial" w:hAnsi="Arial" w:cs="Arial"/>
        </w:rPr>
        <w:t xml:space="preserve"> Contenido del proyecto.</w:t>
      </w:r>
    </w:p>
    <w:p w14:paraId="24A38742" w14:textId="6AEAE31F" w:rsidR="005301E1" w:rsidRPr="005301E1" w:rsidRDefault="005301E1" w:rsidP="005301E1">
      <w:pPr>
        <w:jc w:val="both"/>
        <w:rPr>
          <w:rFonts w:ascii="Arial" w:hAnsi="Arial" w:cs="Arial"/>
        </w:rPr>
      </w:pPr>
      <w:r w:rsidRPr="005301E1">
        <w:rPr>
          <w:rFonts w:ascii="Arial" w:hAnsi="Arial" w:cs="Arial"/>
        </w:rPr>
        <w:t>El proyecto de norma reglamentaria está integrado por un artículo único que aprueba la normativa que regula el ejercicio de la caza en el Territorio Histórico de Álava durante la temporada 2025- 2026, según articulado que se recoge en un Anexo I, y una disposición final donde se dispone su entrada en vigor.</w:t>
      </w:r>
    </w:p>
    <w:p w14:paraId="3088BDE1" w14:textId="77777777" w:rsidR="005301E1" w:rsidRPr="005301E1" w:rsidRDefault="005301E1" w:rsidP="005301E1">
      <w:pPr>
        <w:jc w:val="both"/>
        <w:rPr>
          <w:rFonts w:ascii="Arial" w:hAnsi="Arial" w:cs="Arial"/>
        </w:rPr>
      </w:pPr>
    </w:p>
    <w:p w14:paraId="724321EF" w14:textId="435A28FB" w:rsidR="005301E1" w:rsidRPr="005301E1" w:rsidRDefault="005301E1" w:rsidP="005301E1">
      <w:pPr>
        <w:jc w:val="both"/>
        <w:rPr>
          <w:rFonts w:ascii="Arial" w:hAnsi="Arial" w:cs="Arial"/>
        </w:rPr>
      </w:pPr>
      <w:r w:rsidRPr="005301E1">
        <w:rPr>
          <w:rFonts w:ascii="Arial" w:hAnsi="Arial" w:cs="Arial"/>
        </w:rPr>
        <w:t>Por su parte, el anexo I comprende ocho artículos que regulan los terrenos cinegéticos y los días y horas hábiles en general (artículo 1), los días hábiles, horario y especies cazables, en particular para la media veda (artículo 2), así como los cupos por persona y día para la caza menor (artículo</w:t>
      </w:r>
      <w:r>
        <w:rPr>
          <w:rFonts w:ascii="Arial" w:hAnsi="Arial" w:cs="Arial"/>
        </w:rPr>
        <w:t xml:space="preserve"> </w:t>
      </w:r>
      <w:r w:rsidRPr="005301E1">
        <w:rPr>
          <w:rFonts w:ascii="Arial" w:hAnsi="Arial" w:cs="Arial"/>
        </w:rPr>
        <w:t>3) y para la caza mayor (artículo 4).</w:t>
      </w:r>
    </w:p>
    <w:p w14:paraId="1479B215" w14:textId="77777777" w:rsidR="005301E1" w:rsidRPr="005301E1" w:rsidRDefault="005301E1" w:rsidP="005301E1">
      <w:pPr>
        <w:jc w:val="both"/>
        <w:rPr>
          <w:rFonts w:ascii="Arial" w:hAnsi="Arial" w:cs="Arial"/>
        </w:rPr>
      </w:pPr>
    </w:p>
    <w:p w14:paraId="1BB1849B" w14:textId="77777777" w:rsidR="005301E1" w:rsidRPr="005301E1" w:rsidRDefault="005301E1" w:rsidP="005301E1">
      <w:pPr>
        <w:jc w:val="both"/>
        <w:rPr>
          <w:rFonts w:ascii="Arial" w:hAnsi="Arial" w:cs="Arial"/>
        </w:rPr>
      </w:pPr>
      <w:r w:rsidRPr="005301E1">
        <w:rPr>
          <w:rFonts w:ascii="Arial" w:hAnsi="Arial" w:cs="Arial"/>
        </w:rPr>
        <w:t>Establece también aquellas modalidades que requieren un permiso especial (artículo 5), normas sobre protección general de la fauna cinegética y silvestre (artículo 6), las especies cazadas que son comercializables (artículo 7) y la actualización de las sanciones por infracciones de caza previstas en la Ley 2/2011, de Caza (artículo 8).</w:t>
      </w:r>
    </w:p>
    <w:p w14:paraId="0438F1E6" w14:textId="77777777" w:rsidR="005301E1" w:rsidRPr="005301E1" w:rsidRDefault="005301E1" w:rsidP="005301E1">
      <w:pPr>
        <w:jc w:val="both"/>
        <w:rPr>
          <w:rFonts w:ascii="Arial" w:hAnsi="Arial" w:cs="Arial"/>
        </w:rPr>
      </w:pPr>
    </w:p>
    <w:p w14:paraId="17A4B1E4" w14:textId="77777777" w:rsidR="005301E1" w:rsidRPr="005301E1" w:rsidRDefault="005301E1" w:rsidP="005301E1">
      <w:pPr>
        <w:jc w:val="both"/>
        <w:rPr>
          <w:rFonts w:ascii="Arial" w:hAnsi="Arial" w:cs="Arial"/>
        </w:rPr>
      </w:pPr>
      <w:proofErr w:type="gramStart"/>
      <w:r w:rsidRPr="005301E1">
        <w:rPr>
          <w:rFonts w:ascii="Arial" w:hAnsi="Arial" w:cs="Arial"/>
          <w:b/>
          <w:bCs/>
        </w:rPr>
        <w:t>QUINTA.-</w:t>
      </w:r>
      <w:proofErr w:type="gramEnd"/>
      <w:r w:rsidRPr="005301E1">
        <w:rPr>
          <w:rFonts w:ascii="Arial" w:hAnsi="Arial" w:cs="Arial"/>
        </w:rPr>
        <w:t xml:space="preserve"> Análisis del proyecto.</w:t>
      </w:r>
    </w:p>
    <w:p w14:paraId="5954C8F8" w14:textId="35676F2A" w:rsidR="005301E1" w:rsidRPr="005301E1" w:rsidRDefault="005301E1" w:rsidP="005301E1">
      <w:pPr>
        <w:jc w:val="both"/>
        <w:rPr>
          <w:rFonts w:ascii="Arial" w:hAnsi="Arial" w:cs="Arial"/>
        </w:rPr>
      </w:pPr>
      <w:r w:rsidRPr="005301E1">
        <w:rPr>
          <w:rFonts w:ascii="Arial" w:hAnsi="Arial" w:cs="Arial"/>
        </w:rPr>
        <w:t>1. El proyecto tiene por objeto aprobar la normativa reguladora de la campaña cinegética 2025-2026, de acuerdo con los contenidos que establece el artículo 31 de la Ley 2/2011, de 17 de marzo,</w:t>
      </w:r>
      <w:r>
        <w:rPr>
          <w:rFonts w:ascii="Arial" w:hAnsi="Arial" w:cs="Arial"/>
        </w:rPr>
        <w:t xml:space="preserve"> </w:t>
      </w:r>
      <w:r w:rsidRPr="005301E1">
        <w:rPr>
          <w:rFonts w:ascii="Arial" w:hAnsi="Arial" w:cs="Arial"/>
        </w:rPr>
        <w:t>de Caza del País Vasco, que dispone lo siguiente:</w:t>
      </w:r>
    </w:p>
    <w:p w14:paraId="24AEC629" w14:textId="77777777" w:rsidR="005301E1" w:rsidRPr="005301E1" w:rsidRDefault="005301E1" w:rsidP="005301E1">
      <w:pPr>
        <w:jc w:val="both"/>
        <w:rPr>
          <w:rFonts w:ascii="Arial" w:hAnsi="Arial" w:cs="Arial"/>
        </w:rPr>
      </w:pPr>
    </w:p>
    <w:p w14:paraId="5FF4D43B" w14:textId="10DA34CA" w:rsidR="005301E1" w:rsidRPr="005301E1" w:rsidRDefault="005301E1" w:rsidP="005301E1">
      <w:pPr>
        <w:jc w:val="both"/>
        <w:rPr>
          <w:rFonts w:ascii="Arial" w:hAnsi="Arial" w:cs="Arial"/>
        </w:rPr>
      </w:pPr>
      <w:r w:rsidRPr="005301E1">
        <w:rPr>
          <w:rFonts w:ascii="Arial" w:hAnsi="Arial" w:cs="Arial"/>
        </w:rPr>
        <w:t>“1</w:t>
      </w:r>
      <w:r w:rsidR="00BB0A01">
        <w:rPr>
          <w:rFonts w:ascii="Arial" w:hAnsi="Arial" w:cs="Arial"/>
        </w:rPr>
        <w:t>)</w:t>
      </w:r>
      <w:r w:rsidRPr="005301E1">
        <w:rPr>
          <w:rFonts w:ascii="Arial" w:hAnsi="Arial" w:cs="Arial"/>
        </w:rPr>
        <w:t xml:space="preserve"> Las Diputaciones Forales dictarán anualmente una orden foral de vedas, que tendrá necesariamente, como mínimo, el siguiente contenido:</w:t>
      </w:r>
    </w:p>
    <w:p w14:paraId="4E7EC442" w14:textId="77777777" w:rsidR="005301E1" w:rsidRPr="005301E1" w:rsidRDefault="005301E1" w:rsidP="005301E1">
      <w:pPr>
        <w:jc w:val="both"/>
        <w:rPr>
          <w:rFonts w:ascii="Arial" w:hAnsi="Arial" w:cs="Arial"/>
        </w:rPr>
      </w:pPr>
    </w:p>
    <w:p w14:paraId="703BF63C" w14:textId="78F7B8C9"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Los días hábiles para el ejercicio de la caza.</w:t>
      </w:r>
    </w:p>
    <w:p w14:paraId="476248F8" w14:textId="77777777" w:rsidR="005301E1" w:rsidRPr="005301E1" w:rsidRDefault="005301E1" w:rsidP="005301E1">
      <w:pPr>
        <w:jc w:val="both"/>
        <w:rPr>
          <w:rFonts w:ascii="Arial" w:hAnsi="Arial" w:cs="Arial"/>
        </w:rPr>
      </w:pPr>
    </w:p>
    <w:p w14:paraId="20961E99" w14:textId="3710F31D"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Los horarios hábiles para el ejercicio de la caza.</w:t>
      </w:r>
    </w:p>
    <w:p w14:paraId="3A209884" w14:textId="77777777" w:rsidR="005301E1" w:rsidRPr="005301E1" w:rsidRDefault="005301E1" w:rsidP="005301E1">
      <w:pPr>
        <w:jc w:val="both"/>
        <w:rPr>
          <w:rFonts w:ascii="Arial" w:hAnsi="Arial" w:cs="Arial"/>
        </w:rPr>
      </w:pPr>
    </w:p>
    <w:p w14:paraId="0F87DDFE" w14:textId="02A623EA"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Las especies cuya caza se autoriza, con diferenciación entre las especies de caza mayor y menor, y dentro de ésta en listas diferenciadas las aves migratorias y las acuáticas.</w:t>
      </w:r>
    </w:p>
    <w:p w14:paraId="6A5C0B2C" w14:textId="77777777" w:rsidR="005301E1" w:rsidRPr="005301E1" w:rsidRDefault="005301E1" w:rsidP="005301E1">
      <w:pPr>
        <w:jc w:val="both"/>
        <w:rPr>
          <w:rFonts w:ascii="Arial" w:hAnsi="Arial" w:cs="Arial"/>
        </w:rPr>
      </w:pPr>
    </w:p>
    <w:p w14:paraId="68259623" w14:textId="13A6C058"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Las especies cinegéticas cuya comercialización se autoriza.</w:t>
      </w:r>
    </w:p>
    <w:p w14:paraId="04FD9FED" w14:textId="77777777" w:rsidR="005301E1" w:rsidRPr="005301E1" w:rsidRDefault="005301E1" w:rsidP="005301E1">
      <w:pPr>
        <w:jc w:val="both"/>
        <w:rPr>
          <w:rFonts w:ascii="Arial" w:hAnsi="Arial" w:cs="Arial"/>
        </w:rPr>
      </w:pPr>
    </w:p>
    <w:p w14:paraId="10ECE718" w14:textId="021721C8"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lastRenderedPageBreak/>
        <w:t>La regulación específica para cada especie cinegética que se determine en la orden, que garantizará, en todo caso, la viabilidad de sus poblaciones y su pervivencia en el territorio foral de que se trate.</w:t>
      </w:r>
    </w:p>
    <w:p w14:paraId="6B6A4CB2" w14:textId="77777777" w:rsidR="005301E1" w:rsidRPr="005301E1" w:rsidRDefault="005301E1" w:rsidP="005301E1">
      <w:pPr>
        <w:jc w:val="both"/>
        <w:rPr>
          <w:rFonts w:ascii="Arial" w:hAnsi="Arial" w:cs="Arial"/>
        </w:rPr>
      </w:pPr>
    </w:p>
    <w:p w14:paraId="680D45B8" w14:textId="763873F0"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Las modalidades de caza que requieran un permiso especial, y en particular la que regule la caza mayor en cuanto a los artículos 49 y 50 de esta ley.</w:t>
      </w:r>
    </w:p>
    <w:p w14:paraId="603883D3" w14:textId="77777777" w:rsidR="005301E1" w:rsidRPr="005301E1" w:rsidRDefault="005301E1" w:rsidP="005301E1">
      <w:pPr>
        <w:jc w:val="both"/>
        <w:rPr>
          <w:rFonts w:ascii="Arial" w:hAnsi="Arial" w:cs="Arial"/>
        </w:rPr>
      </w:pPr>
    </w:p>
    <w:p w14:paraId="732629A3" w14:textId="239D51D9"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Las normas específicas de protección a la fauna que se consideren necesarias para esa temporada de caza.</w:t>
      </w:r>
    </w:p>
    <w:p w14:paraId="1A185950" w14:textId="77777777" w:rsidR="005301E1" w:rsidRPr="005301E1" w:rsidRDefault="005301E1" w:rsidP="005301E1">
      <w:pPr>
        <w:jc w:val="both"/>
        <w:rPr>
          <w:rFonts w:ascii="Arial" w:hAnsi="Arial" w:cs="Arial"/>
        </w:rPr>
      </w:pPr>
    </w:p>
    <w:p w14:paraId="332718B9" w14:textId="4D0C1938" w:rsidR="005301E1" w:rsidRPr="005301E1" w:rsidRDefault="005301E1" w:rsidP="005301E1">
      <w:pPr>
        <w:pStyle w:val="Prrafodelista"/>
        <w:numPr>
          <w:ilvl w:val="0"/>
          <w:numId w:val="1"/>
        </w:numPr>
        <w:jc w:val="both"/>
        <w:rPr>
          <w:rFonts w:ascii="Arial" w:hAnsi="Arial" w:cs="Arial"/>
        </w:rPr>
      </w:pPr>
      <w:r w:rsidRPr="005301E1">
        <w:rPr>
          <w:rFonts w:ascii="Arial" w:hAnsi="Arial" w:cs="Arial"/>
        </w:rPr>
        <w:t>La actualización de las cuantías de las sanciones conforme a las variaciones del índice de precios al consumo de la Comunidad Autónoma del País Vasco.</w:t>
      </w:r>
    </w:p>
    <w:p w14:paraId="7DEC2FB2" w14:textId="77777777" w:rsidR="005301E1" w:rsidRPr="005301E1" w:rsidRDefault="005301E1" w:rsidP="005301E1">
      <w:pPr>
        <w:jc w:val="both"/>
        <w:rPr>
          <w:rFonts w:ascii="Arial" w:hAnsi="Arial" w:cs="Arial"/>
        </w:rPr>
      </w:pPr>
    </w:p>
    <w:p w14:paraId="22D675CB" w14:textId="432DCB31" w:rsidR="00BB0A01" w:rsidRPr="005301E1" w:rsidRDefault="005301E1" w:rsidP="005301E1">
      <w:pPr>
        <w:jc w:val="both"/>
        <w:rPr>
          <w:rFonts w:ascii="Arial" w:hAnsi="Arial" w:cs="Arial"/>
        </w:rPr>
      </w:pPr>
      <w:r w:rsidRPr="005301E1">
        <w:rPr>
          <w:rFonts w:ascii="Arial" w:hAnsi="Arial" w:cs="Arial"/>
        </w:rPr>
        <w:t>2</w:t>
      </w:r>
      <w:r w:rsidR="00BB0A01">
        <w:rPr>
          <w:rFonts w:ascii="Arial" w:hAnsi="Arial" w:cs="Arial"/>
        </w:rPr>
        <w:t>)</w:t>
      </w:r>
      <w:r w:rsidRPr="005301E1">
        <w:rPr>
          <w:rFonts w:ascii="Arial" w:hAnsi="Arial" w:cs="Arial"/>
        </w:rPr>
        <w:t xml:space="preserve"> Las órdenes forales de vedas podrán incluir otras disposiciones que establezcan vedas específicas en determinados terrenos cinegéticos o de régimen especial.”</w:t>
      </w:r>
    </w:p>
    <w:p w14:paraId="1D8498B3" w14:textId="77777777" w:rsidR="005301E1" w:rsidRPr="005301E1" w:rsidRDefault="005301E1" w:rsidP="005301E1">
      <w:pPr>
        <w:jc w:val="both"/>
        <w:rPr>
          <w:rFonts w:ascii="Arial" w:hAnsi="Arial" w:cs="Arial"/>
        </w:rPr>
      </w:pPr>
      <w:r w:rsidRPr="005301E1">
        <w:rPr>
          <w:rFonts w:ascii="Arial" w:hAnsi="Arial" w:cs="Arial"/>
        </w:rPr>
        <w:t>2. Ajustándose al contenido mínimo previsto en el precepto legal transcrito, el proyecto regula los días y horas hábiles para el ejercicio cinegético en el artículo 1.</w:t>
      </w:r>
    </w:p>
    <w:p w14:paraId="0C26FB6A" w14:textId="5306EA74" w:rsidR="005301E1" w:rsidRPr="005301E1" w:rsidRDefault="005301E1" w:rsidP="005301E1">
      <w:pPr>
        <w:jc w:val="both"/>
        <w:rPr>
          <w:rFonts w:ascii="Arial" w:hAnsi="Arial" w:cs="Arial"/>
        </w:rPr>
      </w:pPr>
      <w:r w:rsidRPr="005301E1">
        <w:rPr>
          <w:rFonts w:ascii="Arial" w:hAnsi="Arial" w:cs="Arial"/>
        </w:rPr>
        <w:t>Aprueba disposiciones particulares de aplicación a la media veda, la caza menor y la caza mayor y específicas para determinadas especies cinegéticas, en los artículos 2 a 4. Las especies cazables se enumeran en los arts. 2 a 4, siguiendo la clasificación prevista en el artículo 12 de la Ley (caza mayor y caza menor, diferenciando dentro de ésta las aves sedentarias, las aves migratorias y las aves acuáticas), con el establecimiento de cupos de captura máximos por persona y día para la perdiz roja, la becada, la codorniz y la liebre. Todas las especies cuya caza se autoriza están dentro de las enumeradas en el anexo del Decreto 216/2012, de 16 de octubre, por el que se establece el listado de especies cinegéticas de la Comunidad Autónoma del País Vasco, de acuerdo con lo establecido en el artículo 11 de la Ley 2/2011 de Caza que atribuye al Gobierno Vasco la competencia para establecer reglamentariamente las especies y subespecies que pueden ser declaradas cinegéticas y autoriza a las diputaciones forales para «reducir, pero no ampliar, las especies cazables en cada territorio histórico» dentro de la orden anual de vedas. En ejercicio de esta facultad, se incluye en esta orden foral, como especie vedada temporalmente, el ánade silbón. En el apartado 3 del artículo 4 se establecen los cupos de captura de las especies de caza mayor.</w:t>
      </w:r>
    </w:p>
    <w:p w14:paraId="4C37AB37" w14:textId="1871BEA5" w:rsidR="005301E1" w:rsidRPr="005301E1" w:rsidRDefault="005301E1" w:rsidP="005301E1">
      <w:pPr>
        <w:jc w:val="both"/>
        <w:rPr>
          <w:rFonts w:ascii="Arial" w:hAnsi="Arial" w:cs="Arial"/>
        </w:rPr>
      </w:pPr>
      <w:r w:rsidRPr="005301E1">
        <w:rPr>
          <w:rFonts w:ascii="Arial" w:hAnsi="Arial" w:cs="Arial"/>
        </w:rPr>
        <w:t>Las modalidades de caza que requieren un permiso especial se regulan en el artículo 5 del Anexo, que, aunque se encuentren ya reguladas por órdenes forales específicas, lo hacen aquí a modo de recordatorio, como explican</w:t>
      </w:r>
      <w:r>
        <w:rPr>
          <w:rFonts w:ascii="Arial" w:hAnsi="Arial" w:cs="Arial"/>
        </w:rPr>
        <w:t xml:space="preserve"> </w:t>
      </w:r>
      <w:r w:rsidRPr="005301E1">
        <w:rPr>
          <w:rFonts w:ascii="Arial" w:hAnsi="Arial" w:cs="Arial"/>
        </w:rPr>
        <w:t xml:space="preserve">en su informe. Aquí, se mantiene una regulación de medidas excepcionales de control de especies cinegéticas, especialmente la del jabalí, que requerirán de permiso especifico, al no ser consideradas como prácticas cinegéticas al uso. Para iniciar las acciones de control de jabalí y ciervo </w:t>
      </w:r>
      <w:r w:rsidRPr="005301E1">
        <w:rPr>
          <w:rFonts w:ascii="Arial" w:hAnsi="Arial" w:cs="Arial"/>
        </w:rPr>
        <w:lastRenderedPageBreak/>
        <w:t>se establece el régimen de comunicación previa a la Administración competente antes del inicio de la actividad, de conformidad con el artículo 69 de la Ley 39/2015, de 1 de octubre, de procedimiento administrativo común de las Administraciones Públicas. Al objeto de clarificar la naturaleza jurídica de la comunicación referida en el apartado 5.3 y evitar dudas interpretativas, se recomienda añadir el término “previa” después del término “comunicación”.</w:t>
      </w:r>
    </w:p>
    <w:p w14:paraId="0EB0395F" w14:textId="77777777" w:rsidR="005301E1" w:rsidRPr="005301E1" w:rsidRDefault="005301E1" w:rsidP="005301E1">
      <w:pPr>
        <w:jc w:val="both"/>
        <w:rPr>
          <w:rFonts w:ascii="Arial" w:hAnsi="Arial" w:cs="Arial"/>
        </w:rPr>
      </w:pPr>
    </w:p>
    <w:p w14:paraId="1995A391" w14:textId="77777777" w:rsidR="005301E1" w:rsidRPr="005301E1" w:rsidRDefault="005301E1" w:rsidP="005301E1">
      <w:pPr>
        <w:jc w:val="both"/>
        <w:rPr>
          <w:rFonts w:ascii="Arial" w:hAnsi="Arial" w:cs="Arial"/>
        </w:rPr>
      </w:pPr>
      <w:r w:rsidRPr="005301E1">
        <w:rPr>
          <w:rFonts w:ascii="Arial" w:hAnsi="Arial" w:cs="Arial"/>
        </w:rPr>
        <w:t>Por su parte, el artículo 6 se refiere a la protección general de la fauna cinegética y silvestre, encuadrándose en las normas específicas de protección a la fauna que se consideran necesarias para esta temporada de caza.</w:t>
      </w:r>
    </w:p>
    <w:p w14:paraId="1CB0B20B" w14:textId="77777777" w:rsidR="005301E1" w:rsidRPr="005301E1" w:rsidRDefault="005301E1" w:rsidP="005301E1">
      <w:pPr>
        <w:jc w:val="both"/>
        <w:rPr>
          <w:rFonts w:ascii="Arial" w:hAnsi="Arial" w:cs="Arial"/>
        </w:rPr>
      </w:pPr>
    </w:p>
    <w:p w14:paraId="41AB0499" w14:textId="77777777" w:rsidR="005301E1" w:rsidRPr="005301E1" w:rsidRDefault="005301E1" w:rsidP="005301E1">
      <w:pPr>
        <w:jc w:val="both"/>
        <w:rPr>
          <w:rFonts w:ascii="Arial" w:hAnsi="Arial" w:cs="Arial"/>
        </w:rPr>
      </w:pPr>
      <w:r w:rsidRPr="005301E1">
        <w:rPr>
          <w:rFonts w:ascii="Arial" w:hAnsi="Arial" w:cs="Arial"/>
        </w:rPr>
        <w:t>La determinación de las especies cinegéticas cuya comercialización se autoriza se contiene en el artículo 7 del proyecto, el cual, por otra parte, se ajusta a lo establecido en el Real Decreto 1118/1989, de 15 de septiembre, por el que se determinan las especies objeto de caza y de pesca comercializables y se dictan normas al respecto.</w:t>
      </w:r>
    </w:p>
    <w:p w14:paraId="58DC28B0" w14:textId="77777777" w:rsidR="005301E1" w:rsidRPr="005301E1" w:rsidRDefault="005301E1" w:rsidP="005301E1">
      <w:pPr>
        <w:jc w:val="both"/>
        <w:rPr>
          <w:rFonts w:ascii="Arial" w:hAnsi="Arial" w:cs="Arial"/>
        </w:rPr>
      </w:pPr>
    </w:p>
    <w:p w14:paraId="1111D03E" w14:textId="77777777" w:rsidR="005301E1" w:rsidRPr="005301E1" w:rsidRDefault="005301E1" w:rsidP="005301E1">
      <w:pPr>
        <w:jc w:val="both"/>
        <w:rPr>
          <w:rFonts w:ascii="Arial" w:hAnsi="Arial" w:cs="Arial"/>
        </w:rPr>
      </w:pPr>
      <w:r w:rsidRPr="005301E1">
        <w:rPr>
          <w:rFonts w:ascii="Arial" w:hAnsi="Arial" w:cs="Arial"/>
        </w:rPr>
        <w:t>Finalmente, el proyecto actualiza las cuantías de las sanciones establecidas en la Ley 2/2011 de Caza, conforme a las variaciones del índice de precios al consumo de la Comunidad Autónoma del País Vasco, de acuerdo con lo prescrito en el artículo 31.1 de la Ley 2/2011 de Caza.</w:t>
      </w:r>
    </w:p>
    <w:p w14:paraId="736E8801" w14:textId="77777777" w:rsidR="005301E1" w:rsidRPr="005301E1" w:rsidRDefault="005301E1" w:rsidP="005301E1">
      <w:pPr>
        <w:jc w:val="both"/>
        <w:rPr>
          <w:rFonts w:ascii="Arial" w:hAnsi="Arial" w:cs="Arial"/>
        </w:rPr>
      </w:pPr>
    </w:p>
    <w:p w14:paraId="071FEF08" w14:textId="61A78C31" w:rsidR="005301E1" w:rsidRPr="00BB0A01" w:rsidRDefault="0049091C" w:rsidP="005301E1">
      <w:pPr>
        <w:jc w:val="both"/>
        <w:rPr>
          <w:rFonts w:ascii="Arial" w:hAnsi="Arial" w:cs="Arial"/>
          <w:b/>
          <w:bCs/>
        </w:rPr>
      </w:pPr>
      <w:r>
        <w:rPr>
          <w:rFonts w:ascii="Arial" w:hAnsi="Arial" w:cs="Arial"/>
          <w:b/>
          <w:bCs/>
        </w:rPr>
        <w:t>III.</w:t>
      </w:r>
      <w:r w:rsidR="005301E1" w:rsidRPr="00BB0A01">
        <w:rPr>
          <w:rFonts w:ascii="Arial" w:hAnsi="Arial" w:cs="Arial"/>
          <w:b/>
          <w:bCs/>
        </w:rPr>
        <w:t>CONCLUSIÓN</w:t>
      </w:r>
    </w:p>
    <w:p w14:paraId="6F21B3C3" w14:textId="77777777" w:rsidR="005301E1" w:rsidRPr="005301E1" w:rsidRDefault="005301E1" w:rsidP="005301E1">
      <w:pPr>
        <w:jc w:val="both"/>
        <w:rPr>
          <w:rFonts w:ascii="Arial" w:hAnsi="Arial" w:cs="Arial"/>
        </w:rPr>
      </w:pPr>
    </w:p>
    <w:p w14:paraId="7AFA1FF8" w14:textId="77777777" w:rsidR="005301E1" w:rsidRPr="005301E1" w:rsidRDefault="005301E1" w:rsidP="005301E1">
      <w:pPr>
        <w:jc w:val="both"/>
        <w:rPr>
          <w:rFonts w:ascii="Arial" w:hAnsi="Arial" w:cs="Arial"/>
        </w:rPr>
      </w:pPr>
      <w:r w:rsidRPr="005301E1">
        <w:rPr>
          <w:rFonts w:ascii="Arial" w:hAnsi="Arial" w:cs="Arial"/>
        </w:rPr>
        <w:t>El proyecto de orden foral se adecúa al ordenamiento jurídico, salvo, en lo que respecta al procedimiento, la no inclusión del proyecto en el Plan Anual Normativo.</w:t>
      </w:r>
    </w:p>
    <w:p w14:paraId="366026E6" w14:textId="77777777" w:rsidR="005301E1" w:rsidRPr="005301E1" w:rsidRDefault="005301E1" w:rsidP="005301E1">
      <w:pPr>
        <w:rPr>
          <w:rFonts w:ascii="Arial" w:hAnsi="Arial" w:cs="Arial"/>
        </w:rPr>
      </w:pPr>
    </w:p>
    <w:p w14:paraId="21C127CA" w14:textId="77777777" w:rsidR="005301E1" w:rsidRPr="005301E1" w:rsidRDefault="005301E1" w:rsidP="005301E1">
      <w:pPr>
        <w:rPr>
          <w:rFonts w:ascii="Arial" w:hAnsi="Arial" w:cs="Arial"/>
        </w:rPr>
      </w:pPr>
    </w:p>
    <w:p w14:paraId="0A203FE3" w14:textId="77777777" w:rsidR="005301E1" w:rsidRPr="005301E1" w:rsidRDefault="005301E1" w:rsidP="005301E1">
      <w:pPr>
        <w:rPr>
          <w:rFonts w:ascii="Arial" w:hAnsi="Arial" w:cs="Arial"/>
        </w:rPr>
      </w:pPr>
    </w:p>
    <w:p w14:paraId="123F903B" w14:textId="77777777" w:rsidR="005301E1" w:rsidRPr="005301E1" w:rsidRDefault="005301E1" w:rsidP="005301E1">
      <w:pPr>
        <w:rPr>
          <w:rFonts w:ascii="Arial" w:hAnsi="Arial" w:cs="Arial"/>
        </w:rPr>
      </w:pPr>
    </w:p>
    <w:p w14:paraId="2B8CD3B8" w14:textId="77777777" w:rsidR="005301E1" w:rsidRPr="005301E1" w:rsidRDefault="005301E1" w:rsidP="005301E1">
      <w:pPr>
        <w:rPr>
          <w:rFonts w:ascii="Arial" w:hAnsi="Arial" w:cs="Arial"/>
        </w:rPr>
      </w:pPr>
    </w:p>
    <w:p w14:paraId="0B79BD51" w14:textId="77777777" w:rsidR="005301E1" w:rsidRPr="005301E1" w:rsidRDefault="005301E1" w:rsidP="005301E1">
      <w:pPr>
        <w:rPr>
          <w:rFonts w:ascii="Arial" w:hAnsi="Arial" w:cs="Arial"/>
        </w:rPr>
      </w:pPr>
    </w:p>
    <w:p w14:paraId="498BC63D" w14:textId="77777777" w:rsidR="006254A6" w:rsidRPr="005301E1" w:rsidRDefault="006254A6">
      <w:pPr>
        <w:rPr>
          <w:rFonts w:ascii="Arial" w:hAnsi="Arial" w:cs="Arial"/>
        </w:rPr>
      </w:pPr>
    </w:p>
    <w:sectPr w:rsidR="006254A6" w:rsidRPr="005301E1" w:rsidSect="00543EF5">
      <w:headerReference w:type="default" r:id="rId8"/>
      <w:footerReference w:type="default" r:id="rId9"/>
      <w:headerReference w:type="first" r:id="rId10"/>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925E" w14:textId="77777777" w:rsidR="005301E1" w:rsidRDefault="005301E1" w:rsidP="005301E1">
      <w:pPr>
        <w:spacing w:after="0" w:line="240" w:lineRule="auto"/>
      </w:pPr>
      <w:r>
        <w:separator/>
      </w:r>
    </w:p>
  </w:endnote>
  <w:endnote w:type="continuationSeparator" w:id="0">
    <w:p w14:paraId="08143F7B" w14:textId="77777777" w:rsidR="005301E1" w:rsidRDefault="005301E1" w:rsidP="00530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245002170"/>
      <w:docPartObj>
        <w:docPartGallery w:val="Page Numbers (Bottom of Page)"/>
        <w:docPartUnique/>
      </w:docPartObj>
    </w:sdtPr>
    <w:sdtEndPr/>
    <w:sdtContent>
      <w:p w14:paraId="2A787CAD" w14:textId="54377406" w:rsidR="005301E1" w:rsidRPr="00543EF5" w:rsidRDefault="005301E1">
        <w:pPr>
          <w:pStyle w:val="Piedepgina"/>
          <w:jc w:val="right"/>
          <w:rPr>
            <w:rFonts w:ascii="Arial" w:hAnsi="Arial" w:cs="Arial"/>
            <w:sz w:val="18"/>
            <w:szCs w:val="18"/>
          </w:rPr>
        </w:pPr>
        <w:r w:rsidRPr="00543EF5">
          <w:rPr>
            <w:rFonts w:ascii="Arial" w:hAnsi="Arial" w:cs="Arial"/>
            <w:sz w:val="18"/>
            <w:szCs w:val="18"/>
          </w:rPr>
          <w:fldChar w:fldCharType="begin"/>
        </w:r>
        <w:r w:rsidRPr="00543EF5">
          <w:rPr>
            <w:rFonts w:ascii="Arial" w:hAnsi="Arial" w:cs="Arial"/>
            <w:sz w:val="18"/>
            <w:szCs w:val="18"/>
          </w:rPr>
          <w:instrText>PAGE   \* MERGEFORMAT</w:instrText>
        </w:r>
        <w:r w:rsidRPr="00543EF5">
          <w:rPr>
            <w:rFonts w:ascii="Arial" w:hAnsi="Arial" w:cs="Arial"/>
            <w:sz w:val="18"/>
            <w:szCs w:val="18"/>
          </w:rPr>
          <w:fldChar w:fldCharType="separate"/>
        </w:r>
        <w:r w:rsidRPr="00543EF5">
          <w:rPr>
            <w:rFonts w:ascii="Arial" w:hAnsi="Arial" w:cs="Arial"/>
            <w:sz w:val="18"/>
            <w:szCs w:val="18"/>
          </w:rPr>
          <w:t>2</w:t>
        </w:r>
        <w:r w:rsidRPr="00543EF5">
          <w:rPr>
            <w:rFonts w:ascii="Arial" w:hAnsi="Arial" w:cs="Arial"/>
            <w:sz w:val="18"/>
            <w:szCs w:val="18"/>
          </w:rPr>
          <w:fldChar w:fldCharType="end"/>
        </w:r>
        <w:r w:rsidRPr="00543EF5">
          <w:rPr>
            <w:rFonts w:ascii="Arial" w:hAnsi="Arial" w:cs="Arial"/>
            <w:sz w:val="18"/>
            <w:szCs w:val="18"/>
          </w:rPr>
          <w:t>/</w:t>
        </w:r>
        <w:r w:rsidR="00BF324D">
          <w:rPr>
            <w:rFonts w:ascii="Arial" w:hAnsi="Arial" w:cs="Arial"/>
            <w:sz w:val="18"/>
            <w:szCs w:val="18"/>
          </w:rPr>
          <w:t>8</w:t>
        </w:r>
      </w:p>
    </w:sdtContent>
  </w:sdt>
  <w:p w14:paraId="5982BC3D" w14:textId="0104A69D" w:rsidR="005301E1" w:rsidRDefault="005301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13EC" w14:textId="77777777" w:rsidR="005301E1" w:rsidRDefault="005301E1" w:rsidP="005301E1">
      <w:pPr>
        <w:spacing w:after="0" w:line="240" w:lineRule="auto"/>
      </w:pPr>
      <w:r>
        <w:separator/>
      </w:r>
    </w:p>
  </w:footnote>
  <w:footnote w:type="continuationSeparator" w:id="0">
    <w:p w14:paraId="17804FA1" w14:textId="77777777" w:rsidR="005301E1" w:rsidRDefault="005301E1" w:rsidP="00530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3" w:type="dxa"/>
      <w:tblInd w:w="-639" w:type="dxa"/>
      <w:tblLayout w:type="fixed"/>
      <w:tblCellMar>
        <w:left w:w="70" w:type="dxa"/>
        <w:right w:w="70" w:type="dxa"/>
      </w:tblCellMar>
      <w:tblLook w:val="0000" w:firstRow="0" w:lastRow="0" w:firstColumn="0" w:lastColumn="0" w:noHBand="0" w:noVBand="0"/>
    </w:tblPr>
    <w:tblGrid>
      <w:gridCol w:w="9711"/>
      <w:gridCol w:w="3402"/>
    </w:tblGrid>
    <w:tr w:rsidR="005301E1" w14:paraId="38A65882" w14:textId="77777777" w:rsidTr="00543EF5">
      <w:trPr>
        <w:trHeight w:val="1846"/>
      </w:trPr>
      <w:tc>
        <w:tcPr>
          <w:tcW w:w="9711" w:type="dxa"/>
        </w:tcPr>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3827"/>
          </w:tblGrid>
          <w:tr w:rsidR="00543EF5" w14:paraId="1720BD34" w14:textId="77777777" w:rsidTr="00594A3A">
            <w:trPr>
              <w:cantSplit/>
              <w:trHeight w:val="338"/>
            </w:trPr>
            <w:tc>
              <w:tcPr>
                <w:tcW w:w="3119" w:type="dxa"/>
                <w:tcBorders>
                  <w:top w:val="nil"/>
                  <w:left w:val="nil"/>
                  <w:bottom w:val="single" w:sz="4" w:space="0" w:color="auto"/>
                </w:tcBorders>
              </w:tcPr>
              <w:p w14:paraId="3EBDEB03" w14:textId="77777777" w:rsidR="00543EF5" w:rsidRDefault="00543EF5" w:rsidP="00543EF5">
                <w:pPr>
                  <w:pStyle w:val="Encabezado"/>
                </w:pPr>
              </w:p>
            </w:tc>
            <w:tc>
              <w:tcPr>
                <w:tcW w:w="1843" w:type="dxa"/>
                <w:vMerge w:val="restart"/>
              </w:tcPr>
              <w:p w14:paraId="16EDBAB1" w14:textId="471EB0B5" w:rsidR="00543EF5" w:rsidRDefault="00543EF5" w:rsidP="00543EF5">
                <w:pPr>
                  <w:pStyle w:val="Encabezado"/>
                  <w:jc w:val="center"/>
                </w:pPr>
                <w:r>
                  <w:rPr>
                    <w:noProof/>
                  </w:rPr>
                  <w:drawing>
                    <wp:inline distT="0" distB="0" distL="0" distR="0" wp14:anchorId="681668C3" wp14:editId="135536A9">
                      <wp:extent cx="428625" cy="428625"/>
                      <wp:effectExtent l="0" t="0" r="9525" b="9525"/>
                      <wp:docPr id="1447711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27" w:type="dxa"/>
                <w:tcBorders>
                  <w:top w:val="nil"/>
                  <w:bottom w:val="single" w:sz="4" w:space="0" w:color="auto"/>
                  <w:right w:val="nil"/>
                </w:tcBorders>
              </w:tcPr>
              <w:p w14:paraId="391FE1A8" w14:textId="77777777" w:rsidR="00543EF5" w:rsidRDefault="00543EF5" w:rsidP="00543EF5">
                <w:pPr>
                  <w:pStyle w:val="Encabezado"/>
                </w:pPr>
              </w:p>
            </w:tc>
          </w:tr>
          <w:tr w:rsidR="00543EF5" w14:paraId="365810EB" w14:textId="77777777" w:rsidTr="00594A3A">
            <w:trPr>
              <w:cantSplit/>
              <w:trHeight w:val="337"/>
            </w:trPr>
            <w:tc>
              <w:tcPr>
                <w:tcW w:w="3119" w:type="dxa"/>
                <w:tcBorders>
                  <w:top w:val="single" w:sz="4" w:space="0" w:color="auto"/>
                  <w:left w:val="nil"/>
                  <w:bottom w:val="nil"/>
                </w:tcBorders>
              </w:tcPr>
              <w:p w14:paraId="5E073F31" w14:textId="77777777" w:rsidR="00543EF5" w:rsidRDefault="00543EF5" w:rsidP="00543EF5">
                <w:pPr>
                  <w:pStyle w:val="Encabezado"/>
                </w:pPr>
              </w:p>
            </w:tc>
            <w:tc>
              <w:tcPr>
                <w:tcW w:w="1843" w:type="dxa"/>
                <w:vMerge/>
              </w:tcPr>
              <w:p w14:paraId="571029B2" w14:textId="77777777" w:rsidR="00543EF5" w:rsidRDefault="00543EF5" w:rsidP="00543EF5">
                <w:pPr>
                  <w:pStyle w:val="Encabezado"/>
                  <w:jc w:val="center"/>
                </w:pPr>
              </w:p>
            </w:tc>
            <w:tc>
              <w:tcPr>
                <w:tcW w:w="3827" w:type="dxa"/>
                <w:tcBorders>
                  <w:top w:val="single" w:sz="4" w:space="0" w:color="auto"/>
                  <w:bottom w:val="nil"/>
                  <w:right w:val="nil"/>
                </w:tcBorders>
              </w:tcPr>
              <w:p w14:paraId="221C64E9" w14:textId="77777777" w:rsidR="00543EF5" w:rsidRDefault="00543EF5" w:rsidP="00543EF5">
                <w:pPr>
                  <w:pStyle w:val="Encabezado"/>
                </w:pPr>
              </w:p>
            </w:tc>
          </w:tr>
        </w:tbl>
        <w:p w14:paraId="6CD861C7" w14:textId="77777777" w:rsidR="005301E1" w:rsidRDefault="005301E1" w:rsidP="005301E1">
          <w:pPr>
            <w:pStyle w:val="Encabezado"/>
            <w:ind w:left="1064"/>
            <w:rPr>
              <w:noProof/>
              <w:sz w:val="16"/>
            </w:rPr>
          </w:pPr>
        </w:p>
      </w:tc>
      <w:tc>
        <w:tcPr>
          <w:tcW w:w="3402" w:type="dxa"/>
        </w:tcPr>
        <w:p w14:paraId="3FE11318" w14:textId="1551414B" w:rsidR="005301E1" w:rsidRDefault="005301E1" w:rsidP="005301E1">
          <w:pPr>
            <w:pStyle w:val="Encabezado"/>
            <w:tabs>
              <w:tab w:val="clear" w:pos="4252"/>
            </w:tabs>
            <w:spacing w:after="60" w:line="190" w:lineRule="exact"/>
            <w:ind w:left="781"/>
            <w:rPr>
              <w:noProof/>
              <w:sz w:val="18"/>
            </w:rPr>
          </w:pPr>
        </w:p>
      </w:tc>
    </w:tr>
  </w:tbl>
  <w:p w14:paraId="03BFB757" w14:textId="77777777" w:rsidR="005301E1" w:rsidRDefault="005301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4348" w14:textId="77777777" w:rsidR="00543EF5" w:rsidRDefault="00543EF5" w:rsidP="00543EF5">
    <w:pPr>
      <w:pStyle w:val="Encabezado"/>
      <w:tabs>
        <w:tab w:val="clear" w:pos="4252"/>
        <w:tab w:val="clear" w:pos="8504"/>
        <w:tab w:val="left" w:pos="1200"/>
      </w:tabs>
    </w:pPr>
    <w:r>
      <w:tab/>
    </w:r>
  </w:p>
  <w:tbl>
    <w:tblPr>
      <w:tblW w:w="0" w:type="auto"/>
      <w:tblInd w:w="-639" w:type="dxa"/>
      <w:tblLayout w:type="fixed"/>
      <w:tblCellMar>
        <w:left w:w="70" w:type="dxa"/>
        <w:right w:w="70" w:type="dxa"/>
      </w:tblCellMar>
      <w:tblLook w:val="0000" w:firstRow="0" w:lastRow="0" w:firstColumn="0" w:lastColumn="0" w:noHBand="0" w:noVBand="0"/>
    </w:tblPr>
    <w:tblGrid>
      <w:gridCol w:w="6379"/>
      <w:gridCol w:w="3402"/>
    </w:tblGrid>
    <w:tr w:rsidR="00543EF5" w14:paraId="2992E76F" w14:textId="77777777" w:rsidTr="00594A3A">
      <w:trPr>
        <w:trHeight w:val="1846"/>
      </w:trPr>
      <w:tc>
        <w:tcPr>
          <w:tcW w:w="6379" w:type="dxa"/>
        </w:tcPr>
        <w:p w14:paraId="22EFE068" w14:textId="77777777" w:rsidR="00543EF5" w:rsidRDefault="00543EF5" w:rsidP="00543EF5">
          <w:pPr>
            <w:pStyle w:val="Encabezado"/>
            <w:tabs>
              <w:tab w:val="clear" w:pos="4252"/>
              <w:tab w:val="clear" w:pos="8504"/>
            </w:tabs>
            <w:spacing w:after="1200"/>
            <w:ind w:left="639"/>
            <w:rPr>
              <w:noProof/>
              <w:sz w:val="16"/>
            </w:rPr>
          </w:pPr>
          <w:r>
            <w:rPr>
              <w:noProof/>
              <w:sz w:val="16"/>
            </w:rPr>
            <w:object w:dxaOrig="3301" w:dyaOrig="1126" w14:anchorId="4C0CD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17032102" r:id="rId2"/>
            </w:object>
          </w:r>
        </w:p>
        <w:p w14:paraId="6780B159" w14:textId="77777777" w:rsidR="00543EF5" w:rsidRDefault="00543EF5" w:rsidP="00543EF5">
          <w:pPr>
            <w:pStyle w:val="Encabezado"/>
            <w:ind w:left="1064"/>
            <w:rPr>
              <w:noProof/>
              <w:sz w:val="16"/>
            </w:rPr>
          </w:pPr>
        </w:p>
      </w:tc>
      <w:tc>
        <w:tcPr>
          <w:tcW w:w="3402" w:type="dxa"/>
        </w:tcPr>
        <w:p w14:paraId="4F208CAE" w14:textId="77777777" w:rsidR="00543EF5" w:rsidRDefault="00543EF5" w:rsidP="00543EF5">
          <w:pPr>
            <w:pStyle w:val="Encabezado"/>
            <w:tabs>
              <w:tab w:val="clear" w:pos="4252"/>
            </w:tabs>
            <w:spacing w:after="240" w:line="240" w:lineRule="exact"/>
            <w:ind w:left="-68"/>
            <w:rPr>
              <w:b/>
              <w:noProof/>
              <w:sz w:val="18"/>
            </w:rPr>
          </w:pPr>
        </w:p>
        <w:p w14:paraId="2EC1D7E3" w14:textId="77777777" w:rsidR="00543EF5" w:rsidRDefault="00543EF5" w:rsidP="00543EF5">
          <w:pPr>
            <w:pStyle w:val="Encabezado"/>
            <w:tabs>
              <w:tab w:val="clear" w:pos="4252"/>
            </w:tabs>
            <w:spacing w:after="240" w:line="240" w:lineRule="exact"/>
            <w:ind w:left="781"/>
            <w:rPr>
              <w:b/>
              <w:noProof/>
              <w:sz w:val="18"/>
            </w:rPr>
          </w:pPr>
          <w:r>
            <w:rPr>
              <w:b/>
              <w:noProof/>
              <w:sz w:val="18"/>
            </w:rPr>
            <w:t>Aholku Batzordea</w:t>
          </w:r>
        </w:p>
        <w:p w14:paraId="5D83EFC9" w14:textId="77777777" w:rsidR="00543EF5" w:rsidRDefault="00543EF5" w:rsidP="00543EF5">
          <w:pPr>
            <w:pStyle w:val="Encabezado"/>
            <w:tabs>
              <w:tab w:val="clear" w:pos="4252"/>
            </w:tabs>
            <w:spacing w:after="60" w:line="190" w:lineRule="exact"/>
            <w:ind w:left="781"/>
            <w:rPr>
              <w:noProof/>
              <w:sz w:val="18"/>
            </w:rPr>
          </w:pPr>
          <w:r>
            <w:rPr>
              <w:b/>
              <w:noProof/>
              <w:sz w:val="18"/>
            </w:rPr>
            <w:t>Comisión Consultiva</w:t>
          </w:r>
        </w:p>
      </w:tc>
    </w:tr>
  </w:tbl>
  <w:p w14:paraId="4A2D47CC" w14:textId="7A4400FF" w:rsidR="00543EF5" w:rsidRDefault="00543EF5" w:rsidP="00543EF5">
    <w:pPr>
      <w:pStyle w:val="Encabezado"/>
      <w:tabs>
        <w:tab w:val="clear" w:pos="4252"/>
        <w:tab w:val="clear" w:pos="8504"/>
        <w:tab w:val="left" w:pos="1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F6742"/>
    <w:multiLevelType w:val="hybridMultilevel"/>
    <w:tmpl w:val="3ED0049A"/>
    <w:lvl w:ilvl="0" w:tplc="4106EEB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15A7C5A"/>
    <w:multiLevelType w:val="hybridMultilevel"/>
    <w:tmpl w:val="C38E9252"/>
    <w:lvl w:ilvl="0" w:tplc="0FE043CE">
      <w:numFmt w:val="bullet"/>
      <w:lvlText w:val="−"/>
      <w:lvlJc w:val="left"/>
      <w:pPr>
        <w:ind w:left="735" w:hanging="37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9579566">
    <w:abstractNumId w:val="0"/>
  </w:num>
  <w:num w:numId="2" w16cid:durableId="53916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E1"/>
    <w:rsid w:val="000C2A24"/>
    <w:rsid w:val="000D7872"/>
    <w:rsid w:val="0012456C"/>
    <w:rsid w:val="00161B7E"/>
    <w:rsid w:val="003926ED"/>
    <w:rsid w:val="003D30AB"/>
    <w:rsid w:val="0049091C"/>
    <w:rsid w:val="005123E5"/>
    <w:rsid w:val="005301E1"/>
    <w:rsid w:val="00543EF5"/>
    <w:rsid w:val="00603EEC"/>
    <w:rsid w:val="006254A6"/>
    <w:rsid w:val="006F282A"/>
    <w:rsid w:val="00756F90"/>
    <w:rsid w:val="007F65F5"/>
    <w:rsid w:val="008011B9"/>
    <w:rsid w:val="00863C95"/>
    <w:rsid w:val="008B7D8D"/>
    <w:rsid w:val="009011AD"/>
    <w:rsid w:val="00946C01"/>
    <w:rsid w:val="0096379E"/>
    <w:rsid w:val="00BB0A01"/>
    <w:rsid w:val="00BD71A2"/>
    <w:rsid w:val="00BF324D"/>
    <w:rsid w:val="00C6212C"/>
    <w:rsid w:val="00CC07CE"/>
    <w:rsid w:val="00D23708"/>
    <w:rsid w:val="00DC43AB"/>
    <w:rsid w:val="00E4138F"/>
    <w:rsid w:val="00FD6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80A6480"/>
  <w15:chartTrackingRefBased/>
  <w15:docId w15:val="{FFF1592F-BD0A-4E73-B030-C7AA2573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0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0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01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01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01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01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01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01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01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01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01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01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01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01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01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01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01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01E1"/>
    <w:rPr>
      <w:rFonts w:eastAsiaTheme="majorEastAsia" w:cstheme="majorBidi"/>
      <w:color w:val="272727" w:themeColor="text1" w:themeTint="D8"/>
    </w:rPr>
  </w:style>
  <w:style w:type="paragraph" w:styleId="Ttulo">
    <w:name w:val="Title"/>
    <w:basedOn w:val="Normal"/>
    <w:next w:val="Normal"/>
    <w:link w:val="TtuloCar"/>
    <w:uiPriority w:val="10"/>
    <w:qFormat/>
    <w:rsid w:val="00530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01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01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01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01E1"/>
    <w:pPr>
      <w:spacing w:before="160"/>
      <w:jc w:val="center"/>
    </w:pPr>
    <w:rPr>
      <w:i/>
      <w:iCs/>
      <w:color w:val="404040" w:themeColor="text1" w:themeTint="BF"/>
    </w:rPr>
  </w:style>
  <w:style w:type="character" w:customStyle="1" w:styleId="CitaCar">
    <w:name w:val="Cita Car"/>
    <w:basedOn w:val="Fuentedeprrafopredeter"/>
    <w:link w:val="Cita"/>
    <w:uiPriority w:val="29"/>
    <w:rsid w:val="005301E1"/>
    <w:rPr>
      <w:i/>
      <w:iCs/>
      <w:color w:val="404040" w:themeColor="text1" w:themeTint="BF"/>
    </w:rPr>
  </w:style>
  <w:style w:type="paragraph" w:styleId="Prrafodelista">
    <w:name w:val="List Paragraph"/>
    <w:basedOn w:val="Normal"/>
    <w:uiPriority w:val="34"/>
    <w:qFormat/>
    <w:rsid w:val="005301E1"/>
    <w:pPr>
      <w:ind w:left="720"/>
      <w:contextualSpacing/>
    </w:pPr>
  </w:style>
  <w:style w:type="character" w:styleId="nfasisintenso">
    <w:name w:val="Intense Emphasis"/>
    <w:basedOn w:val="Fuentedeprrafopredeter"/>
    <w:uiPriority w:val="21"/>
    <w:qFormat/>
    <w:rsid w:val="005301E1"/>
    <w:rPr>
      <w:i/>
      <w:iCs/>
      <w:color w:val="0F4761" w:themeColor="accent1" w:themeShade="BF"/>
    </w:rPr>
  </w:style>
  <w:style w:type="paragraph" w:styleId="Citadestacada">
    <w:name w:val="Intense Quote"/>
    <w:basedOn w:val="Normal"/>
    <w:next w:val="Normal"/>
    <w:link w:val="CitadestacadaCar"/>
    <w:uiPriority w:val="30"/>
    <w:qFormat/>
    <w:rsid w:val="00530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01E1"/>
    <w:rPr>
      <w:i/>
      <w:iCs/>
      <w:color w:val="0F4761" w:themeColor="accent1" w:themeShade="BF"/>
    </w:rPr>
  </w:style>
  <w:style w:type="character" w:styleId="Referenciaintensa">
    <w:name w:val="Intense Reference"/>
    <w:basedOn w:val="Fuentedeprrafopredeter"/>
    <w:uiPriority w:val="32"/>
    <w:qFormat/>
    <w:rsid w:val="005301E1"/>
    <w:rPr>
      <w:b/>
      <w:bCs/>
      <w:smallCaps/>
      <w:color w:val="0F4761" w:themeColor="accent1" w:themeShade="BF"/>
      <w:spacing w:val="5"/>
    </w:rPr>
  </w:style>
  <w:style w:type="paragraph" w:styleId="Encabezado">
    <w:name w:val="header"/>
    <w:aliases w:val="Encabezado CJA"/>
    <w:basedOn w:val="Normal"/>
    <w:link w:val="EncabezadoCar"/>
    <w:unhideWhenUsed/>
    <w:rsid w:val="005301E1"/>
    <w:pPr>
      <w:tabs>
        <w:tab w:val="center" w:pos="4252"/>
        <w:tab w:val="right" w:pos="8504"/>
      </w:tabs>
      <w:spacing w:after="0" w:line="240" w:lineRule="auto"/>
    </w:pPr>
  </w:style>
  <w:style w:type="character" w:customStyle="1" w:styleId="EncabezadoCar">
    <w:name w:val="Encabezado Car"/>
    <w:aliases w:val="Encabezado CJA Car"/>
    <w:basedOn w:val="Fuentedeprrafopredeter"/>
    <w:link w:val="Encabezado"/>
    <w:rsid w:val="005301E1"/>
  </w:style>
  <w:style w:type="paragraph" w:styleId="Piedepgina">
    <w:name w:val="footer"/>
    <w:basedOn w:val="Normal"/>
    <w:link w:val="PiedepginaCar"/>
    <w:uiPriority w:val="99"/>
    <w:unhideWhenUsed/>
    <w:rsid w:val="005301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0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3C0C1-A817-405B-A4C4-9A445B9E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2834</Words>
  <Characters>15588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Bengoechea, Marta</dc:creator>
  <cp:keywords/>
  <dc:description/>
  <cp:lastModifiedBy>Lopez de Heredia Lopez de Vicuña, Elena</cp:lastModifiedBy>
  <cp:revision>20</cp:revision>
  <cp:lastPrinted>2025-06-18T07:41:00Z</cp:lastPrinted>
  <dcterms:created xsi:type="dcterms:W3CDTF">2025-06-18T07:41:00Z</dcterms:created>
  <dcterms:modified xsi:type="dcterms:W3CDTF">2025-08-18T12:22:00Z</dcterms:modified>
</cp:coreProperties>
</file>