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B58F3" w14:paraId="3EF67B35" w14:textId="77777777" w:rsidTr="001564A0">
        <w:trPr>
          <w:trHeight w:val="2093"/>
        </w:trPr>
        <w:tc>
          <w:tcPr>
            <w:tcW w:w="4375" w:type="dxa"/>
            <w:hideMark/>
          </w:tcPr>
          <w:p w14:paraId="5FF4579F" w14:textId="40580580" w:rsidR="006B58F3" w:rsidRPr="001923B5" w:rsidRDefault="006B58F3" w:rsidP="001564A0">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Recurso Especial de</w:t>
            </w:r>
            <w:r w:rsidR="00284327">
              <w:rPr>
                <w:rFonts w:ascii="Times New Roman" w:hAnsi="Times New Roman"/>
                <w:color w:val="auto"/>
                <w:sz w:val="22"/>
              </w:rPr>
              <w:t xml:space="preserve"> SOCIEDAD ESTATAL CORREOS Y TELEGRAFOS, SA, S.M.E.</w:t>
            </w:r>
            <w:r w:rsidRPr="001923B5">
              <w:rPr>
                <w:rFonts w:ascii="Times New Roman" w:hAnsi="Times New Roman"/>
                <w:color w:val="auto"/>
                <w:sz w:val="22"/>
              </w:rPr>
              <w:t xml:space="preserve">, </w:t>
            </w:r>
            <w:r w:rsidR="00E47FE8">
              <w:rPr>
                <w:rFonts w:ascii="Times New Roman" w:hAnsi="Times New Roman"/>
                <w:color w:val="auto"/>
                <w:sz w:val="22"/>
              </w:rPr>
              <w:t xml:space="preserve">unipersonal, </w:t>
            </w:r>
            <w:r w:rsidRPr="001923B5">
              <w:rPr>
                <w:rFonts w:ascii="Times New Roman" w:hAnsi="Times New Roman"/>
                <w:color w:val="auto"/>
                <w:sz w:val="22"/>
              </w:rPr>
              <w:t>contra la adjudicación de</w:t>
            </w:r>
            <w:r w:rsidR="0015655B" w:rsidRPr="001923B5">
              <w:rPr>
                <w:rFonts w:ascii="Times New Roman" w:hAnsi="Times New Roman"/>
                <w:color w:val="auto"/>
                <w:sz w:val="22"/>
              </w:rPr>
              <w:t xml:space="preserve">l Acuerdo Marco para </w:t>
            </w:r>
            <w:r w:rsidR="00284327">
              <w:rPr>
                <w:rFonts w:ascii="Times New Roman" w:hAnsi="Times New Roman"/>
                <w:color w:val="auto"/>
                <w:sz w:val="22"/>
              </w:rPr>
              <w:t>la prestación de servicios postales a la DFA y resto de entidades adheridas al acuerdo marco</w:t>
            </w:r>
            <w:r w:rsidR="0015655B" w:rsidRPr="001923B5">
              <w:rPr>
                <w:rFonts w:ascii="Times New Roman" w:hAnsi="Times New Roman"/>
                <w:color w:val="auto"/>
                <w:sz w:val="22"/>
              </w:rPr>
              <w:t>.</w:t>
            </w:r>
          </w:p>
          <w:p w14:paraId="3BD25C75" w14:textId="5F1CCDB0" w:rsidR="006B58F3" w:rsidRDefault="006B58F3" w:rsidP="001564A0">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w:t>
            </w:r>
            <w:r w:rsidR="0015655B" w:rsidRPr="00E175E0">
              <w:rPr>
                <w:rFonts w:ascii="Times New Roman" w:hAnsi="Times New Roman"/>
                <w:color w:val="000000" w:themeColor="text1"/>
                <w:sz w:val="22"/>
              </w:rPr>
              <w:t>5</w:t>
            </w:r>
            <w:r w:rsidRPr="00E175E0">
              <w:rPr>
                <w:rFonts w:ascii="Times New Roman" w:hAnsi="Times New Roman"/>
                <w:color w:val="000000" w:themeColor="text1"/>
                <w:sz w:val="22"/>
              </w:rPr>
              <w:t>/</w:t>
            </w:r>
            <w:r w:rsidR="00284327">
              <w:rPr>
                <w:rFonts w:ascii="Times New Roman" w:hAnsi="Times New Roman"/>
                <w:color w:val="000000" w:themeColor="text1"/>
                <w:sz w:val="22"/>
              </w:rPr>
              <w:t>7</w:t>
            </w:r>
          </w:p>
        </w:tc>
        <w:tc>
          <w:tcPr>
            <w:tcW w:w="21" w:type="dxa"/>
            <w:hideMark/>
          </w:tcPr>
          <w:p w14:paraId="1031CB59" w14:textId="77777777" w:rsidR="006B58F3" w:rsidRDefault="006B58F3" w:rsidP="001564A0">
            <w:pPr>
              <w:spacing w:before="120" w:after="120" w:line="276" w:lineRule="auto"/>
              <w:rPr>
                <w:lang w:eastAsia="en-US"/>
              </w:rPr>
            </w:pPr>
            <w:r>
              <w:rPr>
                <w:lang w:val="es-ES_tradnl" w:eastAsia="en-US"/>
              </w:rPr>
              <w:t xml:space="preserve"> </w:t>
            </w:r>
          </w:p>
        </w:tc>
        <w:tc>
          <w:tcPr>
            <w:tcW w:w="4679" w:type="dxa"/>
          </w:tcPr>
          <w:p w14:paraId="6152DCD0" w14:textId="77777777" w:rsidR="006B58F3" w:rsidRDefault="006B58F3" w:rsidP="001564A0">
            <w:pPr>
              <w:pStyle w:val="Piedepgina"/>
              <w:tabs>
                <w:tab w:val="clear" w:pos="4252"/>
                <w:tab w:val="right" w:pos="4677"/>
              </w:tabs>
              <w:spacing w:before="120" w:after="120" w:line="276" w:lineRule="auto"/>
              <w:rPr>
                <w:b/>
                <w:lang w:eastAsia="en-US"/>
              </w:rPr>
            </w:pPr>
          </w:p>
          <w:p w14:paraId="42EDFC57" w14:textId="77777777" w:rsidR="006B58F3" w:rsidRDefault="006B58F3" w:rsidP="001564A0">
            <w:pPr>
              <w:spacing w:line="276" w:lineRule="auto"/>
              <w:jc w:val="center"/>
              <w:rPr>
                <w:b/>
                <w:lang w:eastAsia="en-US"/>
              </w:rPr>
            </w:pPr>
          </w:p>
        </w:tc>
      </w:tr>
    </w:tbl>
    <w:p w14:paraId="10E185C9" w14:textId="30AB02A1" w:rsidR="006B58F3" w:rsidRDefault="006B58F3" w:rsidP="006B58F3">
      <w:pPr>
        <w:spacing w:before="120" w:after="120"/>
        <w:jc w:val="center"/>
        <w:rPr>
          <w:b/>
          <w:sz w:val="24"/>
          <w:szCs w:val="24"/>
          <w:u w:val="single"/>
        </w:rPr>
      </w:pPr>
      <w:r>
        <w:rPr>
          <w:b/>
          <w:sz w:val="24"/>
          <w:szCs w:val="24"/>
          <w:u w:val="single"/>
        </w:rPr>
        <w:t xml:space="preserve">RESOLUCIÓN </w:t>
      </w:r>
      <w:r w:rsidR="00463417">
        <w:rPr>
          <w:b/>
          <w:sz w:val="24"/>
          <w:szCs w:val="24"/>
          <w:u w:val="single"/>
        </w:rPr>
        <w:t>14</w:t>
      </w:r>
      <w:r>
        <w:rPr>
          <w:b/>
          <w:sz w:val="24"/>
          <w:szCs w:val="24"/>
          <w:u w:val="single"/>
        </w:rPr>
        <w:t>/202</w:t>
      </w:r>
      <w:r w:rsidR="0015655B">
        <w:rPr>
          <w:b/>
          <w:sz w:val="24"/>
          <w:szCs w:val="24"/>
          <w:u w:val="single"/>
        </w:rPr>
        <w:t>5</w:t>
      </w:r>
    </w:p>
    <w:p w14:paraId="36D62837" w14:textId="77777777" w:rsidR="006B58F3" w:rsidRDefault="006B58F3" w:rsidP="006B58F3">
      <w:pPr>
        <w:spacing w:before="120" w:after="120"/>
        <w:jc w:val="center"/>
        <w:rPr>
          <w:b/>
          <w:sz w:val="24"/>
          <w:szCs w:val="24"/>
          <w:u w:val="single"/>
        </w:rPr>
      </w:pPr>
    </w:p>
    <w:p w14:paraId="50D1A8A9" w14:textId="0C7A3236" w:rsidR="006B58F3" w:rsidRDefault="006B58F3" w:rsidP="006B58F3">
      <w:pPr>
        <w:spacing w:before="120" w:after="120"/>
        <w:rPr>
          <w:bCs/>
          <w:sz w:val="22"/>
          <w:szCs w:val="22"/>
        </w:rPr>
      </w:pPr>
      <w:r>
        <w:rPr>
          <w:bCs/>
          <w:sz w:val="22"/>
          <w:szCs w:val="22"/>
        </w:rPr>
        <w:t>En Vitoria-Gasteiz, a</w:t>
      </w:r>
      <w:r w:rsidR="00284327">
        <w:rPr>
          <w:bCs/>
          <w:sz w:val="22"/>
          <w:szCs w:val="22"/>
        </w:rPr>
        <w:t xml:space="preserve"> </w:t>
      </w:r>
      <w:r w:rsidR="00463417">
        <w:rPr>
          <w:bCs/>
          <w:sz w:val="22"/>
          <w:szCs w:val="22"/>
        </w:rPr>
        <w:t>5 de junio de 2025.</w:t>
      </w:r>
    </w:p>
    <w:p w14:paraId="16403DB4" w14:textId="77777777" w:rsidR="006B58F3" w:rsidRPr="0038468A" w:rsidRDefault="006B58F3" w:rsidP="006B58F3">
      <w:pPr>
        <w:spacing w:before="120" w:after="120"/>
        <w:rPr>
          <w:bCs/>
          <w:sz w:val="22"/>
          <w:szCs w:val="22"/>
        </w:rPr>
      </w:pPr>
    </w:p>
    <w:p w14:paraId="398BE1DB" w14:textId="4E581ABA" w:rsidR="006B58F3" w:rsidRPr="000C6A30" w:rsidRDefault="006B58F3" w:rsidP="006B58F3">
      <w:pPr>
        <w:spacing w:before="120" w:after="120"/>
        <w:jc w:val="both"/>
        <w:rPr>
          <w:sz w:val="22"/>
        </w:rPr>
      </w:pPr>
      <w:bookmarkStart w:id="0" w:name="_Hlk161654240"/>
      <w:r>
        <w:rPr>
          <w:sz w:val="22"/>
        </w:rPr>
        <w:t>El Órgano Administrativo Foral de Recursos Contractuales de la Diputación Foral de Álava ha dictado la siguiente RESOLUCIÓN en relación con el Recurso Especial en materia de contratación interpuesto por D</w:t>
      </w:r>
      <w:r w:rsidR="00284327">
        <w:rPr>
          <w:sz w:val="22"/>
        </w:rPr>
        <w:t xml:space="preserve">. </w:t>
      </w:r>
      <w:r w:rsidR="00635894">
        <w:rPr>
          <w:sz w:val="22"/>
        </w:rPr>
        <w:t>XXXXXXXXXXXXXXXXXXXXX</w:t>
      </w:r>
      <w:r>
        <w:rPr>
          <w:sz w:val="22"/>
        </w:rPr>
        <w:t>, en representación de la</w:t>
      </w:r>
      <w:r w:rsidR="00284327">
        <w:rPr>
          <w:sz w:val="22"/>
        </w:rPr>
        <w:t xml:space="preserve"> sociedad mercantil estatal CORREOS SA</w:t>
      </w:r>
      <w:r w:rsidR="001C3979">
        <w:rPr>
          <w:sz w:val="22"/>
        </w:rPr>
        <w:t>.</w:t>
      </w:r>
      <w:r>
        <w:rPr>
          <w:bCs/>
          <w:sz w:val="22"/>
          <w:lang w:eastAsia="en-US"/>
        </w:rPr>
        <w:t xml:space="preserve">, </w:t>
      </w:r>
      <w:r>
        <w:rPr>
          <w:sz w:val="22"/>
        </w:rPr>
        <w:t xml:space="preserve">contra </w:t>
      </w:r>
      <w:r w:rsidR="001C3979">
        <w:rPr>
          <w:sz w:val="22"/>
        </w:rPr>
        <w:t xml:space="preserve">el Acuerdo </w:t>
      </w:r>
      <w:r w:rsidR="009E3DEC">
        <w:rPr>
          <w:sz w:val="22"/>
        </w:rPr>
        <w:t xml:space="preserve">de </w:t>
      </w:r>
      <w:r w:rsidR="001C3979">
        <w:rPr>
          <w:sz w:val="22"/>
        </w:rPr>
        <w:t xml:space="preserve">adjudicación del acuerdo </w:t>
      </w:r>
      <w:r w:rsidR="00E175E0">
        <w:rPr>
          <w:sz w:val="22"/>
        </w:rPr>
        <w:t xml:space="preserve">marco </w:t>
      </w:r>
      <w:r w:rsidR="00E47FE8" w:rsidRPr="001923B5">
        <w:rPr>
          <w:sz w:val="22"/>
        </w:rPr>
        <w:t xml:space="preserve">para </w:t>
      </w:r>
      <w:r w:rsidR="00E47FE8">
        <w:rPr>
          <w:sz w:val="22"/>
        </w:rPr>
        <w:t>la prestación de servicios postales a la DFA y resto de entidades adheridas al acuerdo marco</w:t>
      </w:r>
      <w:r w:rsidR="00E47FE8" w:rsidRPr="001923B5">
        <w:rPr>
          <w:sz w:val="22"/>
        </w:rPr>
        <w:t>.</w:t>
      </w:r>
      <w:r w:rsidR="00E47FE8">
        <w:rPr>
          <w:sz w:val="22"/>
        </w:rPr>
        <w:t xml:space="preserve"> </w:t>
      </w:r>
      <w:r>
        <w:rPr>
          <w:sz w:val="22"/>
        </w:rPr>
        <w:t>(</w:t>
      </w:r>
      <w:proofErr w:type="spellStart"/>
      <w:r>
        <w:rPr>
          <w:sz w:val="22"/>
        </w:rPr>
        <w:t>expte</w:t>
      </w:r>
      <w:proofErr w:type="spellEnd"/>
      <w:r>
        <w:rPr>
          <w:sz w:val="22"/>
        </w:rPr>
        <w:t xml:space="preserve">. </w:t>
      </w:r>
      <w:r w:rsidR="00E47FE8">
        <w:rPr>
          <w:sz w:val="22"/>
        </w:rPr>
        <w:t>2/25</w:t>
      </w:r>
      <w:r>
        <w:rPr>
          <w:sz w:val="22"/>
        </w:rPr>
        <w:t>).</w:t>
      </w:r>
    </w:p>
    <w:p w14:paraId="466462A1" w14:textId="2C886130" w:rsidR="006B58F3" w:rsidRDefault="006B58F3" w:rsidP="006B58F3">
      <w:pPr>
        <w:tabs>
          <w:tab w:val="left" w:pos="3261"/>
        </w:tabs>
        <w:spacing w:after="120" w:line="276" w:lineRule="auto"/>
        <w:jc w:val="both"/>
        <w:rPr>
          <w:sz w:val="22"/>
        </w:rPr>
      </w:pPr>
      <w:r>
        <w:rPr>
          <w:sz w:val="22"/>
        </w:rPr>
        <w:t>Son partes en dicho recurso: como RECURRENTE,</w:t>
      </w:r>
      <w:r w:rsidR="00E47FE8">
        <w:rPr>
          <w:sz w:val="22"/>
        </w:rPr>
        <w:t xml:space="preserve"> SOCIEDAD ESTATAL CORREOS Y TELEGRAFOS, SA, S.M.E</w:t>
      </w:r>
      <w:r w:rsidR="00CA61B5">
        <w:rPr>
          <w:sz w:val="22"/>
        </w:rPr>
        <w:t xml:space="preserve"> (en adelante CORREOS SA)</w:t>
      </w:r>
      <w:r w:rsidR="00E47FE8">
        <w:rPr>
          <w:sz w:val="22"/>
        </w:rPr>
        <w:t xml:space="preserve">. </w:t>
      </w:r>
      <w:r>
        <w:rPr>
          <w:sz w:val="22"/>
        </w:rPr>
        <w:t xml:space="preserve">y, como DEMANDADA </w:t>
      </w:r>
      <w:r w:rsidR="00E47FE8">
        <w:rPr>
          <w:sz w:val="22"/>
        </w:rPr>
        <w:t>LA DIPUTACIÓN FORAL DE ALAVA</w:t>
      </w:r>
      <w:r w:rsidR="001C3979">
        <w:rPr>
          <w:sz w:val="22"/>
        </w:rPr>
        <w:t>.</w:t>
      </w:r>
    </w:p>
    <w:p w14:paraId="14288CB0" w14:textId="72F62DAD" w:rsidR="006B58F3" w:rsidRDefault="006B58F3" w:rsidP="006B58F3">
      <w:pPr>
        <w:tabs>
          <w:tab w:val="left" w:pos="3261"/>
        </w:tabs>
        <w:spacing w:after="120"/>
        <w:jc w:val="both"/>
        <w:rPr>
          <w:sz w:val="22"/>
        </w:rPr>
      </w:pPr>
      <w:r>
        <w:rPr>
          <w:sz w:val="22"/>
        </w:rPr>
        <w:t>Vist</w:t>
      </w:r>
      <w:r w:rsidR="00197818">
        <w:rPr>
          <w:sz w:val="22"/>
        </w:rPr>
        <w:t xml:space="preserve">a la solicitud de práctica de prueba formulada por la </w:t>
      </w:r>
      <w:r w:rsidR="00DA11C3" w:rsidRPr="00373541">
        <w:rPr>
          <w:b/>
          <w:bCs/>
          <w:sz w:val="22"/>
        </w:rPr>
        <w:t>UTE DFA AKROPOST SPPV S.A. - HISPAPOST S.A</w:t>
      </w:r>
      <w:r w:rsidR="00DA11C3" w:rsidRPr="00DA11C3">
        <w:rPr>
          <w:sz w:val="22"/>
        </w:rPr>
        <w:t>.</w:t>
      </w:r>
      <w:r w:rsidR="00DA11C3">
        <w:rPr>
          <w:sz w:val="22"/>
        </w:rPr>
        <w:t xml:space="preserve"> </w:t>
      </w:r>
      <w:r w:rsidR="00197818">
        <w:rPr>
          <w:sz w:val="22"/>
        </w:rPr>
        <w:t>en su escrito de alegaciones</w:t>
      </w:r>
      <w:r w:rsidR="00373541">
        <w:rPr>
          <w:sz w:val="22"/>
        </w:rPr>
        <w:t xml:space="preserve"> (en adelante UTE adjudicataria)</w:t>
      </w:r>
      <w:r>
        <w:rPr>
          <w:sz w:val="22"/>
        </w:rPr>
        <w:t>, este Órgano efectúa las siguientes consideraciones:</w:t>
      </w:r>
    </w:p>
    <w:p w14:paraId="28276073" w14:textId="77777777" w:rsidR="00550EF2" w:rsidRDefault="00550EF2" w:rsidP="006B58F3">
      <w:pPr>
        <w:spacing w:after="120"/>
        <w:jc w:val="center"/>
        <w:rPr>
          <w:b/>
          <w:sz w:val="22"/>
        </w:rPr>
      </w:pPr>
    </w:p>
    <w:p w14:paraId="18DF9D43" w14:textId="6759BD3B" w:rsidR="00197818" w:rsidRPr="00197818" w:rsidRDefault="00197818" w:rsidP="00DA11C3">
      <w:pPr>
        <w:spacing w:after="240"/>
        <w:jc w:val="both"/>
        <w:rPr>
          <w:bCs/>
          <w:sz w:val="22"/>
          <w:szCs w:val="22"/>
        </w:rPr>
      </w:pPr>
      <w:r w:rsidRPr="00197818">
        <w:rPr>
          <w:bCs/>
          <w:sz w:val="22"/>
          <w:szCs w:val="22"/>
        </w:rPr>
        <w:t>1º.—</w:t>
      </w:r>
      <w:r w:rsidR="00DA11C3" w:rsidRPr="00DE2A0A">
        <w:rPr>
          <w:sz w:val="22"/>
          <w:szCs w:val="22"/>
        </w:rPr>
        <w:t xml:space="preserve">En aplicación del artículo 56.3 de la LCSP, </w:t>
      </w:r>
      <w:r w:rsidR="00DA11C3" w:rsidRPr="00F86F7C">
        <w:rPr>
          <w:sz w:val="22"/>
          <w:szCs w:val="22"/>
        </w:rPr>
        <w:t>se</w:t>
      </w:r>
      <w:r w:rsidR="00DA11C3" w:rsidRPr="00DE2A0A">
        <w:rPr>
          <w:sz w:val="22"/>
          <w:szCs w:val="22"/>
        </w:rPr>
        <w:t xml:space="preserve"> dio traslado de</w:t>
      </w:r>
      <w:r w:rsidR="00DA11C3">
        <w:rPr>
          <w:sz w:val="22"/>
          <w:szCs w:val="22"/>
        </w:rPr>
        <w:t xml:space="preserve">l </w:t>
      </w:r>
      <w:r w:rsidR="00DA11C3" w:rsidRPr="00DE2A0A">
        <w:rPr>
          <w:sz w:val="22"/>
          <w:szCs w:val="22"/>
        </w:rPr>
        <w:t>recurso</w:t>
      </w:r>
      <w:r w:rsidR="00373541">
        <w:rPr>
          <w:sz w:val="22"/>
          <w:szCs w:val="22"/>
        </w:rPr>
        <w:t xml:space="preserve"> especial</w:t>
      </w:r>
      <w:r w:rsidR="00DA11C3">
        <w:rPr>
          <w:sz w:val="22"/>
          <w:szCs w:val="22"/>
        </w:rPr>
        <w:t xml:space="preserve"> interpuesto por CORREOS SA</w:t>
      </w:r>
      <w:r w:rsidR="00DA11C3" w:rsidRPr="00DE2A0A">
        <w:rPr>
          <w:sz w:val="22"/>
          <w:szCs w:val="22"/>
        </w:rPr>
        <w:t xml:space="preserve"> a la </w:t>
      </w:r>
      <w:r w:rsidR="00373541">
        <w:rPr>
          <w:sz w:val="22"/>
          <w:szCs w:val="22"/>
        </w:rPr>
        <w:t>UTE</w:t>
      </w:r>
      <w:r w:rsidR="00DA11C3">
        <w:rPr>
          <w:sz w:val="22"/>
          <w:szCs w:val="22"/>
        </w:rPr>
        <w:t xml:space="preserve"> adjudicataria</w:t>
      </w:r>
      <w:r w:rsidR="00DA11C3" w:rsidRPr="00DE2A0A">
        <w:rPr>
          <w:sz w:val="22"/>
          <w:szCs w:val="22"/>
        </w:rPr>
        <w:t>, concediéndole un plazo de 5 días hábiles para formular cuantas alegaciones estimara convenientes.</w:t>
      </w:r>
      <w:r w:rsidR="00DA11C3">
        <w:rPr>
          <w:sz w:val="22"/>
          <w:szCs w:val="22"/>
        </w:rPr>
        <w:t xml:space="preserve"> La </w:t>
      </w:r>
      <w:r w:rsidR="00373541">
        <w:rPr>
          <w:sz w:val="22"/>
          <w:szCs w:val="22"/>
        </w:rPr>
        <w:t xml:space="preserve">UTE </w:t>
      </w:r>
      <w:r w:rsidR="00DA11C3">
        <w:rPr>
          <w:sz w:val="22"/>
          <w:szCs w:val="22"/>
        </w:rPr>
        <w:t>adjudicataria ha presentado alegaciones el día 26 de marzo de 2025</w:t>
      </w:r>
      <w:r w:rsidRPr="00197818">
        <w:rPr>
          <w:bCs/>
          <w:sz w:val="22"/>
          <w:szCs w:val="22"/>
        </w:rPr>
        <w:t xml:space="preserve">, solicitando, </w:t>
      </w:r>
      <w:r w:rsidR="00DA11C3">
        <w:rPr>
          <w:bCs/>
          <w:sz w:val="22"/>
          <w:szCs w:val="22"/>
        </w:rPr>
        <w:t>por otrosí</w:t>
      </w:r>
      <w:r w:rsidRPr="00197818">
        <w:rPr>
          <w:bCs/>
          <w:sz w:val="22"/>
          <w:szCs w:val="22"/>
        </w:rPr>
        <w:t>, la práctica de determinadas pruebas.</w:t>
      </w:r>
    </w:p>
    <w:p w14:paraId="165F35ED" w14:textId="20121717" w:rsidR="00197818" w:rsidRDefault="00DA11C3" w:rsidP="00DA11C3">
      <w:pPr>
        <w:pStyle w:val="Estilo1"/>
        <w:tabs>
          <w:tab w:val="left" w:pos="567"/>
        </w:tabs>
        <w:ind w:firstLine="0"/>
        <w:rPr>
          <w:bCs/>
          <w:sz w:val="22"/>
          <w:szCs w:val="22"/>
        </w:rPr>
      </w:pPr>
      <w:r>
        <w:rPr>
          <w:bCs/>
          <w:sz w:val="22"/>
          <w:szCs w:val="22"/>
        </w:rPr>
        <w:t>2</w:t>
      </w:r>
      <w:r w:rsidR="00197818" w:rsidRPr="00197818">
        <w:rPr>
          <w:bCs/>
          <w:sz w:val="22"/>
          <w:szCs w:val="22"/>
        </w:rPr>
        <w:t>º.</w:t>
      </w:r>
      <w:r w:rsidRPr="00197818">
        <w:rPr>
          <w:bCs/>
          <w:sz w:val="22"/>
          <w:szCs w:val="22"/>
        </w:rPr>
        <w:t>—</w:t>
      </w:r>
      <w:r>
        <w:rPr>
          <w:bCs/>
          <w:sz w:val="22"/>
          <w:szCs w:val="22"/>
        </w:rPr>
        <w:t>L</w:t>
      </w:r>
      <w:r w:rsidRPr="00197818">
        <w:rPr>
          <w:bCs/>
          <w:sz w:val="22"/>
          <w:szCs w:val="22"/>
        </w:rPr>
        <w:t>as</w:t>
      </w:r>
      <w:r>
        <w:rPr>
          <w:bCs/>
          <w:sz w:val="22"/>
          <w:szCs w:val="22"/>
        </w:rPr>
        <w:t xml:space="preserve"> pruebas solicitadas son las siguientes:</w:t>
      </w:r>
    </w:p>
    <w:p w14:paraId="792257C4" w14:textId="77777777" w:rsidR="00DA11C3" w:rsidRDefault="00DA11C3" w:rsidP="00197818">
      <w:pPr>
        <w:pStyle w:val="Estilo1"/>
        <w:tabs>
          <w:tab w:val="left" w:pos="567"/>
        </w:tabs>
        <w:rPr>
          <w:bCs/>
          <w:sz w:val="22"/>
          <w:szCs w:val="22"/>
        </w:rPr>
      </w:pPr>
    </w:p>
    <w:p w14:paraId="58C434D6" w14:textId="610435C9" w:rsidR="00DA11C3" w:rsidRPr="00DA11C3" w:rsidRDefault="00373541" w:rsidP="00373541">
      <w:pPr>
        <w:pStyle w:val="Estilo1"/>
        <w:tabs>
          <w:tab w:val="left" w:pos="567"/>
        </w:tabs>
        <w:ind w:left="567" w:firstLine="0"/>
        <w:rPr>
          <w:bCs/>
          <w:i/>
          <w:iCs/>
          <w:sz w:val="22"/>
          <w:szCs w:val="22"/>
        </w:rPr>
      </w:pPr>
      <w:r>
        <w:rPr>
          <w:bCs/>
          <w:i/>
          <w:iCs/>
          <w:sz w:val="22"/>
          <w:szCs w:val="22"/>
        </w:rPr>
        <w:t>“</w:t>
      </w:r>
      <w:r w:rsidR="00DA11C3" w:rsidRPr="00DA11C3">
        <w:rPr>
          <w:bCs/>
          <w:i/>
          <w:iCs/>
          <w:sz w:val="22"/>
          <w:szCs w:val="22"/>
        </w:rPr>
        <w:t>1. DOCUMENTAL: Que se requiera al órgano regulador del sector postal (CNMC) a través del DEPARTAMENTO DE PROMOCION DE COMPETENCIA y la DIRECCION DE TRANSPORTES Y DEL SECTOR POSTAL, con domicilio en C/ de Alcalá, 47, 28014, Madrid, para que se pronuncie sobre los siguientes extremos:</w:t>
      </w:r>
    </w:p>
    <w:p w14:paraId="7A2BDB57" w14:textId="77777777" w:rsidR="00DA11C3" w:rsidRPr="00DA11C3" w:rsidRDefault="00DA11C3" w:rsidP="00373541">
      <w:pPr>
        <w:pStyle w:val="Estilo1"/>
        <w:tabs>
          <w:tab w:val="left" w:pos="567"/>
        </w:tabs>
        <w:ind w:left="567" w:firstLine="0"/>
        <w:rPr>
          <w:bCs/>
          <w:i/>
          <w:iCs/>
          <w:sz w:val="22"/>
          <w:szCs w:val="22"/>
        </w:rPr>
      </w:pPr>
      <w:r w:rsidRPr="00DA11C3">
        <w:rPr>
          <w:bCs/>
          <w:i/>
          <w:iCs/>
          <w:sz w:val="22"/>
          <w:szCs w:val="22"/>
        </w:rPr>
        <w:t xml:space="preserve">(i) Que dentro de las más importantes medidas previstas legalmente para garantizar el máximo respeto a la libre competencia del sector postal liberalizado se encuentra el Derecho de acceso de la Red Pública, por medio del cual se garantiza que, en aquellos lugares en los que el operador privado no disponga de red de oficinas propias, puede </w:t>
      </w:r>
      <w:r w:rsidRPr="00DA11C3">
        <w:rPr>
          <w:bCs/>
          <w:i/>
          <w:iCs/>
          <w:sz w:val="22"/>
          <w:szCs w:val="22"/>
        </w:rPr>
        <w:lastRenderedPageBreak/>
        <w:t>tramitar sus envíos o servicios a través de las oficinas de Correos, siendo desde ese momento, Correos, previo pago de unas tarifas preestablecidas, quien asume, en lugar del operador privado, la prestación del servicio por sus propios medios personales y materiales.</w:t>
      </w:r>
    </w:p>
    <w:p w14:paraId="7F8AA47E" w14:textId="77777777" w:rsidR="00DA11C3" w:rsidRPr="00DA11C3" w:rsidRDefault="00DA11C3" w:rsidP="00373541">
      <w:pPr>
        <w:pStyle w:val="Estilo1"/>
        <w:tabs>
          <w:tab w:val="left" w:pos="567"/>
        </w:tabs>
        <w:ind w:left="567" w:firstLine="0"/>
        <w:rPr>
          <w:bCs/>
          <w:i/>
          <w:iCs/>
          <w:sz w:val="22"/>
          <w:szCs w:val="22"/>
        </w:rPr>
      </w:pPr>
      <w:r w:rsidRPr="00DA11C3">
        <w:rPr>
          <w:bCs/>
          <w:i/>
          <w:iCs/>
          <w:sz w:val="22"/>
          <w:szCs w:val="22"/>
        </w:rPr>
        <w:t>(</w:t>
      </w:r>
      <w:proofErr w:type="spellStart"/>
      <w:r w:rsidRPr="00DA11C3">
        <w:rPr>
          <w:bCs/>
          <w:i/>
          <w:iCs/>
          <w:sz w:val="22"/>
          <w:szCs w:val="22"/>
        </w:rPr>
        <w:t>ii</w:t>
      </w:r>
      <w:proofErr w:type="spellEnd"/>
      <w:r w:rsidRPr="00DA11C3">
        <w:rPr>
          <w:bCs/>
          <w:i/>
          <w:iCs/>
          <w:sz w:val="22"/>
          <w:szCs w:val="22"/>
        </w:rPr>
        <w:t>) Que el referido derecho abarca el conjunto de la organización y de los medios de todo orden que, empleados por el operador designado para la prestación del servicio postal universal, dado que, los medios personales y materiales de Correos son intrínsecos al propio acceso a la red, no pudiendo disgregarse la propia oficina como tal, de su personal y/o resto de medios materiales.</w:t>
      </w:r>
    </w:p>
    <w:p w14:paraId="04D57AC6" w14:textId="77777777" w:rsidR="00DA11C3" w:rsidRPr="00DA11C3" w:rsidRDefault="00DA11C3" w:rsidP="00373541">
      <w:pPr>
        <w:pStyle w:val="Estilo1"/>
        <w:tabs>
          <w:tab w:val="left" w:pos="567"/>
        </w:tabs>
        <w:ind w:left="567" w:firstLine="0"/>
        <w:rPr>
          <w:bCs/>
          <w:i/>
          <w:iCs/>
          <w:sz w:val="22"/>
          <w:szCs w:val="22"/>
        </w:rPr>
      </w:pPr>
      <w:r w:rsidRPr="00DA11C3">
        <w:rPr>
          <w:bCs/>
          <w:i/>
          <w:iCs/>
          <w:sz w:val="22"/>
          <w:szCs w:val="22"/>
        </w:rPr>
        <w:t>(</w:t>
      </w:r>
      <w:proofErr w:type="spellStart"/>
      <w:r w:rsidRPr="00DA11C3">
        <w:rPr>
          <w:bCs/>
          <w:i/>
          <w:iCs/>
          <w:sz w:val="22"/>
          <w:szCs w:val="22"/>
        </w:rPr>
        <w:t>iii</w:t>
      </w:r>
      <w:proofErr w:type="spellEnd"/>
      <w:r w:rsidRPr="00DA11C3">
        <w:rPr>
          <w:bCs/>
          <w:i/>
          <w:iCs/>
          <w:sz w:val="22"/>
          <w:szCs w:val="22"/>
        </w:rPr>
        <w:t>) Que conforme a este derecho dentro de la contratación pública la Red Postal o capilaridad de oficinas de CORREOS debe configurarse como un criterio de valoración neutro y debe valorarse, para cualquier operador postal privado -en igualdad de condiciones y con idéntico efecto-, respecto del operador postal público CORREOS.</w:t>
      </w:r>
    </w:p>
    <w:p w14:paraId="0CD3C14B" w14:textId="77777777" w:rsidR="00DA11C3" w:rsidRPr="00DA11C3" w:rsidRDefault="00DA11C3" w:rsidP="00373541">
      <w:pPr>
        <w:pStyle w:val="Estilo1"/>
        <w:tabs>
          <w:tab w:val="left" w:pos="567"/>
        </w:tabs>
        <w:ind w:left="567" w:firstLine="0"/>
        <w:rPr>
          <w:bCs/>
          <w:i/>
          <w:iCs/>
          <w:sz w:val="22"/>
          <w:szCs w:val="22"/>
        </w:rPr>
      </w:pPr>
      <w:r w:rsidRPr="00DA11C3">
        <w:rPr>
          <w:bCs/>
          <w:i/>
          <w:iCs/>
          <w:sz w:val="22"/>
          <w:szCs w:val="22"/>
        </w:rPr>
        <w:t>(</w:t>
      </w:r>
      <w:proofErr w:type="spellStart"/>
      <w:r w:rsidRPr="00DA11C3">
        <w:rPr>
          <w:bCs/>
          <w:i/>
          <w:iCs/>
          <w:sz w:val="22"/>
          <w:szCs w:val="22"/>
        </w:rPr>
        <w:t>iv</w:t>
      </w:r>
      <w:proofErr w:type="spellEnd"/>
      <w:r w:rsidRPr="00DA11C3">
        <w:rPr>
          <w:bCs/>
          <w:i/>
          <w:iCs/>
          <w:sz w:val="22"/>
          <w:szCs w:val="22"/>
        </w:rPr>
        <w:t>) Que conforme a lo anterior se pronuncie igualmente sobre la afirmación realizada por la recurrente (pág. 6 último párrafo del recurso) sobre la negativa a admitir en sus oficinas cualquier envío de las entidades adheridas al Acuerdo Marco al no ser las entidades clientes de Correos.</w:t>
      </w:r>
    </w:p>
    <w:p w14:paraId="22A6DB49" w14:textId="7CC7BCB3" w:rsidR="00DA11C3" w:rsidRPr="00DA11C3" w:rsidRDefault="00DA11C3" w:rsidP="00373541">
      <w:pPr>
        <w:pStyle w:val="Estilo1"/>
        <w:tabs>
          <w:tab w:val="left" w:pos="567"/>
        </w:tabs>
        <w:ind w:left="567" w:firstLine="0"/>
        <w:rPr>
          <w:bCs/>
          <w:i/>
          <w:iCs/>
          <w:sz w:val="22"/>
          <w:szCs w:val="22"/>
        </w:rPr>
      </w:pPr>
      <w:r w:rsidRPr="00DA11C3">
        <w:rPr>
          <w:bCs/>
          <w:i/>
          <w:iCs/>
          <w:sz w:val="22"/>
          <w:szCs w:val="22"/>
        </w:rPr>
        <w:t>2. MAS DOCUMENTAL: Que se requiera al Tribunal Vasco de la Competencia para que se manifieste sobre la afirmación realizada por la recurrente (pág. 6 último párrafo del recurso) sobre la negativa a admitir en sus oficinas cualquier envío de las entidades adheridas al Acuerdo Marco al no ser las entidades clientes de Correos.</w:t>
      </w:r>
      <w:r w:rsidR="00373541">
        <w:rPr>
          <w:bCs/>
          <w:i/>
          <w:iCs/>
          <w:sz w:val="22"/>
          <w:szCs w:val="22"/>
        </w:rPr>
        <w:t>”</w:t>
      </w:r>
    </w:p>
    <w:p w14:paraId="74A2315E" w14:textId="77777777" w:rsidR="00DA11C3" w:rsidRPr="00197818" w:rsidRDefault="00DA11C3" w:rsidP="00197818">
      <w:pPr>
        <w:pStyle w:val="Estilo1"/>
        <w:tabs>
          <w:tab w:val="left" w:pos="567"/>
        </w:tabs>
        <w:rPr>
          <w:bCs/>
          <w:sz w:val="22"/>
          <w:szCs w:val="22"/>
        </w:rPr>
      </w:pPr>
    </w:p>
    <w:p w14:paraId="09B27114" w14:textId="77777777" w:rsidR="00197818" w:rsidRPr="00197818" w:rsidRDefault="00197818" w:rsidP="00DA11C3">
      <w:pPr>
        <w:pStyle w:val="Estilo1"/>
        <w:tabs>
          <w:tab w:val="left" w:pos="567"/>
        </w:tabs>
        <w:jc w:val="center"/>
        <w:rPr>
          <w:b/>
          <w:sz w:val="22"/>
          <w:szCs w:val="22"/>
        </w:rPr>
      </w:pPr>
      <w:r w:rsidRPr="00197818">
        <w:rPr>
          <w:b/>
          <w:sz w:val="22"/>
          <w:szCs w:val="22"/>
        </w:rPr>
        <w:t>FUNDAMENTOS DE DERECHO</w:t>
      </w:r>
    </w:p>
    <w:p w14:paraId="08D6B01F" w14:textId="77777777" w:rsidR="00DA11C3" w:rsidRDefault="00DA11C3" w:rsidP="00197818">
      <w:pPr>
        <w:pStyle w:val="Estilo1"/>
        <w:tabs>
          <w:tab w:val="left" w:pos="567"/>
        </w:tabs>
        <w:rPr>
          <w:bCs/>
          <w:sz w:val="22"/>
          <w:szCs w:val="22"/>
        </w:rPr>
      </w:pPr>
    </w:p>
    <w:p w14:paraId="1DA8BF4B" w14:textId="4525DC47" w:rsidR="00197818" w:rsidRPr="00197818" w:rsidRDefault="00197818" w:rsidP="00197818">
      <w:pPr>
        <w:pStyle w:val="Estilo1"/>
        <w:tabs>
          <w:tab w:val="left" w:pos="567"/>
        </w:tabs>
        <w:rPr>
          <w:bCs/>
          <w:sz w:val="22"/>
          <w:szCs w:val="22"/>
        </w:rPr>
      </w:pPr>
      <w:r w:rsidRPr="00197818">
        <w:rPr>
          <w:bCs/>
          <w:sz w:val="22"/>
          <w:szCs w:val="22"/>
        </w:rPr>
        <w:t xml:space="preserve">Primero. — Competencia del </w:t>
      </w:r>
      <w:r w:rsidR="00DA11C3" w:rsidRPr="00197818">
        <w:rPr>
          <w:bCs/>
          <w:sz w:val="22"/>
          <w:szCs w:val="22"/>
        </w:rPr>
        <w:t>Órgano</w:t>
      </w:r>
      <w:r w:rsidR="00DA11C3">
        <w:rPr>
          <w:bCs/>
          <w:sz w:val="22"/>
          <w:szCs w:val="22"/>
        </w:rPr>
        <w:t xml:space="preserve"> Administrativo</w:t>
      </w:r>
      <w:r w:rsidR="00DA11C3" w:rsidRPr="00197818">
        <w:rPr>
          <w:bCs/>
          <w:sz w:val="22"/>
          <w:szCs w:val="22"/>
        </w:rPr>
        <w:t xml:space="preserve"> Foral </w:t>
      </w:r>
      <w:r w:rsidR="00DA11C3">
        <w:rPr>
          <w:bCs/>
          <w:sz w:val="22"/>
          <w:szCs w:val="22"/>
        </w:rPr>
        <w:t>d</w:t>
      </w:r>
      <w:r w:rsidR="00DA11C3" w:rsidRPr="00197818">
        <w:rPr>
          <w:bCs/>
          <w:sz w:val="22"/>
          <w:szCs w:val="22"/>
        </w:rPr>
        <w:t>e Recursos Contractuales</w:t>
      </w:r>
    </w:p>
    <w:p w14:paraId="35C140A6" w14:textId="128C6063" w:rsidR="00DA11C3" w:rsidRDefault="00197818" w:rsidP="00197818">
      <w:pPr>
        <w:pStyle w:val="Estilo1"/>
        <w:tabs>
          <w:tab w:val="left" w:pos="567"/>
        </w:tabs>
        <w:rPr>
          <w:bCs/>
          <w:sz w:val="22"/>
          <w:szCs w:val="22"/>
        </w:rPr>
      </w:pPr>
      <w:r w:rsidRPr="00197818">
        <w:rPr>
          <w:bCs/>
          <w:sz w:val="22"/>
          <w:szCs w:val="22"/>
        </w:rPr>
        <w:t xml:space="preserve">El </w:t>
      </w:r>
      <w:r w:rsidR="00DA11C3">
        <w:rPr>
          <w:bCs/>
          <w:sz w:val="22"/>
          <w:szCs w:val="22"/>
        </w:rPr>
        <w:t>OAFRC</w:t>
      </w:r>
      <w:r w:rsidRPr="00197818">
        <w:rPr>
          <w:bCs/>
          <w:sz w:val="22"/>
          <w:szCs w:val="22"/>
        </w:rPr>
        <w:t xml:space="preserve"> es competente para resolver sobre la admisión o inadmisión de las pruebas propuestas en el marco del recurso especial en materia de contratación, de conformidad con lo dispuesto en el artículo 56 de la Ley de Contratos del Sector Público</w:t>
      </w:r>
      <w:r w:rsidR="00373541">
        <w:rPr>
          <w:bCs/>
          <w:sz w:val="22"/>
          <w:szCs w:val="22"/>
        </w:rPr>
        <w:t>. En cuanto a la inadmisión de pruebas, el mencionado artículo declara lo siguiente:</w:t>
      </w:r>
    </w:p>
    <w:p w14:paraId="3083E474" w14:textId="2CF22FED" w:rsidR="00DA11C3" w:rsidRPr="00DA11C3" w:rsidRDefault="00373541" w:rsidP="00373541">
      <w:pPr>
        <w:pStyle w:val="Estilo1"/>
        <w:tabs>
          <w:tab w:val="left" w:pos="567"/>
        </w:tabs>
        <w:ind w:left="567" w:firstLine="0"/>
        <w:rPr>
          <w:bCs/>
          <w:i/>
          <w:iCs/>
          <w:sz w:val="22"/>
          <w:szCs w:val="22"/>
        </w:rPr>
      </w:pPr>
      <w:r>
        <w:rPr>
          <w:bCs/>
          <w:i/>
          <w:iCs/>
          <w:sz w:val="22"/>
          <w:szCs w:val="22"/>
          <w:lang w:val="es-ES"/>
        </w:rPr>
        <w:t>“</w:t>
      </w:r>
      <w:r w:rsidR="00DA11C3" w:rsidRPr="00DA11C3">
        <w:rPr>
          <w:bCs/>
          <w:i/>
          <w:iCs/>
          <w:sz w:val="22"/>
          <w:szCs w:val="22"/>
          <w:lang w:val="es-ES"/>
        </w:rPr>
        <w:t>El órgano competente para la resolución del recurso podrá rechazar las pruebas propuestas por los interesados cuando sean manifiestamente improcedentes o innecesarias, mediante resolución motivada.</w:t>
      </w:r>
      <w:r>
        <w:rPr>
          <w:bCs/>
          <w:i/>
          <w:iCs/>
          <w:sz w:val="22"/>
          <w:szCs w:val="22"/>
          <w:lang w:val="es-ES"/>
        </w:rPr>
        <w:t>”</w:t>
      </w:r>
    </w:p>
    <w:p w14:paraId="50B2D186" w14:textId="327F4DE2" w:rsidR="00373541" w:rsidRDefault="00197818" w:rsidP="00197818">
      <w:pPr>
        <w:pStyle w:val="Estilo1"/>
        <w:tabs>
          <w:tab w:val="left" w:pos="567"/>
        </w:tabs>
        <w:rPr>
          <w:bCs/>
          <w:sz w:val="22"/>
          <w:szCs w:val="22"/>
        </w:rPr>
      </w:pPr>
      <w:r w:rsidRPr="00197818">
        <w:rPr>
          <w:bCs/>
          <w:sz w:val="22"/>
          <w:szCs w:val="22"/>
        </w:rPr>
        <w:t xml:space="preserve">Segundo. — De acuerdo con el artículo 56.4 </w:t>
      </w:r>
      <w:r w:rsidR="00373541">
        <w:rPr>
          <w:bCs/>
          <w:sz w:val="22"/>
          <w:szCs w:val="22"/>
        </w:rPr>
        <w:t>LCSP</w:t>
      </w:r>
      <w:r w:rsidRPr="00197818">
        <w:rPr>
          <w:bCs/>
          <w:sz w:val="22"/>
          <w:szCs w:val="22"/>
        </w:rPr>
        <w:t xml:space="preserve">, únicamente los hechos relevantes para la decisión del recurso pueden ser objeto de acreditación mediante cualquier medio de prueba admisible en derecho. La solicitud de informes jurídicos o dictámenes sobre la interpretación normativa no constituye un medio de prueba dirigido a la acreditación de hechos, sino que se orienta a la fundamentación jurídica de las pretensiones de </w:t>
      </w:r>
      <w:r w:rsidR="00AE210A">
        <w:rPr>
          <w:bCs/>
          <w:sz w:val="22"/>
          <w:szCs w:val="22"/>
        </w:rPr>
        <w:t>la parte proponente de la prueba</w:t>
      </w:r>
      <w:r w:rsidRPr="00197818">
        <w:rPr>
          <w:bCs/>
          <w:sz w:val="22"/>
          <w:szCs w:val="22"/>
        </w:rPr>
        <w:t xml:space="preserve">. </w:t>
      </w:r>
    </w:p>
    <w:p w14:paraId="0C69D85C" w14:textId="547D6F36" w:rsidR="00197818" w:rsidRDefault="00197818" w:rsidP="006C74E1">
      <w:pPr>
        <w:ind w:firstLine="708"/>
        <w:jc w:val="both"/>
        <w:rPr>
          <w:sz w:val="22"/>
          <w:szCs w:val="22"/>
        </w:rPr>
      </w:pPr>
      <w:r w:rsidRPr="00197818">
        <w:rPr>
          <w:bCs/>
          <w:sz w:val="22"/>
          <w:szCs w:val="22"/>
        </w:rPr>
        <w:t xml:space="preserve">La función de la prueba en el procedimiento administrativo, </w:t>
      </w:r>
      <w:r w:rsidR="00373541">
        <w:rPr>
          <w:bCs/>
          <w:sz w:val="22"/>
          <w:szCs w:val="22"/>
        </w:rPr>
        <w:t>así como</w:t>
      </w:r>
      <w:r w:rsidRPr="00197818">
        <w:rPr>
          <w:bCs/>
          <w:sz w:val="22"/>
          <w:szCs w:val="22"/>
        </w:rPr>
        <w:t xml:space="preserve"> en el recurso especial en materia de contratación, se circunscribe a la acreditación de hechos controvertidos y relevantes para la resolución del recurso.</w:t>
      </w:r>
      <w:r w:rsidR="006C74E1" w:rsidRPr="006C74E1">
        <w:rPr>
          <w:sz w:val="22"/>
          <w:szCs w:val="22"/>
        </w:rPr>
        <w:t xml:space="preserve"> </w:t>
      </w:r>
      <w:r w:rsidR="006C74E1" w:rsidRPr="00343DB5">
        <w:rPr>
          <w:sz w:val="22"/>
          <w:szCs w:val="22"/>
        </w:rPr>
        <w:t xml:space="preserve">La solicitud de emisión de un informe por parte de la CNMV o del Tribunal Vasco de la Competencia </w:t>
      </w:r>
      <w:r w:rsidR="006C74E1">
        <w:rPr>
          <w:sz w:val="22"/>
          <w:szCs w:val="22"/>
        </w:rPr>
        <w:t xml:space="preserve">sobre cuestiones sustancialmente jurídicas </w:t>
      </w:r>
      <w:r w:rsidR="006C74E1" w:rsidRPr="00343DB5">
        <w:rPr>
          <w:sz w:val="22"/>
          <w:szCs w:val="22"/>
        </w:rPr>
        <w:t xml:space="preserve">no </w:t>
      </w:r>
      <w:r w:rsidR="006C74E1" w:rsidRPr="00343DB5">
        <w:rPr>
          <w:sz w:val="22"/>
          <w:szCs w:val="22"/>
        </w:rPr>
        <w:lastRenderedPageBreak/>
        <w:t xml:space="preserve">constituye un medio de prueba dirigido a acreditar hechos relevantes para la resolución del recurso, sino que pretende recabar una </w:t>
      </w:r>
      <w:r w:rsidR="006C74E1">
        <w:rPr>
          <w:sz w:val="22"/>
          <w:szCs w:val="22"/>
        </w:rPr>
        <w:t xml:space="preserve">determinada </w:t>
      </w:r>
      <w:r w:rsidR="006C74E1" w:rsidRPr="00343DB5">
        <w:rPr>
          <w:sz w:val="22"/>
          <w:szCs w:val="22"/>
        </w:rPr>
        <w:t xml:space="preserve">valoración o interpretación jurídica sobre cuestiones que corresponden exclusivamente </w:t>
      </w:r>
      <w:r w:rsidR="006C74E1">
        <w:rPr>
          <w:sz w:val="22"/>
          <w:szCs w:val="22"/>
        </w:rPr>
        <w:t>al OAFRC</w:t>
      </w:r>
      <w:r w:rsidR="006C74E1" w:rsidRPr="00343DB5">
        <w:rPr>
          <w:sz w:val="22"/>
          <w:szCs w:val="22"/>
        </w:rPr>
        <w:t xml:space="preserve">. La función de los informes jurídicos de otros órganos no puede sustituir la labor de interpretación y aplicación del Derecho que corresponde a este órgano, conforme al principio de independencia y a la función </w:t>
      </w:r>
      <w:proofErr w:type="spellStart"/>
      <w:r w:rsidR="006C74E1" w:rsidRPr="00343DB5">
        <w:rPr>
          <w:sz w:val="22"/>
          <w:szCs w:val="22"/>
        </w:rPr>
        <w:t>cuasi-jurisdiccional</w:t>
      </w:r>
      <w:proofErr w:type="spellEnd"/>
      <w:r w:rsidR="006C74E1" w:rsidRPr="00343DB5">
        <w:rPr>
          <w:sz w:val="22"/>
          <w:szCs w:val="22"/>
        </w:rPr>
        <w:t xml:space="preserve"> que le es propia</w:t>
      </w:r>
      <w:r w:rsidR="006C74E1">
        <w:rPr>
          <w:sz w:val="22"/>
          <w:szCs w:val="22"/>
        </w:rPr>
        <w:t xml:space="preserve">. </w:t>
      </w:r>
      <w:r w:rsidR="006C74E1" w:rsidRPr="00343DB5">
        <w:rPr>
          <w:sz w:val="22"/>
          <w:szCs w:val="22"/>
        </w:rPr>
        <w:t xml:space="preserve">En consecuencia, la prueba solicitada resulta </w:t>
      </w:r>
      <w:r w:rsidR="006C74E1">
        <w:rPr>
          <w:sz w:val="22"/>
          <w:szCs w:val="22"/>
        </w:rPr>
        <w:t xml:space="preserve">manifiestamente </w:t>
      </w:r>
      <w:r w:rsidR="006C74E1" w:rsidRPr="00343DB5">
        <w:rPr>
          <w:sz w:val="22"/>
          <w:szCs w:val="22"/>
        </w:rPr>
        <w:t>improcedente</w:t>
      </w:r>
      <w:r w:rsidR="006C74E1">
        <w:rPr>
          <w:sz w:val="22"/>
          <w:szCs w:val="22"/>
        </w:rPr>
        <w:t>.</w:t>
      </w:r>
    </w:p>
    <w:p w14:paraId="76C647BD" w14:textId="77777777" w:rsidR="006C74E1" w:rsidRPr="00197818" w:rsidRDefault="006C74E1" w:rsidP="006C74E1">
      <w:pPr>
        <w:jc w:val="both"/>
        <w:rPr>
          <w:bCs/>
          <w:sz w:val="22"/>
          <w:szCs w:val="22"/>
        </w:rPr>
      </w:pPr>
    </w:p>
    <w:p w14:paraId="6D3653D2" w14:textId="11A74209" w:rsidR="00197818" w:rsidRPr="00197818" w:rsidRDefault="00197818" w:rsidP="00197818">
      <w:pPr>
        <w:pStyle w:val="Estilo1"/>
        <w:tabs>
          <w:tab w:val="left" w:pos="567"/>
        </w:tabs>
        <w:rPr>
          <w:bCs/>
          <w:sz w:val="22"/>
          <w:szCs w:val="22"/>
        </w:rPr>
      </w:pPr>
      <w:r w:rsidRPr="00197818">
        <w:rPr>
          <w:bCs/>
          <w:sz w:val="22"/>
          <w:szCs w:val="22"/>
        </w:rPr>
        <w:t xml:space="preserve">En virtud de lo anterior, y conforme </w:t>
      </w:r>
      <w:r w:rsidR="00373541">
        <w:rPr>
          <w:bCs/>
          <w:sz w:val="22"/>
          <w:szCs w:val="22"/>
        </w:rPr>
        <w:t>a</w:t>
      </w:r>
      <w:r w:rsidRPr="00197818">
        <w:rPr>
          <w:bCs/>
          <w:sz w:val="22"/>
          <w:szCs w:val="22"/>
        </w:rPr>
        <w:t xml:space="preserve">l artículo 56.4 </w:t>
      </w:r>
      <w:r w:rsidR="00373541">
        <w:rPr>
          <w:bCs/>
          <w:sz w:val="22"/>
          <w:szCs w:val="22"/>
        </w:rPr>
        <w:t>LCSP</w:t>
      </w:r>
      <w:r w:rsidRPr="00197818">
        <w:rPr>
          <w:bCs/>
          <w:sz w:val="22"/>
          <w:szCs w:val="22"/>
        </w:rPr>
        <w:t>, así como en el artículo 77.3 de la Ley 39/2015, de 1 de octubre, del Procedimiento Administrativo Común de las Administraciones Públicas, procede inadmitir la prueba propuesta por la</w:t>
      </w:r>
      <w:r w:rsidR="00373541">
        <w:rPr>
          <w:bCs/>
          <w:sz w:val="22"/>
          <w:szCs w:val="22"/>
        </w:rPr>
        <w:t xml:space="preserve"> UTE</w:t>
      </w:r>
      <w:r w:rsidR="006C74E1">
        <w:rPr>
          <w:bCs/>
          <w:sz w:val="22"/>
          <w:szCs w:val="22"/>
        </w:rPr>
        <w:t>.</w:t>
      </w:r>
    </w:p>
    <w:p w14:paraId="58F4B9E6" w14:textId="1154FD88" w:rsidR="00197818" w:rsidRPr="00197818" w:rsidRDefault="00197818" w:rsidP="00197818">
      <w:pPr>
        <w:pStyle w:val="Estilo1"/>
        <w:tabs>
          <w:tab w:val="left" w:pos="567"/>
        </w:tabs>
        <w:rPr>
          <w:bCs/>
          <w:sz w:val="22"/>
          <w:szCs w:val="22"/>
        </w:rPr>
      </w:pPr>
      <w:r w:rsidRPr="00197818">
        <w:rPr>
          <w:bCs/>
          <w:sz w:val="22"/>
          <w:szCs w:val="22"/>
        </w:rPr>
        <w:t xml:space="preserve">De conformidad con lo dispuesto en el artículo 30.4 del Real Decreto 814/2015, de 11 de septiembre, contra </w:t>
      </w:r>
      <w:r w:rsidR="00373541">
        <w:rPr>
          <w:bCs/>
          <w:sz w:val="22"/>
          <w:szCs w:val="22"/>
        </w:rPr>
        <w:t>la inadmisión de prueba</w:t>
      </w:r>
      <w:r w:rsidRPr="00197818">
        <w:rPr>
          <w:bCs/>
          <w:sz w:val="22"/>
          <w:szCs w:val="22"/>
        </w:rPr>
        <w:t xml:space="preserve"> no cabe recurso administrativo alguno, sin perjuicio de la posibilidad de aducir su denegación como fundamento del recurso contencioso-administrativo que, en su caso, pudiera interponerse. </w:t>
      </w:r>
    </w:p>
    <w:p w14:paraId="33660B77" w14:textId="77777777" w:rsidR="006B58F3" w:rsidRDefault="006B58F3" w:rsidP="006B58F3">
      <w:pPr>
        <w:jc w:val="both"/>
        <w:rPr>
          <w:sz w:val="22"/>
        </w:rPr>
      </w:pPr>
    </w:p>
    <w:p w14:paraId="6CD2B0FD" w14:textId="45802AB9" w:rsidR="006B58F3" w:rsidRDefault="006B58F3" w:rsidP="006C74E1">
      <w:pPr>
        <w:ind w:firstLine="708"/>
        <w:jc w:val="both"/>
        <w:rPr>
          <w:sz w:val="22"/>
        </w:rPr>
      </w:pPr>
      <w:r>
        <w:rPr>
          <w:sz w:val="22"/>
        </w:rPr>
        <w:t>En su virtud y sin prejuzgar la decisión que en definitiva se adopte, este Órgano Foral de Recursos Contractuales emite la siguiente</w:t>
      </w:r>
    </w:p>
    <w:p w14:paraId="69DCD52A" w14:textId="77777777" w:rsidR="006B58F3" w:rsidRDefault="006B58F3" w:rsidP="006B58F3">
      <w:pPr>
        <w:pStyle w:val="Textoindependiente"/>
        <w:spacing w:before="480" w:after="480"/>
        <w:jc w:val="center"/>
        <w:rPr>
          <w:rFonts w:ascii="Times New Roman" w:hAnsi="Times New Roman"/>
          <w:b/>
          <w:sz w:val="22"/>
        </w:rPr>
      </w:pPr>
      <w:r>
        <w:rPr>
          <w:rFonts w:ascii="Times New Roman" w:hAnsi="Times New Roman"/>
          <w:b/>
          <w:sz w:val="22"/>
        </w:rPr>
        <w:t>RESOLUCIÓN</w:t>
      </w:r>
    </w:p>
    <w:p w14:paraId="70ED3D18" w14:textId="358AD533" w:rsidR="00197818" w:rsidRPr="00197818" w:rsidRDefault="00197818" w:rsidP="00197818">
      <w:pPr>
        <w:pStyle w:val="Estilo1"/>
        <w:tabs>
          <w:tab w:val="left" w:pos="567"/>
        </w:tabs>
        <w:rPr>
          <w:b/>
          <w:sz w:val="22"/>
          <w:szCs w:val="22"/>
        </w:rPr>
      </w:pPr>
      <w:r w:rsidRPr="00197818">
        <w:rPr>
          <w:b/>
          <w:sz w:val="22"/>
          <w:szCs w:val="22"/>
        </w:rPr>
        <w:t xml:space="preserve">Primero.— </w:t>
      </w:r>
      <w:r w:rsidRPr="00197818">
        <w:rPr>
          <w:bCs/>
          <w:sz w:val="22"/>
          <w:szCs w:val="22"/>
        </w:rPr>
        <w:t xml:space="preserve">Inadmitir la prueba propuesta por </w:t>
      </w:r>
      <w:r w:rsidR="006C74E1" w:rsidRPr="006C74E1">
        <w:rPr>
          <w:bCs/>
          <w:sz w:val="22"/>
          <w:szCs w:val="22"/>
        </w:rPr>
        <w:t xml:space="preserve">D. </w:t>
      </w:r>
      <w:r w:rsidR="00635894">
        <w:rPr>
          <w:bCs/>
          <w:sz w:val="22"/>
          <w:szCs w:val="22"/>
        </w:rPr>
        <w:t>XXXXXXXXXXXXXXXXXXX</w:t>
      </w:r>
      <w:r w:rsidR="006C74E1" w:rsidRPr="006C74E1">
        <w:rPr>
          <w:bCs/>
          <w:sz w:val="22"/>
          <w:szCs w:val="22"/>
        </w:rPr>
        <w:t xml:space="preserve">, en nombre y representación de la sociedad HISPAPOST S.A., </w:t>
      </w:r>
      <w:r w:rsidR="006C74E1">
        <w:rPr>
          <w:bCs/>
          <w:sz w:val="22"/>
          <w:szCs w:val="22"/>
        </w:rPr>
        <w:t>y por</w:t>
      </w:r>
      <w:r w:rsidR="006C74E1" w:rsidRPr="006C74E1">
        <w:rPr>
          <w:bCs/>
          <w:sz w:val="22"/>
          <w:szCs w:val="22"/>
        </w:rPr>
        <w:t xml:space="preserve"> D. </w:t>
      </w:r>
      <w:r w:rsidR="00635894">
        <w:rPr>
          <w:bCs/>
          <w:sz w:val="22"/>
          <w:szCs w:val="22"/>
        </w:rPr>
        <w:t>XXXXXXXXXXXXXX</w:t>
      </w:r>
      <w:r w:rsidR="006C74E1" w:rsidRPr="006C74E1">
        <w:rPr>
          <w:bCs/>
          <w:sz w:val="22"/>
          <w:szCs w:val="22"/>
        </w:rPr>
        <w:t>, en nombre y representación de AKROPOST SERVICIOS POSTALES DEL PAIS VASCO S.A., (AKROPOST),</w:t>
      </w:r>
      <w:r w:rsidR="006C74E1">
        <w:rPr>
          <w:bCs/>
          <w:sz w:val="22"/>
          <w:szCs w:val="22"/>
        </w:rPr>
        <w:t xml:space="preserve"> </w:t>
      </w:r>
      <w:r w:rsidR="006C74E1" w:rsidRPr="006C74E1">
        <w:rPr>
          <w:bCs/>
          <w:sz w:val="22"/>
          <w:szCs w:val="22"/>
        </w:rPr>
        <w:t>en nombre y representación de la licitadora adjudicataria “UTE DFA AKROPOST SPPV S.A. - HISPAPOST S.A. (en constitución)</w:t>
      </w:r>
      <w:r w:rsidR="006C74E1">
        <w:rPr>
          <w:bCs/>
          <w:sz w:val="22"/>
          <w:szCs w:val="22"/>
        </w:rPr>
        <w:t xml:space="preserve"> como parte interesada </w:t>
      </w:r>
      <w:r w:rsidRPr="00197818">
        <w:rPr>
          <w:bCs/>
          <w:sz w:val="22"/>
          <w:szCs w:val="22"/>
        </w:rPr>
        <w:t xml:space="preserve">en el recurso </w:t>
      </w:r>
      <w:r w:rsidR="006C74E1">
        <w:rPr>
          <w:bCs/>
          <w:sz w:val="22"/>
          <w:szCs w:val="22"/>
        </w:rPr>
        <w:t xml:space="preserve">especial </w:t>
      </w:r>
      <w:r w:rsidRPr="00197818">
        <w:rPr>
          <w:bCs/>
          <w:sz w:val="22"/>
          <w:szCs w:val="22"/>
        </w:rPr>
        <w:t>en materia de contratación</w:t>
      </w:r>
      <w:r w:rsidR="006C74E1">
        <w:rPr>
          <w:bCs/>
          <w:sz w:val="22"/>
          <w:szCs w:val="22"/>
        </w:rPr>
        <w:t xml:space="preserve"> 7/2025, interpuesto por</w:t>
      </w:r>
      <w:r w:rsidR="006C74E1" w:rsidRPr="006C74E1">
        <w:t xml:space="preserve"> </w:t>
      </w:r>
      <w:r w:rsidR="006C74E1" w:rsidRPr="006C74E1">
        <w:rPr>
          <w:bCs/>
          <w:sz w:val="22"/>
          <w:szCs w:val="22"/>
        </w:rPr>
        <w:t>SOCIEDAD ESTATAL CORREOS Y TELEGRAFOS, SA, S.M.E., unipersonal, contra la adjudicación del Acuerdo Marco para la prestación de servicios postales a la DFA y resto de entidades adheridas al acuerdo marco</w:t>
      </w:r>
      <w:r w:rsidR="006C74E1">
        <w:rPr>
          <w:bCs/>
          <w:sz w:val="22"/>
          <w:szCs w:val="22"/>
        </w:rPr>
        <w:t xml:space="preserve"> </w:t>
      </w:r>
      <w:r w:rsidRPr="00197818">
        <w:rPr>
          <w:bCs/>
          <w:sz w:val="22"/>
          <w:szCs w:val="22"/>
        </w:rPr>
        <w:t xml:space="preserve">, por </w:t>
      </w:r>
      <w:r w:rsidR="006C74E1">
        <w:rPr>
          <w:bCs/>
          <w:sz w:val="22"/>
          <w:szCs w:val="22"/>
        </w:rPr>
        <w:t xml:space="preserve">ser pruebas </w:t>
      </w:r>
      <w:r w:rsidRPr="00197818">
        <w:rPr>
          <w:bCs/>
          <w:sz w:val="22"/>
          <w:szCs w:val="22"/>
        </w:rPr>
        <w:t>manifiestamente improcedente</w:t>
      </w:r>
      <w:r w:rsidR="006C74E1">
        <w:rPr>
          <w:bCs/>
          <w:sz w:val="22"/>
          <w:szCs w:val="22"/>
        </w:rPr>
        <w:t>s</w:t>
      </w:r>
      <w:r w:rsidRPr="00197818">
        <w:rPr>
          <w:bCs/>
          <w:sz w:val="22"/>
          <w:szCs w:val="22"/>
        </w:rPr>
        <w:t xml:space="preserve"> al no tener por objeto la acreditación de hechos relevantes para la resolución del recurso, sino la obtención de informes jurídicos sobre la interpretación del derecho.</w:t>
      </w:r>
    </w:p>
    <w:p w14:paraId="5FC1C9BB" w14:textId="41EABCA2" w:rsidR="006B58F3" w:rsidRDefault="006C74E1" w:rsidP="00197818">
      <w:pPr>
        <w:pStyle w:val="Estilo1"/>
        <w:tabs>
          <w:tab w:val="left" w:pos="567"/>
        </w:tabs>
        <w:rPr>
          <w:i/>
          <w:sz w:val="22"/>
          <w:szCs w:val="22"/>
        </w:rPr>
      </w:pPr>
      <w:r w:rsidRPr="00197818">
        <w:rPr>
          <w:b/>
          <w:sz w:val="22"/>
          <w:szCs w:val="22"/>
        </w:rPr>
        <w:t>Segundo. —</w:t>
      </w:r>
      <w:r w:rsidR="00197818" w:rsidRPr="00197818">
        <w:rPr>
          <w:b/>
          <w:sz w:val="22"/>
          <w:szCs w:val="22"/>
        </w:rPr>
        <w:t xml:space="preserve"> </w:t>
      </w:r>
      <w:r w:rsidR="00197818" w:rsidRPr="00197818">
        <w:rPr>
          <w:bCs/>
          <w:sz w:val="22"/>
          <w:szCs w:val="22"/>
        </w:rPr>
        <w:t xml:space="preserve">Notificar la presente resolución a las partes interesadas, advirtiendo que contra la misma no cabe recurso administrativo alguno, sin perjuicio de la posibilidad de aducir su denegación como fundamento del recurso </w:t>
      </w:r>
      <w:r w:rsidR="00197818">
        <w:rPr>
          <w:bCs/>
          <w:sz w:val="22"/>
          <w:szCs w:val="22"/>
        </w:rPr>
        <w:t>que proceda, en su caso,</w:t>
      </w:r>
      <w:r w:rsidR="006B58F3">
        <w:rPr>
          <w:sz w:val="22"/>
          <w:szCs w:val="22"/>
        </w:rPr>
        <w:t xml:space="preserve"> contra la resolución que se dicte en el procedimiento principal del recurso</w:t>
      </w:r>
      <w:r w:rsidR="00197818">
        <w:rPr>
          <w:sz w:val="22"/>
          <w:szCs w:val="22"/>
        </w:rPr>
        <w:t xml:space="preserve"> especial en materia de contratación.</w:t>
      </w:r>
    </w:p>
    <w:p w14:paraId="2864E2AD" w14:textId="77777777" w:rsidR="006B58F3" w:rsidRDefault="006B58F3" w:rsidP="006B58F3">
      <w:pPr>
        <w:spacing w:line="276" w:lineRule="auto"/>
        <w:jc w:val="both"/>
        <w:rPr>
          <w:sz w:val="22"/>
          <w:szCs w:val="22"/>
        </w:rPr>
      </w:pPr>
    </w:p>
    <w:bookmarkEnd w:id="0"/>
    <w:p w14:paraId="08E0CBFA" w14:textId="77777777" w:rsidR="00A01784" w:rsidRDefault="00A01784" w:rsidP="00A01784">
      <w:pPr>
        <w:jc w:val="both"/>
        <w:rPr>
          <w:sz w:val="22"/>
          <w:szCs w:val="22"/>
        </w:rPr>
      </w:pPr>
    </w:p>
    <w:p w14:paraId="513C8DAC" w14:textId="77777777" w:rsidR="00A01784" w:rsidRDefault="00A01784" w:rsidP="00A01784">
      <w:pPr>
        <w:jc w:val="both"/>
        <w:rPr>
          <w:sz w:val="22"/>
          <w:szCs w:val="22"/>
        </w:rPr>
      </w:pPr>
    </w:p>
    <w:p w14:paraId="63138BE5" w14:textId="77777777" w:rsidR="00A01784" w:rsidRDefault="00A01784" w:rsidP="00A01784">
      <w:pPr>
        <w:jc w:val="both"/>
        <w:rPr>
          <w:sz w:val="22"/>
          <w:szCs w:val="22"/>
        </w:rPr>
      </w:pPr>
    </w:p>
    <w:p w14:paraId="6958BD44" w14:textId="77777777" w:rsidR="00A01784" w:rsidRDefault="00A01784" w:rsidP="00A01784">
      <w:pPr>
        <w:jc w:val="both"/>
        <w:rPr>
          <w:sz w:val="22"/>
          <w:szCs w:val="22"/>
        </w:rPr>
      </w:pPr>
    </w:p>
    <w:p w14:paraId="472F0CC3" w14:textId="77777777" w:rsidR="003B7FC8" w:rsidRPr="00A01784" w:rsidRDefault="003B7FC8" w:rsidP="003B7FC8">
      <w:pPr>
        <w:rPr>
          <w:sz w:val="22"/>
          <w:szCs w:val="22"/>
        </w:rPr>
      </w:pPr>
    </w:p>
    <w:sectPr w:rsidR="003B7FC8" w:rsidRPr="00A01784">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EB81D" w14:textId="77777777" w:rsidR="005E5A55" w:rsidRDefault="005E5A55" w:rsidP="005E5A55">
      <w:r>
        <w:separator/>
      </w:r>
    </w:p>
  </w:endnote>
  <w:endnote w:type="continuationSeparator" w:id="0">
    <w:p w14:paraId="6F111F58" w14:textId="77777777" w:rsidR="005E5A55" w:rsidRDefault="005E5A55" w:rsidP="005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FE40" w14:textId="77777777" w:rsidR="005E5A55" w:rsidRDefault="005E5A5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F0562" w14:textId="77777777" w:rsidR="005E5A55" w:rsidRDefault="005E5A5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CC9A" w14:textId="77777777" w:rsidR="005E5A55" w:rsidRDefault="005E5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AE89" w14:textId="77777777" w:rsidR="005E5A55" w:rsidRDefault="005E5A55" w:rsidP="005E5A55">
      <w:r>
        <w:separator/>
      </w:r>
    </w:p>
  </w:footnote>
  <w:footnote w:type="continuationSeparator" w:id="0">
    <w:p w14:paraId="2587B2CF" w14:textId="77777777" w:rsidR="005E5A55" w:rsidRDefault="005E5A55" w:rsidP="005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A638F" w14:textId="77777777" w:rsidR="005E5A55" w:rsidRDefault="005E5A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1C37FB" w:rsidRPr="00814F6B" w14:paraId="59FC5CDC" w14:textId="77777777" w:rsidTr="003F7CBE">
      <w:tc>
        <w:tcPr>
          <w:tcW w:w="4890" w:type="dxa"/>
        </w:tcPr>
        <w:p w14:paraId="0C19174C" w14:textId="77777777" w:rsidR="001C37FB" w:rsidRPr="00814F6B" w:rsidRDefault="001C37FB" w:rsidP="001C37FB">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667D0A20" wp14:editId="65FA5EFD">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99F711D" w14:textId="77777777" w:rsidR="001C37FB" w:rsidRPr="00814F6B" w:rsidRDefault="001C37FB" w:rsidP="001C37FB">
          <w:pPr>
            <w:tabs>
              <w:tab w:val="center" w:pos="4819"/>
              <w:tab w:val="right" w:pos="9071"/>
            </w:tabs>
            <w:ind w:left="1064"/>
            <w:rPr>
              <w:rFonts w:ascii="Arial" w:hAnsi="Arial"/>
              <w:noProof/>
              <w:sz w:val="16"/>
              <w:lang w:val="es-ES_tradnl"/>
            </w:rPr>
          </w:pPr>
        </w:p>
      </w:tc>
      <w:tc>
        <w:tcPr>
          <w:tcW w:w="4961" w:type="dxa"/>
        </w:tcPr>
        <w:p w14:paraId="34C32959" w14:textId="77777777" w:rsidR="001C37FB" w:rsidRPr="00814F6B" w:rsidRDefault="001C37FB" w:rsidP="001C37FB">
          <w:pPr>
            <w:tabs>
              <w:tab w:val="center" w:pos="4819"/>
              <w:tab w:val="right" w:pos="9071"/>
            </w:tabs>
            <w:spacing w:after="40" w:line="240" w:lineRule="exact"/>
            <w:ind w:left="-68"/>
            <w:rPr>
              <w:rFonts w:ascii="Arial" w:hAnsi="Arial"/>
              <w:b/>
              <w:noProof/>
              <w:sz w:val="18"/>
              <w:lang w:val="es-ES_tradnl"/>
            </w:rPr>
          </w:pPr>
        </w:p>
        <w:p w14:paraId="3E15FD92" w14:textId="77777777" w:rsidR="001C37FB" w:rsidRPr="00814F6B" w:rsidRDefault="001C37FB" w:rsidP="001C37FB">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6CAD9364" w14:textId="77777777" w:rsidR="001C37FB" w:rsidRPr="00814F6B" w:rsidRDefault="001C37FB" w:rsidP="001C37FB">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18355BD" w14:textId="77777777" w:rsidR="001C37FB" w:rsidRDefault="001C37FB" w:rsidP="001C37FB">
    <w:pPr>
      <w:pStyle w:val="Encabezado"/>
      <w:rPr>
        <w:lang w:val="es-ES_tradnl"/>
      </w:rPr>
    </w:pPr>
  </w:p>
  <w:p w14:paraId="0811B1B8" w14:textId="77777777" w:rsidR="001C37FB" w:rsidRDefault="001C37FB" w:rsidP="001C37FB">
    <w:pPr>
      <w:pStyle w:val="Encabezado"/>
      <w:rPr>
        <w:lang w:val="es-ES_tradnl"/>
      </w:rPr>
    </w:pPr>
  </w:p>
  <w:p w14:paraId="679B635D" w14:textId="77777777" w:rsidR="001C37FB" w:rsidRPr="00D70071" w:rsidRDefault="001C37FB" w:rsidP="001C37FB">
    <w:pPr>
      <w:pStyle w:val="Encabezado"/>
      <w:rPr>
        <w:lang w:val="es-ES_trad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187C" w14:textId="77777777" w:rsidR="005E5A55" w:rsidRDefault="005E5A5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F3"/>
    <w:rsid w:val="000B5E2E"/>
    <w:rsid w:val="0015655B"/>
    <w:rsid w:val="001923B5"/>
    <w:rsid w:val="00197818"/>
    <w:rsid w:val="001C37FB"/>
    <w:rsid w:val="001C3979"/>
    <w:rsid w:val="00284327"/>
    <w:rsid w:val="002C68AE"/>
    <w:rsid w:val="00331B93"/>
    <w:rsid w:val="00373541"/>
    <w:rsid w:val="003819FF"/>
    <w:rsid w:val="003B7FC8"/>
    <w:rsid w:val="003F277E"/>
    <w:rsid w:val="0042316B"/>
    <w:rsid w:val="00463417"/>
    <w:rsid w:val="004F40A4"/>
    <w:rsid w:val="00545F67"/>
    <w:rsid w:val="00550EF2"/>
    <w:rsid w:val="005D283A"/>
    <w:rsid w:val="005E5A55"/>
    <w:rsid w:val="00616072"/>
    <w:rsid w:val="00635894"/>
    <w:rsid w:val="006657C4"/>
    <w:rsid w:val="006B58F3"/>
    <w:rsid w:val="006C74E1"/>
    <w:rsid w:val="009937BC"/>
    <w:rsid w:val="009C4D25"/>
    <w:rsid w:val="009E3DEC"/>
    <w:rsid w:val="009F4109"/>
    <w:rsid w:val="00A01784"/>
    <w:rsid w:val="00A171DB"/>
    <w:rsid w:val="00AE210A"/>
    <w:rsid w:val="00C44ACA"/>
    <w:rsid w:val="00C47FCE"/>
    <w:rsid w:val="00CA61B5"/>
    <w:rsid w:val="00CC39CD"/>
    <w:rsid w:val="00D05713"/>
    <w:rsid w:val="00DA11C3"/>
    <w:rsid w:val="00DD4325"/>
    <w:rsid w:val="00E175E0"/>
    <w:rsid w:val="00E47FE8"/>
    <w:rsid w:val="00E63822"/>
    <w:rsid w:val="00FC5B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5A98"/>
  <w15:chartTrackingRefBased/>
  <w15:docId w15:val="{60E4B13B-93A3-4B21-97E9-6AEAE608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F3"/>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B58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58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58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58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B58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B58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B58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B58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B58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58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8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8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8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8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8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8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8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8F3"/>
    <w:rPr>
      <w:rFonts w:eastAsiaTheme="majorEastAsia" w:cstheme="majorBidi"/>
      <w:color w:val="272727" w:themeColor="text1" w:themeTint="D8"/>
    </w:rPr>
  </w:style>
  <w:style w:type="paragraph" w:styleId="Ttulo">
    <w:name w:val="Title"/>
    <w:basedOn w:val="Normal"/>
    <w:next w:val="Normal"/>
    <w:link w:val="TtuloCar"/>
    <w:uiPriority w:val="10"/>
    <w:qFormat/>
    <w:rsid w:val="006B5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8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5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8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B58F3"/>
    <w:rPr>
      <w:i/>
      <w:iCs/>
      <w:color w:val="404040" w:themeColor="text1" w:themeTint="BF"/>
    </w:rPr>
  </w:style>
  <w:style w:type="paragraph" w:styleId="Prrafodelista">
    <w:name w:val="List Paragraph"/>
    <w:basedOn w:val="Normal"/>
    <w:uiPriority w:val="34"/>
    <w:qFormat/>
    <w:rsid w:val="006B58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B58F3"/>
    <w:rPr>
      <w:i/>
      <w:iCs/>
      <w:color w:val="0F4761" w:themeColor="accent1" w:themeShade="BF"/>
    </w:rPr>
  </w:style>
  <w:style w:type="paragraph" w:styleId="Citadestacada">
    <w:name w:val="Intense Quote"/>
    <w:basedOn w:val="Normal"/>
    <w:next w:val="Normal"/>
    <w:link w:val="CitadestacadaCar"/>
    <w:uiPriority w:val="30"/>
    <w:qFormat/>
    <w:rsid w:val="006B58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B58F3"/>
    <w:rPr>
      <w:i/>
      <w:iCs/>
      <w:color w:val="0F4761" w:themeColor="accent1" w:themeShade="BF"/>
    </w:rPr>
  </w:style>
  <w:style w:type="character" w:styleId="Referenciaintensa">
    <w:name w:val="Intense Reference"/>
    <w:basedOn w:val="Fuentedeprrafopredeter"/>
    <w:uiPriority w:val="32"/>
    <w:qFormat/>
    <w:rsid w:val="006B58F3"/>
    <w:rPr>
      <w:b/>
      <w:bCs/>
      <w:smallCaps/>
      <w:color w:val="0F4761" w:themeColor="accent1" w:themeShade="BF"/>
      <w:spacing w:val="5"/>
    </w:rPr>
  </w:style>
  <w:style w:type="paragraph" w:styleId="Piedepgina">
    <w:name w:val="footer"/>
    <w:basedOn w:val="Normal"/>
    <w:link w:val="PiedepginaCar"/>
    <w:uiPriority w:val="99"/>
    <w:unhideWhenUsed/>
    <w:rsid w:val="006B58F3"/>
    <w:pPr>
      <w:tabs>
        <w:tab w:val="center" w:pos="4252"/>
        <w:tab w:val="right" w:pos="8504"/>
      </w:tabs>
    </w:pPr>
  </w:style>
  <w:style w:type="character" w:customStyle="1" w:styleId="PiedepginaCar">
    <w:name w:val="Pie de página Car"/>
    <w:basedOn w:val="Fuentedeprrafopredeter"/>
    <w:link w:val="Piedepgina"/>
    <w:uiPriority w:val="99"/>
    <w:rsid w:val="006B58F3"/>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B58F3"/>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B58F3"/>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B58F3"/>
    <w:pPr>
      <w:jc w:val="both"/>
    </w:pPr>
    <w:rPr>
      <w:i/>
      <w:sz w:val="24"/>
    </w:rPr>
  </w:style>
  <w:style w:type="character" w:customStyle="1" w:styleId="Textoindependiente2Car">
    <w:name w:val="Texto independiente 2 Car"/>
    <w:basedOn w:val="Fuentedeprrafopredeter"/>
    <w:link w:val="Textoindependiente2"/>
    <w:rsid w:val="006B58F3"/>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B58F3"/>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5E5A55"/>
    <w:pPr>
      <w:tabs>
        <w:tab w:val="center" w:pos="4252"/>
        <w:tab w:val="right" w:pos="8504"/>
      </w:tabs>
    </w:pPr>
  </w:style>
  <w:style w:type="character" w:customStyle="1" w:styleId="EncabezadoCar">
    <w:name w:val="Encabezado Car"/>
    <w:basedOn w:val="Fuentedeprrafopredeter"/>
    <w:link w:val="Encabezado"/>
    <w:uiPriority w:val="99"/>
    <w:rsid w:val="005E5A55"/>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54745">
      <w:bodyDiv w:val="1"/>
      <w:marLeft w:val="0"/>
      <w:marRight w:val="0"/>
      <w:marTop w:val="0"/>
      <w:marBottom w:val="0"/>
      <w:divBdr>
        <w:top w:val="none" w:sz="0" w:space="0" w:color="auto"/>
        <w:left w:val="none" w:sz="0" w:space="0" w:color="auto"/>
        <w:bottom w:val="none" w:sz="0" w:space="0" w:color="auto"/>
        <w:right w:val="none" w:sz="0" w:space="0" w:color="auto"/>
      </w:divBdr>
      <w:divsChild>
        <w:div w:id="937832879">
          <w:marLeft w:val="0"/>
          <w:marRight w:val="0"/>
          <w:marTop w:val="0"/>
          <w:marBottom w:val="0"/>
          <w:divBdr>
            <w:top w:val="none" w:sz="0" w:space="0" w:color="auto"/>
            <w:left w:val="none" w:sz="0" w:space="0" w:color="auto"/>
            <w:bottom w:val="none" w:sz="0" w:space="0" w:color="auto"/>
            <w:right w:val="none" w:sz="0" w:space="0" w:color="auto"/>
          </w:divBdr>
          <w:divsChild>
            <w:div w:id="1913346289">
              <w:marLeft w:val="0"/>
              <w:marRight w:val="0"/>
              <w:marTop w:val="0"/>
              <w:marBottom w:val="0"/>
              <w:divBdr>
                <w:top w:val="none" w:sz="0" w:space="0" w:color="auto"/>
                <w:left w:val="none" w:sz="0" w:space="0" w:color="auto"/>
                <w:bottom w:val="none" w:sz="0" w:space="0" w:color="auto"/>
                <w:right w:val="none" w:sz="0" w:space="0" w:color="auto"/>
              </w:divBdr>
              <w:divsChild>
                <w:div w:id="1882470403">
                  <w:marLeft w:val="0"/>
                  <w:marRight w:val="0"/>
                  <w:marTop w:val="0"/>
                  <w:marBottom w:val="0"/>
                  <w:divBdr>
                    <w:top w:val="none" w:sz="0" w:space="0" w:color="auto"/>
                    <w:left w:val="none" w:sz="0" w:space="0" w:color="auto"/>
                    <w:bottom w:val="none" w:sz="0" w:space="0" w:color="auto"/>
                    <w:right w:val="none" w:sz="0" w:space="0" w:color="auto"/>
                  </w:divBdr>
                  <w:divsChild>
                    <w:div w:id="106969150">
                      <w:marLeft w:val="0"/>
                      <w:marRight w:val="0"/>
                      <w:marTop w:val="0"/>
                      <w:marBottom w:val="0"/>
                      <w:divBdr>
                        <w:top w:val="none" w:sz="0" w:space="0" w:color="auto"/>
                        <w:left w:val="none" w:sz="0" w:space="0" w:color="auto"/>
                        <w:bottom w:val="none" w:sz="0" w:space="0" w:color="auto"/>
                        <w:right w:val="none" w:sz="0" w:space="0" w:color="auto"/>
                      </w:divBdr>
                      <w:divsChild>
                        <w:div w:id="1675107145">
                          <w:marLeft w:val="0"/>
                          <w:marRight w:val="0"/>
                          <w:marTop w:val="0"/>
                          <w:marBottom w:val="0"/>
                          <w:divBdr>
                            <w:top w:val="none" w:sz="0" w:space="0" w:color="auto"/>
                            <w:left w:val="none" w:sz="0" w:space="0" w:color="auto"/>
                            <w:bottom w:val="none" w:sz="0" w:space="0" w:color="auto"/>
                            <w:right w:val="none" w:sz="0" w:space="0" w:color="auto"/>
                          </w:divBdr>
                          <w:divsChild>
                            <w:div w:id="1466969160">
                              <w:marLeft w:val="0"/>
                              <w:marRight w:val="0"/>
                              <w:marTop w:val="0"/>
                              <w:marBottom w:val="0"/>
                              <w:divBdr>
                                <w:top w:val="none" w:sz="0" w:space="0" w:color="auto"/>
                                <w:left w:val="none" w:sz="0" w:space="0" w:color="auto"/>
                                <w:bottom w:val="none" w:sz="0" w:space="0" w:color="auto"/>
                                <w:right w:val="none" w:sz="0" w:space="0" w:color="auto"/>
                              </w:divBdr>
                              <w:divsChild>
                                <w:div w:id="176642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9083">
                          <w:marLeft w:val="0"/>
                          <w:marRight w:val="0"/>
                          <w:marTop w:val="0"/>
                          <w:marBottom w:val="0"/>
                          <w:divBdr>
                            <w:top w:val="none" w:sz="0" w:space="0" w:color="auto"/>
                            <w:left w:val="none" w:sz="0" w:space="0" w:color="auto"/>
                            <w:bottom w:val="none" w:sz="0" w:space="0" w:color="auto"/>
                            <w:right w:val="none" w:sz="0" w:space="0" w:color="auto"/>
                          </w:divBdr>
                        </w:div>
                      </w:divsChild>
                    </w:div>
                    <w:div w:id="820972444">
                      <w:marLeft w:val="0"/>
                      <w:marRight w:val="0"/>
                      <w:marTop w:val="0"/>
                      <w:marBottom w:val="0"/>
                      <w:divBdr>
                        <w:top w:val="none" w:sz="0" w:space="0" w:color="auto"/>
                        <w:left w:val="none" w:sz="0" w:space="0" w:color="auto"/>
                        <w:bottom w:val="none" w:sz="0" w:space="0" w:color="auto"/>
                        <w:right w:val="none" w:sz="0" w:space="0" w:color="auto"/>
                      </w:divBdr>
                      <w:divsChild>
                        <w:div w:id="2033846943">
                          <w:marLeft w:val="0"/>
                          <w:marRight w:val="0"/>
                          <w:marTop w:val="0"/>
                          <w:marBottom w:val="0"/>
                          <w:divBdr>
                            <w:top w:val="none" w:sz="0" w:space="0" w:color="auto"/>
                            <w:left w:val="none" w:sz="0" w:space="0" w:color="auto"/>
                            <w:bottom w:val="none" w:sz="0" w:space="0" w:color="auto"/>
                            <w:right w:val="none" w:sz="0" w:space="0" w:color="auto"/>
                          </w:divBdr>
                          <w:divsChild>
                            <w:div w:id="582689003">
                              <w:marLeft w:val="0"/>
                              <w:marRight w:val="0"/>
                              <w:marTop w:val="0"/>
                              <w:marBottom w:val="0"/>
                              <w:divBdr>
                                <w:top w:val="none" w:sz="0" w:space="0" w:color="auto"/>
                                <w:left w:val="none" w:sz="0" w:space="0" w:color="auto"/>
                                <w:bottom w:val="none" w:sz="0" w:space="0" w:color="auto"/>
                                <w:right w:val="none" w:sz="0" w:space="0" w:color="auto"/>
                              </w:divBdr>
                              <w:divsChild>
                                <w:div w:id="122206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228522">
      <w:bodyDiv w:val="1"/>
      <w:marLeft w:val="0"/>
      <w:marRight w:val="0"/>
      <w:marTop w:val="0"/>
      <w:marBottom w:val="0"/>
      <w:divBdr>
        <w:top w:val="none" w:sz="0" w:space="0" w:color="auto"/>
        <w:left w:val="none" w:sz="0" w:space="0" w:color="auto"/>
        <w:bottom w:val="none" w:sz="0" w:space="0" w:color="auto"/>
        <w:right w:val="none" w:sz="0" w:space="0" w:color="auto"/>
      </w:divBdr>
      <w:divsChild>
        <w:div w:id="1966234906">
          <w:marLeft w:val="0"/>
          <w:marRight w:val="0"/>
          <w:marTop w:val="0"/>
          <w:marBottom w:val="0"/>
          <w:divBdr>
            <w:top w:val="none" w:sz="0" w:space="0" w:color="auto"/>
            <w:left w:val="none" w:sz="0" w:space="0" w:color="auto"/>
            <w:bottom w:val="none" w:sz="0" w:space="0" w:color="auto"/>
            <w:right w:val="none" w:sz="0" w:space="0" w:color="auto"/>
          </w:divBdr>
          <w:divsChild>
            <w:div w:id="1904173509">
              <w:marLeft w:val="0"/>
              <w:marRight w:val="0"/>
              <w:marTop w:val="0"/>
              <w:marBottom w:val="0"/>
              <w:divBdr>
                <w:top w:val="none" w:sz="0" w:space="0" w:color="auto"/>
                <w:left w:val="none" w:sz="0" w:space="0" w:color="auto"/>
                <w:bottom w:val="none" w:sz="0" w:space="0" w:color="auto"/>
                <w:right w:val="none" w:sz="0" w:space="0" w:color="auto"/>
              </w:divBdr>
              <w:divsChild>
                <w:div w:id="77750308">
                  <w:marLeft w:val="0"/>
                  <w:marRight w:val="0"/>
                  <w:marTop w:val="0"/>
                  <w:marBottom w:val="0"/>
                  <w:divBdr>
                    <w:top w:val="none" w:sz="0" w:space="0" w:color="auto"/>
                    <w:left w:val="none" w:sz="0" w:space="0" w:color="auto"/>
                    <w:bottom w:val="none" w:sz="0" w:space="0" w:color="auto"/>
                    <w:right w:val="none" w:sz="0" w:space="0" w:color="auto"/>
                  </w:divBdr>
                  <w:divsChild>
                    <w:div w:id="202669502">
                      <w:marLeft w:val="0"/>
                      <w:marRight w:val="0"/>
                      <w:marTop w:val="0"/>
                      <w:marBottom w:val="0"/>
                      <w:divBdr>
                        <w:top w:val="none" w:sz="0" w:space="0" w:color="auto"/>
                        <w:left w:val="none" w:sz="0" w:space="0" w:color="auto"/>
                        <w:bottom w:val="none" w:sz="0" w:space="0" w:color="auto"/>
                        <w:right w:val="none" w:sz="0" w:space="0" w:color="auto"/>
                      </w:divBdr>
                      <w:divsChild>
                        <w:div w:id="1433355519">
                          <w:marLeft w:val="0"/>
                          <w:marRight w:val="0"/>
                          <w:marTop w:val="0"/>
                          <w:marBottom w:val="0"/>
                          <w:divBdr>
                            <w:top w:val="none" w:sz="0" w:space="0" w:color="auto"/>
                            <w:left w:val="none" w:sz="0" w:space="0" w:color="auto"/>
                            <w:bottom w:val="none" w:sz="0" w:space="0" w:color="auto"/>
                            <w:right w:val="none" w:sz="0" w:space="0" w:color="auto"/>
                          </w:divBdr>
                          <w:divsChild>
                            <w:div w:id="1887183269">
                              <w:marLeft w:val="0"/>
                              <w:marRight w:val="0"/>
                              <w:marTop w:val="0"/>
                              <w:marBottom w:val="0"/>
                              <w:divBdr>
                                <w:top w:val="none" w:sz="0" w:space="0" w:color="auto"/>
                                <w:left w:val="none" w:sz="0" w:space="0" w:color="auto"/>
                                <w:bottom w:val="none" w:sz="0" w:space="0" w:color="auto"/>
                                <w:right w:val="none" w:sz="0" w:space="0" w:color="auto"/>
                              </w:divBdr>
                              <w:divsChild>
                                <w:div w:id="2753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0574">
                          <w:marLeft w:val="0"/>
                          <w:marRight w:val="0"/>
                          <w:marTop w:val="0"/>
                          <w:marBottom w:val="0"/>
                          <w:divBdr>
                            <w:top w:val="none" w:sz="0" w:space="0" w:color="auto"/>
                            <w:left w:val="none" w:sz="0" w:space="0" w:color="auto"/>
                            <w:bottom w:val="none" w:sz="0" w:space="0" w:color="auto"/>
                            <w:right w:val="none" w:sz="0" w:space="0" w:color="auto"/>
                          </w:divBdr>
                        </w:div>
                      </w:divsChild>
                    </w:div>
                    <w:div w:id="57016483">
                      <w:marLeft w:val="0"/>
                      <w:marRight w:val="0"/>
                      <w:marTop w:val="0"/>
                      <w:marBottom w:val="0"/>
                      <w:divBdr>
                        <w:top w:val="none" w:sz="0" w:space="0" w:color="auto"/>
                        <w:left w:val="none" w:sz="0" w:space="0" w:color="auto"/>
                        <w:bottom w:val="none" w:sz="0" w:space="0" w:color="auto"/>
                        <w:right w:val="none" w:sz="0" w:space="0" w:color="auto"/>
                      </w:divBdr>
                      <w:divsChild>
                        <w:div w:id="857161445">
                          <w:marLeft w:val="0"/>
                          <w:marRight w:val="0"/>
                          <w:marTop w:val="0"/>
                          <w:marBottom w:val="0"/>
                          <w:divBdr>
                            <w:top w:val="none" w:sz="0" w:space="0" w:color="auto"/>
                            <w:left w:val="none" w:sz="0" w:space="0" w:color="auto"/>
                            <w:bottom w:val="none" w:sz="0" w:space="0" w:color="auto"/>
                            <w:right w:val="none" w:sz="0" w:space="0" w:color="auto"/>
                          </w:divBdr>
                          <w:divsChild>
                            <w:div w:id="119609987">
                              <w:marLeft w:val="0"/>
                              <w:marRight w:val="0"/>
                              <w:marTop w:val="0"/>
                              <w:marBottom w:val="0"/>
                              <w:divBdr>
                                <w:top w:val="none" w:sz="0" w:space="0" w:color="auto"/>
                                <w:left w:val="none" w:sz="0" w:space="0" w:color="auto"/>
                                <w:bottom w:val="none" w:sz="0" w:space="0" w:color="auto"/>
                                <w:right w:val="none" w:sz="0" w:space="0" w:color="auto"/>
                              </w:divBdr>
                              <w:divsChild>
                                <w:div w:id="287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7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1197</Words>
  <Characters>6599</Characters>
  <Application>Microsoft Office Word</Application>
  <DocSecurity>0</DocSecurity>
  <Lines>121</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2025-06-30T10:43:00Z</cp:lastPrinted>
  <dcterms:created xsi:type="dcterms:W3CDTF">2025-06-30T10:42:00Z</dcterms:created>
  <dcterms:modified xsi:type="dcterms:W3CDTF">2025-06-30T10:43:00Z</dcterms:modified>
</cp:coreProperties>
</file>