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5" w:type="dxa"/>
        <w:tblLayout w:type="fixed"/>
        <w:tblCellMar>
          <w:left w:w="0" w:type="dxa"/>
          <w:right w:w="0" w:type="dxa"/>
        </w:tblCellMar>
        <w:tblLook w:val="04A0" w:firstRow="1" w:lastRow="0" w:firstColumn="1" w:lastColumn="0" w:noHBand="0" w:noVBand="1"/>
      </w:tblPr>
      <w:tblGrid>
        <w:gridCol w:w="4376"/>
        <w:gridCol w:w="21"/>
        <w:gridCol w:w="4678"/>
      </w:tblGrid>
      <w:tr w:rsidR="00CD5A90" w14:paraId="7630A49E" w14:textId="77777777" w:rsidTr="00CD5A90">
        <w:trPr>
          <w:trHeight w:val="2093"/>
        </w:trPr>
        <w:tc>
          <w:tcPr>
            <w:tcW w:w="4376" w:type="dxa"/>
            <w:hideMark/>
          </w:tcPr>
          <w:p w14:paraId="7996BF5F" w14:textId="487C4FDE" w:rsidR="00CD5A90" w:rsidRPr="001923B5" w:rsidRDefault="00CD5A90" w:rsidP="00720949">
            <w:pPr>
              <w:pStyle w:val="Ttulo1"/>
              <w:spacing w:before="120" w:after="120"/>
              <w:jc w:val="both"/>
              <w:rPr>
                <w:rFonts w:ascii="Times New Roman" w:hAnsi="Times New Roman"/>
                <w:b/>
                <w:color w:val="auto"/>
                <w:sz w:val="22"/>
              </w:rPr>
            </w:pPr>
            <w:proofErr w:type="spellStart"/>
            <w:r w:rsidRPr="001923B5">
              <w:rPr>
                <w:rFonts w:ascii="Times New Roman" w:hAnsi="Times New Roman"/>
                <w:color w:val="auto"/>
                <w:sz w:val="22"/>
              </w:rPr>
              <w:t>Erref</w:t>
            </w:r>
            <w:proofErr w:type="spellEnd"/>
            <w:r w:rsidRPr="001923B5">
              <w:rPr>
                <w:rFonts w:ascii="Times New Roman" w:hAnsi="Times New Roman"/>
                <w:color w:val="auto"/>
                <w:sz w:val="22"/>
              </w:rPr>
              <w:t xml:space="preserve"> / </w:t>
            </w:r>
            <w:proofErr w:type="spellStart"/>
            <w:r w:rsidRPr="001923B5">
              <w:rPr>
                <w:rFonts w:ascii="Times New Roman" w:hAnsi="Times New Roman"/>
                <w:color w:val="auto"/>
                <w:sz w:val="22"/>
              </w:rPr>
              <w:t>Ref</w:t>
            </w:r>
            <w:proofErr w:type="spellEnd"/>
            <w:r w:rsidRPr="001923B5">
              <w:rPr>
                <w:rFonts w:ascii="Times New Roman" w:hAnsi="Times New Roman"/>
                <w:color w:val="auto"/>
                <w:sz w:val="22"/>
              </w:rPr>
              <w:t>: Recurso Especial de CONGELADOS BEDARONA, S.L.U., contra la adjudicación del Acuerdo Marco para el suministro de congelados (lotes 1, 2 y 4) a residencias y centros del IFBS e INDESA 20210, S.L.</w:t>
            </w:r>
            <w:r w:rsidR="001976C8">
              <w:rPr>
                <w:rFonts w:ascii="Times New Roman" w:hAnsi="Times New Roman"/>
                <w:color w:val="auto"/>
                <w:sz w:val="22"/>
              </w:rPr>
              <w:t xml:space="preserve"> (</w:t>
            </w:r>
            <w:proofErr w:type="spellStart"/>
            <w:r w:rsidR="001976C8">
              <w:rPr>
                <w:rFonts w:ascii="Times New Roman" w:hAnsi="Times New Roman"/>
                <w:color w:val="auto"/>
                <w:sz w:val="22"/>
              </w:rPr>
              <w:t>expte</w:t>
            </w:r>
            <w:proofErr w:type="spellEnd"/>
            <w:r w:rsidR="001976C8">
              <w:rPr>
                <w:rFonts w:ascii="Times New Roman" w:hAnsi="Times New Roman"/>
                <w:color w:val="auto"/>
                <w:sz w:val="22"/>
              </w:rPr>
              <w:t>. 27/24)</w:t>
            </w:r>
          </w:p>
          <w:p w14:paraId="27389168" w14:textId="77777777" w:rsidR="00CD5A90" w:rsidRDefault="00CD5A90" w:rsidP="00720949">
            <w:pPr>
              <w:pStyle w:val="Ttulo1"/>
              <w:spacing w:before="120" w:after="120" w:line="276" w:lineRule="auto"/>
              <w:rPr>
                <w:rFonts w:ascii="Times New Roman" w:hAnsi="Times New Roman"/>
                <w:b/>
                <w:sz w:val="22"/>
              </w:rPr>
            </w:pPr>
            <w:proofErr w:type="spellStart"/>
            <w:r w:rsidRPr="001923B5">
              <w:rPr>
                <w:rFonts w:ascii="Times New Roman" w:hAnsi="Times New Roman"/>
                <w:color w:val="auto"/>
                <w:sz w:val="22"/>
              </w:rPr>
              <w:t>Esp</w:t>
            </w:r>
            <w:proofErr w:type="spellEnd"/>
            <w:r w:rsidRPr="001923B5">
              <w:rPr>
                <w:rFonts w:ascii="Times New Roman" w:hAnsi="Times New Roman"/>
                <w:color w:val="auto"/>
                <w:sz w:val="22"/>
              </w:rPr>
              <w:t xml:space="preserve"> </w:t>
            </w:r>
            <w:proofErr w:type="spellStart"/>
            <w:r w:rsidRPr="001923B5">
              <w:rPr>
                <w:rFonts w:ascii="Times New Roman" w:hAnsi="Times New Roman"/>
                <w:color w:val="auto"/>
                <w:sz w:val="22"/>
              </w:rPr>
              <w:t>Zenb</w:t>
            </w:r>
            <w:proofErr w:type="spellEnd"/>
            <w:r w:rsidRPr="001923B5">
              <w:rPr>
                <w:rFonts w:ascii="Times New Roman" w:hAnsi="Times New Roman"/>
                <w:color w:val="auto"/>
                <w:sz w:val="22"/>
              </w:rPr>
              <w:t xml:space="preserve"> / </w:t>
            </w:r>
            <w:proofErr w:type="spellStart"/>
            <w:r w:rsidRPr="001923B5">
              <w:rPr>
                <w:rFonts w:ascii="Times New Roman" w:hAnsi="Times New Roman"/>
                <w:color w:val="auto"/>
                <w:sz w:val="22"/>
              </w:rPr>
              <w:t>Nº</w:t>
            </w:r>
            <w:proofErr w:type="spellEnd"/>
            <w:r w:rsidRPr="001923B5">
              <w:rPr>
                <w:rFonts w:ascii="Times New Roman" w:hAnsi="Times New Roman"/>
                <w:color w:val="auto"/>
                <w:sz w:val="22"/>
              </w:rPr>
              <w:t xml:space="preserve"> </w:t>
            </w:r>
            <w:proofErr w:type="spellStart"/>
            <w:r w:rsidRPr="001923B5">
              <w:rPr>
                <w:rFonts w:ascii="Times New Roman" w:hAnsi="Times New Roman"/>
                <w:color w:val="auto"/>
                <w:sz w:val="22"/>
              </w:rPr>
              <w:t>exp</w:t>
            </w:r>
            <w:proofErr w:type="spellEnd"/>
            <w:r w:rsidRPr="00E175E0">
              <w:rPr>
                <w:rFonts w:ascii="Times New Roman" w:hAnsi="Times New Roman"/>
                <w:color w:val="000000" w:themeColor="text1"/>
                <w:sz w:val="22"/>
              </w:rPr>
              <w:t>: 2025/2</w:t>
            </w:r>
          </w:p>
        </w:tc>
        <w:tc>
          <w:tcPr>
            <w:tcW w:w="21" w:type="dxa"/>
            <w:hideMark/>
          </w:tcPr>
          <w:p w14:paraId="402EF9DB" w14:textId="77777777" w:rsidR="00CD5A90" w:rsidRDefault="00CD5A90" w:rsidP="00720949">
            <w:pPr>
              <w:spacing w:before="120" w:after="120" w:line="276" w:lineRule="auto"/>
              <w:rPr>
                <w:lang w:eastAsia="en-US"/>
              </w:rPr>
            </w:pPr>
            <w:r>
              <w:rPr>
                <w:lang w:val="es-ES_tradnl" w:eastAsia="en-US"/>
              </w:rPr>
              <w:t xml:space="preserve"> </w:t>
            </w:r>
          </w:p>
        </w:tc>
        <w:tc>
          <w:tcPr>
            <w:tcW w:w="4678" w:type="dxa"/>
          </w:tcPr>
          <w:p w14:paraId="65340D70" w14:textId="77777777" w:rsidR="00CD5A90" w:rsidRDefault="00CD5A90" w:rsidP="00720949">
            <w:pPr>
              <w:pStyle w:val="Piedepgina"/>
              <w:tabs>
                <w:tab w:val="clear" w:pos="4252"/>
                <w:tab w:val="right" w:pos="4677"/>
              </w:tabs>
              <w:spacing w:before="120" w:after="120" w:line="276" w:lineRule="auto"/>
              <w:rPr>
                <w:b/>
                <w:lang w:eastAsia="en-US"/>
              </w:rPr>
            </w:pPr>
          </w:p>
          <w:p w14:paraId="18F47B73" w14:textId="77777777" w:rsidR="00CD5A90" w:rsidRDefault="00CD5A90" w:rsidP="00720949">
            <w:pPr>
              <w:spacing w:line="276" w:lineRule="auto"/>
              <w:jc w:val="center"/>
              <w:rPr>
                <w:b/>
                <w:lang w:eastAsia="en-US"/>
              </w:rPr>
            </w:pPr>
          </w:p>
        </w:tc>
      </w:tr>
    </w:tbl>
    <w:p w14:paraId="2BBA35E1" w14:textId="77777777" w:rsidR="00CD5A90" w:rsidRDefault="00CD5A90" w:rsidP="008951E5">
      <w:pPr>
        <w:tabs>
          <w:tab w:val="left" w:pos="3261"/>
        </w:tabs>
        <w:spacing w:after="480"/>
        <w:jc w:val="center"/>
        <w:rPr>
          <w:b/>
          <w:sz w:val="22"/>
          <w:szCs w:val="22"/>
          <w:u w:val="single"/>
        </w:rPr>
      </w:pPr>
    </w:p>
    <w:p w14:paraId="535666C8" w14:textId="1F416B33" w:rsidR="008951E5" w:rsidRPr="00E01514" w:rsidRDefault="008951E5" w:rsidP="008951E5">
      <w:pPr>
        <w:tabs>
          <w:tab w:val="left" w:pos="3261"/>
        </w:tabs>
        <w:spacing w:after="480"/>
        <w:jc w:val="center"/>
        <w:rPr>
          <w:b/>
          <w:sz w:val="24"/>
          <w:szCs w:val="24"/>
          <w:u w:val="single"/>
        </w:rPr>
      </w:pPr>
      <w:r w:rsidRPr="00E01514">
        <w:rPr>
          <w:b/>
          <w:sz w:val="24"/>
          <w:szCs w:val="24"/>
          <w:u w:val="single"/>
        </w:rPr>
        <w:t xml:space="preserve">RESOLUCION </w:t>
      </w:r>
      <w:r w:rsidR="00B11F99" w:rsidRPr="00E01514">
        <w:rPr>
          <w:b/>
          <w:sz w:val="24"/>
          <w:szCs w:val="24"/>
          <w:u w:val="single"/>
        </w:rPr>
        <w:t>7</w:t>
      </w:r>
      <w:r w:rsidRPr="00E01514">
        <w:rPr>
          <w:b/>
          <w:sz w:val="24"/>
          <w:szCs w:val="24"/>
          <w:u w:val="single"/>
        </w:rPr>
        <w:t>/20</w:t>
      </w:r>
      <w:r w:rsidR="00B11F99" w:rsidRPr="00E01514">
        <w:rPr>
          <w:b/>
          <w:sz w:val="24"/>
          <w:szCs w:val="24"/>
          <w:u w:val="single"/>
        </w:rPr>
        <w:t>25</w:t>
      </w:r>
    </w:p>
    <w:p w14:paraId="34B1F6C0" w14:textId="784CDC84" w:rsidR="008951E5" w:rsidRPr="00833963" w:rsidRDefault="008951E5" w:rsidP="008951E5">
      <w:pPr>
        <w:tabs>
          <w:tab w:val="left" w:pos="3261"/>
        </w:tabs>
        <w:spacing w:after="480"/>
        <w:jc w:val="both"/>
        <w:rPr>
          <w:sz w:val="22"/>
          <w:szCs w:val="22"/>
        </w:rPr>
      </w:pPr>
      <w:r w:rsidRPr="00833963">
        <w:rPr>
          <w:sz w:val="22"/>
          <w:szCs w:val="22"/>
        </w:rPr>
        <w:t xml:space="preserve">En Vitoria-Gasteiz, a </w:t>
      </w:r>
      <w:r>
        <w:rPr>
          <w:sz w:val="22"/>
          <w:szCs w:val="22"/>
        </w:rPr>
        <w:t>1</w:t>
      </w:r>
      <w:r w:rsidR="009E2EDF">
        <w:rPr>
          <w:sz w:val="22"/>
          <w:szCs w:val="22"/>
        </w:rPr>
        <w:t>7</w:t>
      </w:r>
      <w:r w:rsidRPr="00833963">
        <w:rPr>
          <w:sz w:val="22"/>
          <w:szCs w:val="22"/>
        </w:rPr>
        <w:t xml:space="preserve"> de </w:t>
      </w:r>
      <w:r w:rsidR="00B11F99">
        <w:rPr>
          <w:sz w:val="22"/>
          <w:szCs w:val="22"/>
        </w:rPr>
        <w:t>marzo</w:t>
      </w:r>
      <w:r w:rsidRPr="00833963">
        <w:rPr>
          <w:sz w:val="22"/>
          <w:szCs w:val="22"/>
        </w:rPr>
        <w:t xml:space="preserve"> de 20</w:t>
      </w:r>
      <w:r w:rsidR="00B11F99">
        <w:rPr>
          <w:sz w:val="22"/>
          <w:szCs w:val="22"/>
        </w:rPr>
        <w:t>25</w:t>
      </w:r>
      <w:r w:rsidRPr="00833963">
        <w:rPr>
          <w:sz w:val="22"/>
          <w:szCs w:val="22"/>
        </w:rPr>
        <w:t>.</w:t>
      </w:r>
    </w:p>
    <w:p w14:paraId="238CAD84" w14:textId="31E79E76" w:rsidR="000755DF" w:rsidRPr="000755DF" w:rsidRDefault="000755DF" w:rsidP="000755DF">
      <w:pPr>
        <w:spacing w:before="120" w:after="120"/>
        <w:jc w:val="both"/>
        <w:rPr>
          <w:sz w:val="22"/>
          <w:szCs w:val="22"/>
        </w:rPr>
      </w:pPr>
      <w:r w:rsidRPr="000755DF">
        <w:rPr>
          <w:sz w:val="22"/>
          <w:szCs w:val="22"/>
        </w:rPr>
        <w:t>El Órgano Administrativo Foral de Recursos Contractuales de la Diputación Foral de Álava ha dictado la siguiente RESOLUCIÓN en relación con el Recurso Especial en materia de contratación interpuesto por CONGELADOS BEDARONA, S.L.U.</w:t>
      </w:r>
      <w:r w:rsidRPr="000755DF">
        <w:rPr>
          <w:bCs/>
          <w:sz w:val="22"/>
          <w:szCs w:val="22"/>
        </w:rPr>
        <w:t xml:space="preserve">, </w:t>
      </w:r>
      <w:r w:rsidRPr="000755DF">
        <w:rPr>
          <w:sz w:val="22"/>
          <w:szCs w:val="22"/>
        </w:rPr>
        <w:t xml:space="preserve">contra el Acuerdo del Consejo de Administración del Instituto Foral de Bienestar Social de Álava de adjudicación del contrato de acuerdo marco para el suministro de productos congelados de alimentación (lote 1, lote 2 y lote 4) a las residencias y centros dependientes del Instituto Foral de Bienestar Social e INDESA, 2010, S.L. </w:t>
      </w:r>
    </w:p>
    <w:p w14:paraId="66E97372" w14:textId="3C9FB355" w:rsidR="000755DF" w:rsidRPr="000755DF" w:rsidRDefault="000755DF" w:rsidP="000755DF">
      <w:pPr>
        <w:spacing w:before="120" w:after="120"/>
        <w:jc w:val="both"/>
        <w:rPr>
          <w:sz w:val="22"/>
          <w:szCs w:val="22"/>
        </w:rPr>
      </w:pPr>
      <w:r w:rsidRPr="000755DF">
        <w:rPr>
          <w:sz w:val="22"/>
          <w:szCs w:val="22"/>
        </w:rPr>
        <w:t>Son partes en dicho recurso: como RECURRENTE, CONGELADOS BEDARONA, S.L.U</w:t>
      </w:r>
      <w:r w:rsidR="007F5C06">
        <w:rPr>
          <w:sz w:val="22"/>
          <w:szCs w:val="22"/>
        </w:rPr>
        <w:t>.</w:t>
      </w:r>
      <w:r w:rsidRPr="000755DF">
        <w:rPr>
          <w:sz w:val="22"/>
          <w:szCs w:val="22"/>
        </w:rPr>
        <w:t xml:space="preserve"> y, como DEMANDADA EL INSTITUTO FORAL DE BIENESTAR SOCIAL DE ÁLAVA</w:t>
      </w:r>
      <w:r w:rsidR="0035294D">
        <w:rPr>
          <w:sz w:val="22"/>
          <w:szCs w:val="22"/>
        </w:rPr>
        <w:t xml:space="preserve"> (IFBS)</w:t>
      </w:r>
      <w:r w:rsidRPr="000755DF">
        <w:rPr>
          <w:sz w:val="22"/>
          <w:szCs w:val="22"/>
        </w:rPr>
        <w:t>.</w:t>
      </w:r>
      <w:r w:rsidR="001976C8">
        <w:rPr>
          <w:sz w:val="22"/>
          <w:szCs w:val="22"/>
        </w:rPr>
        <w:t xml:space="preserve">, siendo el órgano de contratación el Consejo de Administración de </w:t>
      </w:r>
      <w:r w:rsidR="000D4A09">
        <w:rPr>
          <w:sz w:val="22"/>
          <w:szCs w:val="22"/>
        </w:rPr>
        <w:t>este Organismo Autónomo.</w:t>
      </w:r>
    </w:p>
    <w:p w14:paraId="1ED98C0D" w14:textId="77777777" w:rsidR="008951E5" w:rsidRPr="00833963" w:rsidRDefault="008951E5" w:rsidP="008951E5">
      <w:pPr>
        <w:spacing w:after="120"/>
        <w:jc w:val="center"/>
        <w:rPr>
          <w:b/>
          <w:sz w:val="22"/>
          <w:szCs w:val="22"/>
        </w:rPr>
      </w:pPr>
      <w:r w:rsidRPr="00833963">
        <w:rPr>
          <w:b/>
          <w:sz w:val="22"/>
          <w:szCs w:val="22"/>
        </w:rPr>
        <w:t>ANTECEDENTES DE HECHO</w:t>
      </w:r>
    </w:p>
    <w:p w14:paraId="1ADE8DAA" w14:textId="77777777" w:rsidR="008951E5" w:rsidRPr="00833963" w:rsidRDefault="008951E5" w:rsidP="008951E5">
      <w:pPr>
        <w:pStyle w:val="Estilo1"/>
        <w:tabs>
          <w:tab w:val="left" w:pos="567"/>
        </w:tabs>
        <w:ind w:firstLine="0"/>
        <w:jc w:val="center"/>
        <w:rPr>
          <w:b/>
          <w:sz w:val="22"/>
          <w:szCs w:val="22"/>
          <w:lang w:val="es-ES"/>
        </w:rPr>
      </w:pPr>
    </w:p>
    <w:p w14:paraId="38E2613D" w14:textId="0D1CE4C4" w:rsidR="009F0653" w:rsidRPr="00236579" w:rsidRDefault="009F0653" w:rsidP="009F0653">
      <w:pPr>
        <w:spacing w:after="240"/>
        <w:jc w:val="both"/>
        <w:rPr>
          <w:sz w:val="22"/>
          <w:szCs w:val="22"/>
        </w:rPr>
      </w:pPr>
      <w:r w:rsidRPr="00B11F99">
        <w:rPr>
          <w:b/>
          <w:bCs/>
          <w:sz w:val="22"/>
          <w:szCs w:val="22"/>
        </w:rPr>
        <w:t>1º.</w:t>
      </w:r>
      <w:r w:rsidRPr="00236579">
        <w:rPr>
          <w:sz w:val="22"/>
          <w:szCs w:val="22"/>
        </w:rPr>
        <w:t xml:space="preserve">- Mediante </w:t>
      </w:r>
      <w:r w:rsidR="00B11F99">
        <w:rPr>
          <w:sz w:val="22"/>
          <w:szCs w:val="22"/>
        </w:rPr>
        <w:t>A</w:t>
      </w:r>
      <w:r w:rsidRPr="00236579">
        <w:rPr>
          <w:sz w:val="22"/>
          <w:szCs w:val="22"/>
        </w:rPr>
        <w:t xml:space="preserve">cuerdo del Consejo de Administración del </w:t>
      </w:r>
      <w:r>
        <w:rPr>
          <w:sz w:val="22"/>
          <w:szCs w:val="22"/>
        </w:rPr>
        <w:t>Instituto Foral de Bienestar Social</w:t>
      </w:r>
      <w:r w:rsidRPr="00236579">
        <w:rPr>
          <w:sz w:val="22"/>
          <w:szCs w:val="22"/>
        </w:rPr>
        <w:t xml:space="preserve"> de </w:t>
      </w:r>
      <w:r w:rsidR="000D4A09">
        <w:rPr>
          <w:sz w:val="22"/>
          <w:szCs w:val="22"/>
        </w:rPr>
        <w:t xml:space="preserve">Alava, de </w:t>
      </w:r>
      <w:r w:rsidRPr="00236579">
        <w:rPr>
          <w:sz w:val="22"/>
          <w:szCs w:val="22"/>
        </w:rPr>
        <w:t>7 de marzo de 2024</w:t>
      </w:r>
      <w:r w:rsidR="000D4A09">
        <w:rPr>
          <w:sz w:val="22"/>
          <w:szCs w:val="22"/>
        </w:rPr>
        <w:t>,</w:t>
      </w:r>
      <w:r w:rsidRPr="00236579">
        <w:rPr>
          <w:sz w:val="22"/>
          <w:szCs w:val="22"/>
        </w:rPr>
        <w:t xml:space="preserve"> se aprobó la necesidad de celebrar un </w:t>
      </w:r>
      <w:r>
        <w:rPr>
          <w:sz w:val="22"/>
          <w:szCs w:val="22"/>
        </w:rPr>
        <w:t>a</w:t>
      </w:r>
      <w:r w:rsidRPr="00236579">
        <w:rPr>
          <w:sz w:val="22"/>
          <w:szCs w:val="22"/>
        </w:rPr>
        <w:t xml:space="preserve">cuerdo </w:t>
      </w:r>
      <w:r>
        <w:rPr>
          <w:sz w:val="22"/>
          <w:szCs w:val="22"/>
        </w:rPr>
        <w:t>m</w:t>
      </w:r>
      <w:r w:rsidRPr="00236579">
        <w:rPr>
          <w:sz w:val="22"/>
          <w:szCs w:val="22"/>
        </w:rPr>
        <w:t xml:space="preserve">arco para la selección de entidades suministradoras de productos congelados de alimentación para los centros dependientes del IFBS e INDESA 2010 S.L., con un valor estimado de 2.466.039,74 euros, IVA excluido. </w:t>
      </w:r>
    </w:p>
    <w:p w14:paraId="4F41E392" w14:textId="4B3CFC35" w:rsidR="00B11F99" w:rsidRDefault="009F0653" w:rsidP="009F0653">
      <w:pPr>
        <w:spacing w:after="240"/>
        <w:jc w:val="both"/>
        <w:rPr>
          <w:sz w:val="22"/>
          <w:szCs w:val="22"/>
        </w:rPr>
      </w:pPr>
      <w:r w:rsidRPr="00B11F99">
        <w:rPr>
          <w:b/>
          <w:bCs/>
          <w:sz w:val="22"/>
          <w:szCs w:val="22"/>
        </w:rPr>
        <w:t>2</w:t>
      </w:r>
      <w:r w:rsidR="00B11F99">
        <w:rPr>
          <w:b/>
          <w:bCs/>
          <w:sz w:val="22"/>
          <w:szCs w:val="22"/>
        </w:rPr>
        <w:t>º</w:t>
      </w:r>
      <w:r w:rsidRPr="00B11F99">
        <w:rPr>
          <w:b/>
          <w:bCs/>
          <w:sz w:val="22"/>
          <w:szCs w:val="22"/>
        </w:rPr>
        <w:t>.-</w:t>
      </w:r>
      <w:r w:rsidRPr="00236579">
        <w:rPr>
          <w:sz w:val="22"/>
          <w:szCs w:val="22"/>
        </w:rPr>
        <w:t xml:space="preserve"> </w:t>
      </w:r>
      <w:r w:rsidR="009E2EDF">
        <w:rPr>
          <w:sz w:val="22"/>
          <w:szCs w:val="22"/>
        </w:rPr>
        <w:t>La licitación se</w:t>
      </w:r>
      <w:r w:rsidRPr="00236579">
        <w:rPr>
          <w:sz w:val="22"/>
          <w:szCs w:val="22"/>
        </w:rPr>
        <w:t xml:space="preserve"> publicó en la Plataforma de Contratación Pública de Euskadi el 10 de marzo</w:t>
      </w:r>
      <w:r>
        <w:rPr>
          <w:sz w:val="22"/>
          <w:szCs w:val="22"/>
        </w:rPr>
        <w:t xml:space="preserve"> de </w:t>
      </w:r>
      <w:r w:rsidRPr="00DF0C8E">
        <w:rPr>
          <w:sz w:val="22"/>
          <w:szCs w:val="22"/>
        </w:rPr>
        <w:t>2024</w:t>
      </w:r>
      <w:r w:rsidR="007F5C06">
        <w:rPr>
          <w:sz w:val="22"/>
          <w:szCs w:val="22"/>
        </w:rPr>
        <w:t xml:space="preserve"> y </w:t>
      </w:r>
      <w:r w:rsidR="000D4A09">
        <w:rPr>
          <w:sz w:val="22"/>
          <w:szCs w:val="22"/>
        </w:rPr>
        <w:t xml:space="preserve">en el </w:t>
      </w:r>
      <w:r w:rsidRPr="00DF0C8E">
        <w:rPr>
          <w:sz w:val="22"/>
          <w:szCs w:val="22"/>
        </w:rPr>
        <w:t xml:space="preserve">DOUE </w:t>
      </w:r>
      <w:r w:rsidR="000D4A09">
        <w:rPr>
          <w:sz w:val="22"/>
          <w:szCs w:val="22"/>
        </w:rPr>
        <w:t>del 11</w:t>
      </w:r>
      <w:r w:rsidRPr="00DF0C8E">
        <w:rPr>
          <w:sz w:val="22"/>
          <w:szCs w:val="22"/>
        </w:rPr>
        <w:t xml:space="preserve"> de marzo</w:t>
      </w:r>
      <w:r w:rsidR="007F5C06">
        <w:rPr>
          <w:sz w:val="22"/>
          <w:szCs w:val="22"/>
        </w:rPr>
        <w:t>.</w:t>
      </w:r>
    </w:p>
    <w:p w14:paraId="5FB92678" w14:textId="7DA45C7C" w:rsidR="009F0653" w:rsidRPr="00236579" w:rsidRDefault="00B11F99" w:rsidP="009F0653">
      <w:pPr>
        <w:spacing w:after="240"/>
        <w:jc w:val="both"/>
        <w:rPr>
          <w:sz w:val="22"/>
          <w:szCs w:val="22"/>
        </w:rPr>
      </w:pPr>
      <w:r w:rsidRPr="00B11F99">
        <w:rPr>
          <w:b/>
          <w:bCs/>
          <w:sz w:val="22"/>
          <w:szCs w:val="22"/>
        </w:rPr>
        <w:t>3º</w:t>
      </w:r>
      <w:r w:rsidR="009E2EDF">
        <w:rPr>
          <w:b/>
          <w:bCs/>
          <w:sz w:val="22"/>
          <w:szCs w:val="22"/>
        </w:rPr>
        <w:t>-</w:t>
      </w:r>
      <w:r>
        <w:rPr>
          <w:sz w:val="22"/>
          <w:szCs w:val="22"/>
        </w:rPr>
        <w:t xml:space="preserve"> A la licitación presenta</w:t>
      </w:r>
      <w:r w:rsidR="007F5C06">
        <w:rPr>
          <w:sz w:val="22"/>
          <w:szCs w:val="22"/>
        </w:rPr>
        <w:t>ron</w:t>
      </w:r>
      <w:r>
        <w:rPr>
          <w:sz w:val="22"/>
          <w:szCs w:val="22"/>
        </w:rPr>
        <w:t xml:space="preserve"> ofertas las empresas </w:t>
      </w:r>
      <w:r w:rsidR="000755DF" w:rsidRPr="000755DF">
        <w:rPr>
          <w:sz w:val="22"/>
          <w:szCs w:val="22"/>
        </w:rPr>
        <w:t>CONGELADOS BEDARONA, S.L.U</w:t>
      </w:r>
      <w:r w:rsidR="000755DF">
        <w:rPr>
          <w:sz w:val="22"/>
          <w:szCs w:val="22"/>
        </w:rPr>
        <w:t>.</w:t>
      </w:r>
      <w:r w:rsidR="000755DF" w:rsidRPr="00236579">
        <w:rPr>
          <w:sz w:val="22"/>
          <w:szCs w:val="22"/>
        </w:rPr>
        <w:t xml:space="preserve"> </w:t>
      </w:r>
      <w:r w:rsidRPr="00236579">
        <w:rPr>
          <w:sz w:val="22"/>
          <w:szCs w:val="22"/>
        </w:rPr>
        <w:t>y F</w:t>
      </w:r>
      <w:r w:rsidR="000755DF">
        <w:rPr>
          <w:sz w:val="22"/>
          <w:szCs w:val="22"/>
        </w:rPr>
        <w:t>RIO BILBAO, S.A.</w:t>
      </w:r>
    </w:p>
    <w:p w14:paraId="1E1669E0" w14:textId="61131DBE" w:rsidR="009F0653" w:rsidRPr="00236579" w:rsidRDefault="00B11F99" w:rsidP="009F0653">
      <w:pPr>
        <w:spacing w:before="240"/>
        <w:jc w:val="both"/>
        <w:rPr>
          <w:sz w:val="22"/>
          <w:szCs w:val="22"/>
        </w:rPr>
      </w:pPr>
      <w:r>
        <w:rPr>
          <w:b/>
          <w:bCs/>
          <w:sz w:val="22"/>
          <w:szCs w:val="22"/>
        </w:rPr>
        <w:t>4</w:t>
      </w:r>
      <w:r w:rsidRPr="00B11F99">
        <w:rPr>
          <w:b/>
          <w:bCs/>
          <w:sz w:val="22"/>
          <w:szCs w:val="22"/>
        </w:rPr>
        <w:t>º</w:t>
      </w:r>
      <w:r w:rsidR="009F0653" w:rsidRPr="00236579">
        <w:rPr>
          <w:sz w:val="22"/>
          <w:szCs w:val="22"/>
        </w:rPr>
        <w:t>.- Tras la apertura de los sobres C y B se remite</w:t>
      </w:r>
      <w:r w:rsidR="009F0653">
        <w:rPr>
          <w:sz w:val="22"/>
          <w:szCs w:val="22"/>
        </w:rPr>
        <w:t xml:space="preserve">n las memorias técnicas </w:t>
      </w:r>
      <w:r w:rsidR="009E2EDF">
        <w:rPr>
          <w:sz w:val="22"/>
          <w:szCs w:val="22"/>
        </w:rPr>
        <w:t xml:space="preserve">de las licitadoras </w:t>
      </w:r>
      <w:r w:rsidR="009F0653" w:rsidRPr="00236579">
        <w:rPr>
          <w:sz w:val="22"/>
          <w:szCs w:val="22"/>
        </w:rPr>
        <w:t xml:space="preserve">al Área de </w:t>
      </w:r>
      <w:r w:rsidR="007F5C06">
        <w:rPr>
          <w:sz w:val="22"/>
          <w:szCs w:val="22"/>
        </w:rPr>
        <w:t>C</w:t>
      </w:r>
      <w:r w:rsidR="009F0653" w:rsidRPr="00236579">
        <w:rPr>
          <w:sz w:val="22"/>
          <w:szCs w:val="22"/>
        </w:rPr>
        <w:t xml:space="preserve">ocina que el 10 de julio </w:t>
      </w:r>
      <w:r w:rsidR="009F0653">
        <w:rPr>
          <w:sz w:val="22"/>
          <w:szCs w:val="22"/>
        </w:rPr>
        <w:t xml:space="preserve">de 2024 </w:t>
      </w:r>
      <w:r w:rsidR="009F0653" w:rsidRPr="00236579">
        <w:rPr>
          <w:sz w:val="22"/>
          <w:szCs w:val="22"/>
        </w:rPr>
        <w:t xml:space="preserve">emite informe </w:t>
      </w:r>
      <w:r w:rsidR="009F0653">
        <w:rPr>
          <w:sz w:val="22"/>
          <w:szCs w:val="22"/>
        </w:rPr>
        <w:t xml:space="preserve">de valoración otorgando </w:t>
      </w:r>
      <w:r w:rsidR="009F0653" w:rsidRPr="00236579">
        <w:rPr>
          <w:sz w:val="22"/>
          <w:szCs w:val="22"/>
        </w:rPr>
        <w:t xml:space="preserve">las siguientes </w:t>
      </w:r>
      <w:r w:rsidR="009F0653">
        <w:rPr>
          <w:sz w:val="22"/>
          <w:szCs w:val="22"/>
        </w:rPr>
        <w:t>puntuaciones</w:t>
      </w:r>
      <w:r w:rsidR="009F0653" w:rsidRPr="00236579">
        <w:rPr>
          <w:sz w:val="22"/>
          <w:szCs w:val="22"/>
        </w:rPr>
        <w:t xml:space="preserve">: </w:t>
      </w:r>
      <w:r w:rsidR="007F5C06">
        <w:rPr>
          <w:sz w:val="22"/>
          <w:szCs w:val="22"/>
        </w:rPr>
        <w:t xml:space="preserve">a </w:t>
      </w:r>
      <w:r w:rsidR="000755DF" w:rsidRPr="00236579">
        <w:rPr>
          <w:sz w:val="22"/>
          <w:szCs w:val="22"/>
        </w:rPr>
        <w:t>CONGELADOS BEDARONA S.L.</w:t>
      </w:r>
      <w:r w:rsidR="0035294D">
        <w:rPr>
          <w:sz w:val="22"/>
          <w:szCs w:val="22"/>
        </w:rPr>
        <w:t>U.</w:t>
      </w:r>
      <w:r w:rsidR="009F0653" w:rsidRPr="00236579">
        <w:rPr>
          <w:sz w:val="22"/>
          <w:szCs w:val="22"/>
        </w:rPr>
        <w:t xml:space="preserve"> 27 puntos y </w:t>
      </w:r>
      <w:r w:rsidR="007F5C06">
        <w:rPr>
          <w:sz w:val="22"/>
          <w:szCs w:val="22"/>
        </w:rPr>
        <w:t xml:space="preserve">a </w:t>
      </w:r>
      <w:r w:rsidR="000755DF" w:rsidRPr="00236579">
        <w:rPr>
          <w:sz w:val="22"/>
          <w:szCs w:val="22"/>
        </w:rPr>
        <w:t>FRÍO BILBAO S.A</w:t>
      </w:r>
      <w:r w:rsidR="009F0653" w:rsidRPr="00236579">
        <w:rPr>
          <w:sz w:val="22"/>
          <w:szCs w:val="22"/>
        </w:rPr>
        <w:t>. 34 puntos.</w:t>
      </w:r>
    </w:p>
    <w:p w14:paraId="0842E7D3" w14:textId="12E9FD68" w:rsidR="009F0653" w:rsidRPr="00236579" w:rsidRDefault="00B11F99" w:rsidP="009F0653">
      <w:pPr>
        <w:spacing w:before="240"/>
        <w:jc w:val="both"/>
        <w:rPr>
          <w:sz w:val="22"/>
          <w:szCs w:val="22"/>
        </w:rPr>
      </w:pPr>
      <w:r w:rsidRPr="00B11F99">
        <w:rPr>
          <w:b/>
          <w:bCs/>
          <w:sz w:val="22"/>
          <w:szCs w:val="22"/>
        </w:rPr>
        <w:lastRenderedPageBreak/>
        <w:t>5º</w:t>
      </w:r>
      <w:r w:rsidR="009F0653" w:rsidRPr="00B11F99">
        <w:rPr>
          <w:b/>
          <w:bCs/>
          <w:sz w:val="22"/>
          <w:szCs w:val="22"/>
        </w:rPr>
        <w:t>.</w:t>
      </w:r>
      <w:r w:rsidR="009F0653" w:rsidRPr="00236579">
        <w:rPr>
          <w:sz w:val="22"/>
          <w:szCs w:val="22"/>
        </w:rPr>
        <w:t xml:space="preserve">- Mediante </w:t>
      </w:r>
      <w:r>
        <w:rPr>
          <w:sz w:val="22"/>
          <w:szCs w:val="22"/>
        </w:rPr>
        <w:t>A</w:t>
      </w:r>
      <w:r w:rsidR="009F0653" w:rsidRPr="00236579">
        <w:rPr>
          <w:sz w:val="22"/>
          <w:szCs w:val="22"/>
        </w:rPr>
        <w:t>cuerdo del Consejo de Administración de 27 de enero de 2025</w:t>
      </w:r>
      <w:r>
        <w:rPr>
          <w:sz w:val="22"/>
          <w:szCs w:val="22"/>
        </w:rPr>
        <w:t xml:space="preserve">, notificado el 29 de enero, </w:t>
      </w:r>
      <w:r w:rsidR="009F0653" w:rsidRPr="00236579">
        <w:rPr>
          <w:sz w:val="22"/>
          <w:szCs w:val="22"/>
        </w:rPr>
        <w:t xml:space="preserve">se adjudica el </w:t>
      </w:r>
      <w:r w:rsidR="009F0653">
        <w:rPr>
          <w:sz w:val="22"/>
          <w:szCs w:val="22"/>
        </w:rPr>
        <w:t>a</w:t>
      </w:r>
      <w:r w:rsidR="009F0653" w:rsidRPr="00236579">
        <w:rPr>
          <w:sz w:val="22"/>
          <w:szCs w:val="22"/>
        </w:rPr>
        <w:t xml:space="preserve">cuerdo </w:t>
      </w:r>
      <w:r w:rsidR="009F0653">
        <w:rPr>
          <w:sz w:val="22"/>
          <w:szCs w:val="22"/>
        </w:rPr>
        <w:t>m</w:t>
      </w:r>
      <w:r w:rsidR="009F0653" w:rsidRPr="00236579">
        <w:rPr>
          <w:sz w:val="22"/>
          <w:szCs w:val="22"/>
        </w:rPr>
        <w:t xml:space="preserve">arco de suministro de productos congelados a favor de las empresas </w:t>
      </w:r>
      <w:r w:rsidR="000755DF" w:rsidRPr="00236579">
        <w:rPr>
          <w:sz w:val="22"/>
          <w:szCs w:val="22"/>
        </w:rPr>
        <w:t>CONGELADOS BEDARONA S.L.</w:t>
      </w:r>
      <w:r w:rsidR="009E2EDF">
        <w:rPr>
          <w:sz w:val="22"/>
          <w:szCs w:val="22"/>
        </w:rPr>
        <w:t>U.</w:t>
      </w:r>
      <w:r w:rsidR="009F0653" w:rsidRPr="00236579">
        <w:rPr>
          <w:sz w:val="22"/>
          <w:szCs w:val="22"/>
        </w:rPr>
        <w:t xml:space="preserve"> y </w:t>
      </w:r>
      <w:r w:rsidR="000755DF" w:rsidRPr="00236579">
        <w:rPr>
          <w:sz w:val="22"/>
          <w:szCs w:val="22"/>
        </w:rPr>
        <w:t>FRÍO BILBAO S.A.</w:t>
      </w:r>
      <w:r w:rsidR="007F5C06">
        <w:rPr>
          <w:sz w:val="22"/>
          <w:szCs w:val="22"/>
        </w:rPr>
        <w:t>, conforme a las ofertas presentadas y condiciones contractuales.</w:t>
      </w:r>
    </w:p>
    <w:p w14:paraId="04CB4BA7" w14:textId="77777777" w:rsidR="009F0653" w:rsidRPr="00236579" w:rsidRDefault="009F0653" w:rsidP="009F0653">
      <w:pPr>
        <w:autoSpaceDE w:val="0"/>
        <w:autoSpaceDN w:val="0"/>
        <w:adjustRightInd w:val="0"/>
        <w:rPr>
          <w:color w:val="000000"/>
          <w:sz w:val="22"/>
          <w:szCs w:val="22"/>
        </w:rPr>
      </w:pPr>
    </w:p>
    <w:p w14:paraId="062208BC" w14:textId="091E2362" w:rsidR="009F0653" w:rsidRPr="00236579" w:rsidRDefault="00B11F99" w:rsidP="009F0653">
      <w:pPr>
        <w:pStyle w:val="Textoindependiente"/>
        <w:rPr>
          <w:b/>
          <w:szCs w:val="22"/>
        </w:rPr>
      </w:pPr>
      <w:r w:rsidRPr="00B11F99">
        <w:rPr>
          <w:b/>
          <w:bCs/>
          <w:szCs w:val="22"/>
          <w:lang w:val="es-ES"/>
        </w:rPr>
        <w:t>6º</w:t>
      </w:r>
      <w:r w:rsidR="009F0653" w:rsidRPr="00236579">
        <w:rPr>
          <w:szCs w:val="22"/>
          <w:lang w:val="es-ES"/>
        </w:rPr>
        <w:t xml:space="preserve">.- Con fecha 12 de febrero de 2025, </w:t>
      </w:r>
      <w:r>
        <w:rPr>
          <w:szCs w:val="22"/>
          <w:lang w:val="es-ES"/>
        </w:rPr>
        <w:t xml:space="preserve">la </w:t>
      </w:r>
      <w:r w:rsidR="007F5C06">
        <w:rPr>
          <w:szCs w:val="22"/>
          <w:lang w:val="es-ES"/>
        </w:rPr>
        <w:t>recurrente</w:t>
      </w:r>
      <w:r w:rsidR="009F0653" w:rsidRPr="00236579">
        <w:rPr>
          <w:szCs w:val="22"/>
          <w:lang w:val="es-ES"/>
        </w:rPr>
        <w:t xml:space="preserve"> presenta recurso especial en materia de contratación</w:t>
      </w:r>
      <w:r w:rsidR="009F0653" w:rsidRPr="00236579">
        <w:rPr>
          <w:szCs w:val="22"/>
        </w:rPr>
        <w:t xml:space="preserve"> contra el </w:t>
      </w:r>
      <w:r w:rsidR="007F5C06">
        <w:rPr>
          <w:szCs w:val="22"/>
        </w:rPr>
        <w:t>A</w:t>
      </w:r>
      <w:r w:rsidR="009F0653" w:rsidRPr="00236579">
        <w:rPr>
          <w:szCs w:val="22"/>
        </w:rPr>
        <w:t xml:space="preserve">cuerdo del </w:t>
      </w:r>
      <w:r w:rsidR="009F0653">
        <w:rPr>
          <w:szCs w:val="22"/>
        </w:rPr>
        <w:t>C</w:t>
      </w:r>
      <w:r w:rsidR="009F0653" w:rsidRPr="00236579">
        <w:rPr>
          <w:szCs w:val="22"/>
        </w:rPr>
        <w:t xml:space="preserve">onsejo de </w:t>
      </w:r>
      <w:r w:rsidR="009F0653">
        <w:rPr>
          <w:szCs w:val="22"/>
        </w:rPr>
        <w:t>Administración del I</w:t>
      </w:r>
      <w:r w:rsidR="009F0653" w:rsidRPr="00236579">
        <w:rPr>
          <w:szCs w:val="22"/>
        </w:rPr>
        <w:t xml:space="preserve">nstituto </w:t>
      </w:r>
      <w:r w:rsidR="009F0653">
        <w:rPr>
          <w:szCs w:val="22"/>
        </w:rPr>
        <w:t>F</w:t>
      </w:r>
      <w:r w:rsidR="009F0653" w:rsidRPr="00236579">
        <w:rPr>
          <w:szCs w:val="22"/>
        </w:rPr>
        <w:t xml:space="preserve">oral de </w:t>
      </w:r>
      <w:r w:rsidR="009F0653">
        <w:rPr>
          <w:szCs w:val="22"/>
        </w:rPr>
        <w:t>B</w:t>
      </w:r>
      <w:r w:rsidR="009F0653" w:rsidRPr="00236579">
        <w:rPr>
          <w:szCs w:val="22"/>
        </w:rPr>
        <w:t xml:space="preserve">ienestar </w:t>
      </w:r>
      <w:r w:rsidR="009F0653">
        <w:rPr>
          <w:szCs w:val="22"/>
        </w:rPr>
        <w:t>S</w:t>
      </w:r>
      <w:r w:rsidR="009F0653" w:rsidRPr="00236579">
        <w:rPr>
          <w:szCs w:val="22"/>
        </w:rPr>
        <w:t>ocial</w:t>
      </w:r>
      <w:r w:rsidR="0035294D">
        <w:rPr>
          <w:szCs w:val="22"/>
        </w:rPr>
        <w:t>,</w:t>
      </w:r>
      <w:r w:rsidR="009F0653" w:rsidRPr="00236579">
        <w:rPr>
          <w:szCs w:val="22"/>
        </w:rPr>
        <w:t xml:space="preserve"> de fecha 27 de enero de 2025</w:t>
      </w:r>
      <w:r w:rsidR="0035294D">
        <w:rPr>
          <w:szCs w:val="22"/>
        </w:rPr>
        <w:t>,</w:t>
      </w:r>
      <w:r w:rsidR="009F0653" w:rsidRPr="00236579">
        <w:rPr>
          <w:szCs w:val="22"/>
        </w:rPr>
        <w:t xml:space="preserve"> de adjudicación del </w:t>
      </w:r>
      <w:r w:rsidR="009F0653">
        <w:rPr>
          <w:szCs w:val="22"/>
        </w:rPr>
        <w:t>a</w:t>
      </w:r>
      <w:r w:rsidR="009F0653" w:rsidRPr="00236579">
        <w:rPr>
          <w:szCs w:val="22"/>
        </w:rPr>
        <w:t xml:space="preserve">cuerdo </w:t>
      </w:r>
      <w:r w:rsidR="009F0653">
        <w:rPr>
          <w:szCs w:val="22"/>
        </w:rPr>
        <w:t>m</w:t>
      </w:r>
      <w:r w:rsidR="009F0653" w:rsidRPr="00236579">
        <w:rPr>
          <w:szCs w:val="22"/>
        </w:rPr>
        <w:t xml:space="preserve">arco para el suministro de productos congelados con destino a residencias y centros del Instituto Foral </w:t>
      </w:r>
      <w:r w:rsidR="009F0653">
        <w:rPr>
          <w:szCs w:val="22"/>
        </w:rPr>
        <w:t>d</w:t>
      </w:r>
      <w:r w:rsidR="009F0653" w:rsidRPr="00236579">
        <w:rPr>
          <w:szCs w:val="22"/>
        </w:rPr>
        <w:t>e Bienestar Social e INDESA 2010, S.L.</w:t>
      </w:r>
    </w:p>
    <w:p w14:paraId="4F716CFF" w14:textId="77777777" w:rsidR="009E2EDF" w:rsidRDefault="008951E5" w:rsidP="008951E5">
      <w:pPr>
        <w:pStyle w:val="Cuerpo"/>
        <w:tabs>
          <w:tab w:val="left" w:pos="3261"/>
        </w:tabs>
        <w:spacing w:before="120" w:after="120"/>
        <w:jc w:val="both"/>
        <w:rPr>
          <w:rStyle w:val="Nmerodepgina"/>
          <w:rFonts w:eastAsiaTheme="majorEastAsia"/>
          <w:sz w:val="22"/>
          <w:szCs w:val="22"/>
          <w:lang w:val="es-ES_tradnl"/>
        </w:rPr>
      </w:pPr>
      <w:r w:rsidRPr="0035294D">
        <w:rPr>
          <w:rStyle w:val="Nmerodepgina"/>
          <w:rFonts w:eastAsiaTheme="majorEastAsia"/>
          <w:sz w:val="22"/>
          <w:szCs w:val="22"/>
          <w:lang w:val="es-ES_tradnl"/>
        </w:rPr>
        <w:t>E</w:t>
      </w:r>
      <w:r w:rsidR="009F0653" w:rsidRPr="0035294D">
        <w:rPr>
          <w:rStyle w:val="Nmerodepgina"/>
          <w:rFonts w:eastAsiaTheme="majorEastAsia"/>
          <w:sz w:val="22"/>
          <w:szCs w:val="22"/>
          <w:lang w:val="es-ES_tradnl"/>
        </w:rPr>
        <w:t>n el</w:t>
      </w:r>
      <w:r w:rsidRPr="0035294D">
        <w:rPr>
          <w:rStyle w:val="Nmerodepgina"/>
          <w:rFonts w:eastAsiaTheme="majorEastAsia"/>
          <w:sz w:val="22"/>
          <w:szCs w:val="22"/>
          <w:lang w:val="es-ES_tradnl"/>
        </w:rPr>
        <w:t xml:space="preserve"> recurso</w:t>
      </w:r>
      <w:r w:rsidR="009F0653" w:rsidRPr="0035294D">
        <w:rPr>
          <w:rStyle w:val="Nmerodepgina"/>
          <w:rFonts w:eastAsiaTheme="majorEastAsia"/>
          <w:sz w:val="22"/>
          <w:szCs w:val="22"/>
          <w:lang w:val="es-ES_tradnl"/>
        </w:rPr>
        <w:t xml:space="preserve">, tras mostrar su disconformidad con las puntuaciones recibidas </w:t>
      </w:r>
      <w:r w:rsidR="009E2EDF" w:rsidRPr="0035294D">
        <w:rPr>
          <w:rStyle w:val="Nmerodepgina"/>
          <w:rFonts w:eastAsiaTheme="majorEastAsia"/>
          <w:sz w:val="22"/>
          <w:szCs w:val="22"/>
          <w:lang w:val="es-ES_tradnl"/>
        </w:rPr>
        <w:t xml:space="preserve">en </w:t>
      </w:r>
      <w:r w:rsidR="009E2EDF">
        <w:rPr>
          <w:rStyle w:val="Nmerodepgina"/>
          <w:rFonts w:eastAsiaTheme="majorEastAsia"/>
          <w:sz w:val="22"/>
          <w:szCs w:val="22"/>
          <w:lang w:val="es-ES_tradnl"/>
        </w:rPr>
        <w:t xml:space="preserve">el segundo </w:t>
      </w:r>
      <w:proofErr w:type="spellStart"/>
      <w:r w:rsidR="009E2EDF">
        <w:rPr>
          <w:rStyle w:val="Nmerodepgina"/>
          <w:rFonts w:eastAsiaTheme="majorEastAsia"/>
          <w:sz w:val="22"/>
          <w:szCs w:val="22"/>
          <w:lang w:val="es-ES_tradnl"/>
        </w:rPr>
        <w:t>item</w:t>
      </w:r>
      <w:proofErr w:type="spellEnd"/>
      <w:r w:rsidR="009E2EDF" w:rsidRPr="0035294D">
        <w:rPr>
          <w:rStyle w:val="Nmerodepgina"/>
          <w:rFonts w:eastAsiaTheme="majorEastAsia"/>
          <w:sz w:val="22"/>
          <w:szCs w:val="22"/>
          <w:lang w:val="es-ES_tradnl"/>
        </w:rPr>
        <w:t xml:space="preserve"> </w:t>
      </w:r>
      <w:r w:rsidR="009E2EDF" w:rsidRPr="0035294D">
        <w:rPr>
          <w:sz w:val="22"/>
          <w:szCs w:val="22"/>
        </w:rPr>
        <w:t xml:space="preserve">"clasificación de dichas contingencias en base a la probabilidad de que ocurran y la gravedad de sus consecuencias" y en </w:t>
      </w:r>
      <w:r w:rsidR="009E2EDF">
        <w:rPr>
          <w:sz w:val="22"/>
          <w:szCs w:val="22"/>
        </w:rPr>
        <w:t xml:space="preserve">el tercer </w:t>
      </w:r>
      <w:proofErr w:type="spellStart"/>
      <w:r w:rsidR="009E2EDF">
        <w:rPr>
          <w:sz w:val="22"/>
          <w:szCs w:val="22"/>
        </w:rPr>
        <w:t>item</w:t>
      </w:r>
      <w:proofErr w:type="spellEnd"/>
      <w:r w:rsidR="009E2EDF" w:rsidRPr="0035294D">
        <w:rPr>
          <w:sz w:val="22"/>
          <w:szCs w:val="22"/>
        </w:rPr>
        <w:t xml:space="preserve"> "formulación de medidas y acciones para afrontar las incidencias previstas</w:t>
      </w:r>
      <w:r w:rsidR="009E2EDF">
        <w:rPr>
          <w:sz w:val="22"/>
          <w:szCs w:val="22"/>
        </w:rPr>
        <w:t>”,</w:t>
      </w:r>
      <w:r w:rsidR="009F0653" w:rsidRPr="0035294D">
        <w:rPr>
          <w:rStyle w:val="Nmerodepgina"/>
          <w:rFonts w:eastAsiaTheme="majorEastAsia"/>
          <w:sz w:val="22"/>
          <w:szCs w:val="22"/>
          <w:lang w:val="es-ES_tradnl"/>
        </w:rPr>
        <w:t xml:space="preserve"> solicita la revisión </w:t>
      </w:r>
      <w:r w:rsidR="007F5C06" w:rsidRPr="0035294D">
        <w:rPr>
          <w:rStyle w:val="Nmerodepgina"/>
          <w:rFonts w:eastAsiaTheme="majorEastAsia"/>
          <w:sz w:val="22"/>
          <w:szCs w:val="22"/>
          <w:lang w:val="es-ES_tradnl"/>
        </w:rPr>
        <w:t>y reevaluación de</w:t>
      </w:r>
      <w:r w:rsidR="009F0653" w:rsidRPr="0035294D">
        <w:rPr>
          <w:rStyle w:val="Nmerodepgina"/>
          <w:rFonts w:eastAsiaTheme="majorEastAsia"/>
          <w:sz w:val="22"/>
          <w:szCs w:val="22"/>
          <w:lang w:val="es-ES_tradnl"/>
        </w:rPr>
        <w:t xml:space="preserve"> la</w:t>
      </w:r>
      <w:r w:rsidR="007F5C06" w:rsidRPr="0035294D">
        <w:rPr>
          <w:rStyle w:val="Nmerodepgina"/>
          <w:rFonts w:eastAsiaTheme="majorEastAsia"/>
          <w:sz w:val="22"/>
          <w:szCs w:val="22"/>
          <w:lang w:val="es-ES_tradnl"/>
        </w:rPr>
        <w:t>s</w:t>
      </w:r>
      <w:r w:rsidR="009F0653" w:rsidRPr="0035294D">
        <w:rPr>
          <w:rStyle w:val="Nmerodepgina"/>
          <w:rFonts w:eastAsiaTheme="majorEastAsia"/>
          <w:sz w:val="22"/>
          <w:szCs w:val="22"/>
          <w:lang w:val="es-ES_tradnl"/>
        </w:rPr>
        <w:t xml:space="preserve"> puntuaci</w:t>
      </w:r>
      <w:r w:rsidR="007F5C06" w:rsidRPr="0035294D">
        <w:rPr>
          <w:rStyle w:val="Nmerodepgina"/>
          <w:rFonts w:eastAsiaTheme="majorEastAsia"/>
          <w:sz w:val="22"/>
          <w:szCs w:val="22"/>
          <w:lang w:val="es-ES_tradnl"/>
        </w:rPr>
        <w:t>ones</w:t>
      </w:r>
      <w:r w:rsidR="009F0653" w:rsidRPr="0035294D">
        <w:rPr>
          <w:rStyle w:val="Nmerodepgina"/>
          <w:rFonts w:eastAsiaTheme="majorEastAsia"/>
          <w:sz w:val="22"/>
          <w:szCs w:val="22"/>
          <w:lang w:val="es-ES_tradnl"/>
        </w:rPr>
        <w:t xml:space="preserve"> obtenida</w:t>
      </w:r>
      <w:r w:rsidR="007F5C06" w:rsidRPr="0035294D">
        <w:rPr>
          <w:rStyle w:val="Nmerodepgina"/>
          <w:rFonts w:eastAsiaTheme="majorEastAsia"/>
          <w:sz w:val="22"/>
          <w:szCs w:val="22"/>
          <w:lang w:val="es-ES_tradnl"/>
        </w:rPr>
        <w:t>s</w:t>
      </w:r>
      <w:r w:rsidR="009E2EDF">
        <w:rPr>
          <w:rStyle w:val="Nmerodepgina"/>
          <w:rFonts w:eastAsiaTheme="majorEastAsia"/>
          <w:sz w:val="22"/>
          <w:szCs w:val="22"/>
          <w:lang w:val="es-ES_tradnl"/>
        </w:rPr>
        <w:t>.</w:t>
      </w:r>
    </w:p>
    <w:p w14:paraId="331A08D3" w14:textId="32A4DB69" w:rsidR="009F0653" w:rsidRDefault="00B11F99" w:rsidP="008951E5">
      <w:pPr>
        <w:pStyle w:val="Cuerpo"/>
        <w:tabs>
          <w:tab w:val="left" w:pos="3261"/>
        </w:tabs>
        <w:spacing w:before="120" w:after="120"/>
        <w:jc w:val="both"/>
        <w:rPr>
          <w:rStyle w:val="Nmerodepgina"/>
          <w:rFonts w:eastAsiaTheme="majorEastAsia"/>
          <w:sz w:val="22"/>
          <w:szCs w:val="22"/>
          <w:lang w:val="es-ES_tradnl"/>
        </w:rPr>
      </w:pPr>
      <w:r w:rsidRPr="0035294D">
        <w:rPr>
          <w:rStyle w:val="Nmerodepgina"/>
          <w:rFonts w:eastAsiaTheme="majorEastAsia"/>
          <w:sz w:val="22"/>
          <w:szCs w:val="22"/>
          <w:lang w:val="es-ES_tradnl"/>
        </w:rPr>
        <w:t xml:space="preserve">Aduce que para ambos ítems utiliza siempre </w:t>
      </w:r>
      <w:r w:rsidR="000D02F4" w:rsidRPr="0035294D">
        <w:rPr>
          <w:rStyle w:val="Nmerodepgina"/>
          <w:rFonts w:eastAsiaTheme="majorEastAsia"/>
          <w:sz w:val="22"/>
          <w:szCs w:val="22"/>
          <w:lang w:val="es-ES_tradnl"/>
        </w:rPr>
        <w:t>una</w:t>
      </w:r>
      <w:r w:rsidRPr="0035294D">
        <w:rPr>
          <w:rStyle w:val="Nmerodepgina"/>
          <w:rFonts w:eastAsiaTheme="majorEastAsia"/>
          <w:sz w:val="22"/>
          <w:szCs w:val="22"/>
          <w:lang w:val="es-ES_tradnl"/>
        </w:rPr>
        <w:t xml:space="preserve"> metodología de trabajo establecida en la ISO 9001.2015 </w:t>
      </w:r>
      <w:r w:rsidR="009E2EDF">
        <w:rPr>
          <w:rStyle w:val="Nmerodepgina"/>
          <w:rFonts w:eastAsiaTheme="majorEastAsia"/>
          <w:sz w:val="22"/>
          <w:szCs w:val="22"/>
          <w:lang w:val="es-ES_tradnl"/>
        </w:rPr>
        <w:t xml:space="preserve">que identifica específicamente al responsable de cada área para hacer frente a las posibles incidencias que puedan ocurrir </w:t>
      </w:r>
      <w:r w:rsidR="000755DF" w:rsidRPr="0035294D">
        <w:rPr>
          <w:rStyle w:val="Nmerodepgina"/>
          <w:rFonts w:eastAsiaTheme="majorEastAsia"/>
          <w:sz w:val="22"/>
          <w:szCs w:val="22"/>
          <w:lang w:val="es-ES_tradnl"/>
        </w:rPr>
        <w:t>y que</w:t>
      </w:r>
      <w:r w:rsidR="007F5C06" w:rsidRPr="0035294D">
        <w:rPr>
          <w:rStyle w:val="Nmerodepgina"/>
          <w:rFonts w:eastAsiaTheme="majorEastAsia"/>
          <w:sz w:val="22"/>
          <w:szCs w:val="22"/>
          <w:lang w:val="es-ES_tradnl"/>
        </w:rPr>
        <w:t>,</w:t>
      </w:r>
      <w:r w:rsidR="000755DF" w:rsidRPr="0035294D">
        <w:rPr>
          <w:rStyle w:val="Nmerodepgina"/>
          <w:rFonts w:eastAsiaTheme="majorEastAsia"/>
          <w:sz w:val="22"/>
          <w:szCs w:val="22"/>
          <w:lang w:val="es-ES_tradnl"/>
        </w:rPr>
        <w:t xml:space="preserve"> pese a las difíciles situaciones vividas en los últimos años, el servicio proporcionado nunca se ha visto afectado</w:t>
      </w:r>
      <w:r w:rsidR="009E2EDF">
        <w:rPr>
          <w:rStyle w:val="Nmerodepgina"/>
          <w:rFonts w:eastAsiaTheme="majorEastAsia"/>
          <w:sz w:val="22"/>
          <w:szCs w:val="22"/>
          <w:lang w:val="es-ES_tradnl"/>
        </w:rPr>
        <w:t>, lo que demuestra la capacidad de respuesta ante ellas</w:t>
      </w:r>
      <w:r w:rsidR="000755DF">
        <w:rPr>
          <w:rStyle w:val="Nmerodepgina"/>
          <w:rFonts w:eastAsiaTheme="majorEastAsia"/>
          <w:sz w:val="22"/>
          <w:szCs w:val="22"/>
          <w:lang w:val="es-ES_tradnl"/>
        </w:rPr>
        <w:t>.</w:t>
      </w:r>
    </w:p>
    <w:p w14:paraId="1B766C9C" w14:textId="70501312" w:rsidR="0035294D" w:rsidRDefault="000D4A09" w:rsidP="000D4A09">
      <w:pPr>
        <w:pStyle w:val="Cuerpo"/>
        <w:spacing w:before="120" w:after="120"/>
        <w:jc w:val="both"/>
        <w:rPr>
          <w:rStyle w:val="Nmerodepgina"/>
          <w:rFonts w:eastAsiaTheme="majorEastAsia"/>
          <w:sz w:val="22"/>
          <w:szCs w:val="22"/>
          <w:lang w:val="es-ES_tradnl"/>
        </w:rPr>
      </w:pPr>
      <w:r>
        <w:rPr>
          <w:rStyle w:val="Nmerodepgina"/>
          <w:rFonts w:eastAsiaTheme="majorEastAsia"/>
          <w:b/>
          <w:sz w:val="22"/>
          <w:szCs w:val="22"/>
          <w:lang w:val="es-ES_tradnl"/>
        </w:rPr>
        <w:t>7</w:t>
      </w:r>
      <w:r w:rsidRPr="004D113B">
        <w:rPr>
          <w:rStyle w:val="Nmerodepgina"/>
          <w:rFonts w:eastAsiaTheme="majorEastAsia"/>
          <w:b/>
          <w:sz w:val="22"/>
          <w:szCs w:val="22"/>
          <w:lang w:val="it-IT"/>
        </w:rPr>
        <w:t>º.</w:t>
      </w:r>
      <w:r w:rsidRPr="00164932">
        <w:rPr>
          <w:rStyle w:val="Nmerodepgina"/>
          <w:rFonts w:eastAsiaTheme="majorEastAsia"/>
          <w:b/>
          <w:sz w:val="22"/>
          <w:szCs w:val="22"/>
          <w:lang w:val="it-IT"/>
        </w:rPr>
        <w:t>-</w:t>
      </w:r>
      <w:r w:rsidRPr="00833963">
        <w:rPr>
          <w:rStyle w:val="Nmerodepgina"/>
          <w:rFonts w:eastAsiaTheme="majorEastAsia"/>
          <w:sz w:val="22"/>
          <w:szCs w:val="22"/>
          <w:lang w:val="it-IT"/>
        </w:rPr>
        <w:t xml:space="preserve"> </w:t>
      </w:r>
      <w:r>
        <w:rPr>
          <w:rStyle w:val="Nmerodepgina"/>
          <w:rFonts w:eastAsiaTheme="majorEastAsia"/>
          <w:sz w:val="22"/>
          <w:szCs w:val="22"/>
          <w:lang w:val="it-IT"/>
        </w:rPr>
        <w:t>E</w:t>
      </w:r>
      <w:r w:rsidRPr="00833963">
        <w:rPr>
          <w:rStyle w:val="Nmerodepgina"/>
          <w:rFonts w:eastAsiaTheme="majorEastAsia"/>
          <w:sz w:val="22"/>
          <w:szCs w:val="22"/>
          <w:lang w:val="es-ES_tradnl"/>
        </w:rPr>
        <w:t xml:space="preserve">l </w:t>
      </w:r>
      <w:r w:rsidR="0035294D">
        <w:rPr>
          <w:rStyle w:val="Nmerodepgina"/>
          <w:rFonts w:eastAsiaTheme="majorEastAsia"/>
          <w:sz w:val="22"/>
          <w:szCs w:val="22"/>
          <w:lang w:val="es-ES_tradnl"/>
        </w:rPr>
        <w:t>19</w:t>
      </w:r>
      <w:r w:rsidRPr="00833963">
        <w:rPr>
          <w:rStyle w:val="Nmerodepgina"/>
          <w:rFonts w:eastAsiaTheme="majorEastAsia"/>
          <w:sz w:val="22"/>
          <w:szCs w:val="22"/>
          <w:lang w:val="es-ES_tradnl"/>
        </w:rPr>
        <w:t xml:space="preserve"> de </w:t>
      </w:r>
      <w:r>
        <w:rPr>
          <w:rStyle w:val="Nmerodepgina"/>
          <w:rFonts w:eastAsiaTheme="majorEastAsia"/>
          <w:sz w:val="22"/>
          <w:szCs w:val="22"/>
          <w:lang w:val="es-ES_tradnl"/>
        </w:rPr>
        <w:t>febrero</w:t>
      </w:r>
      <w:r w:rsidRPr="00833963">
        <w:rPr>
          <w:rStyle w:val="Nmerodepgina"/>
          <w:rFonts w:eastAsiaTheme="majorEastAsia"/>
          <w:sz w:val="22"/>
          <w:szCs w:val="22"/>
          <w:lang w:val="es-ES_tradnl"/>
        </w:rPr>
        <w:t xml:space="preserve"> </w:t>
      </w:r>
      <w:r w:rsidR="009E2EDF">
        <w:rPr>
          <w:rStyle w:val="Nmerodepgina"/>
          <w:rFonts w:eastAsiaTheme="majorEastAsia"/>
          <w:sz w:val="22"/>
          <w:szCs w:val="22"/>
          <w:lang w:val="es-ES_tradnl"/>
        </w:rPr>
        <w:t xml:space="preserve">de 2025 </w:t>
      </w:r>
      <w:r w:rsidRPr="00833963">
        <w:rPr>
          <w:rStyle w:val="Nmerodepgina"/>
          <w:rFonts w:eastAsiaTheme="majorEastAsia"/>
          <w:sz w:val="22"/>
          <w:szCs w:val="22"/>
          <w:lang w:val="es-ES_tradnl"/>
        </w:rPr>
        <w:t>se d</w:t>
      </w:r>
      <w:r w:rsidR="009E2EDF">
        <w:rPr>
          <w:rStyle w:val="Nmerodepgina"/>
          <w:rFonts w:eastAsiaTheme="majorEastAsia"/>
          <w:sz w:val="22"/>
          <w:szCs w:val="22"/>
          <w:lang w:val="es-ES_tradnl"/>
        </w:rPr>
        <w:t>a</w:t>
      </w:r>
      <w:r w:rsidRPr="00833963">
        <w:rPr>
          <w:rStyle w:val="Nmerodepgina"/>
          <w:rFonts w:eastAsiaTheme="majorEastAsia"/>
          <w:sz w:val="22"/>
          <w:szCs w:val="22"/>
          <w:lang w:val="es-ES_tradnl"/>
        </w:rPr>
        <w:t xml:space="preserve"> traslado de</w:t>
      </w:r>
      <w:r>
        <w:rPr>
          <w:rStyle w:val="Nmerodepgina"/>
          <w:rFonts w:eastAsiaTheme="majorEastAsia"/>
          <w:sz w:val="22"/>
          <w:szCs w:val="22"/>
          <w:lang w:val="es-ES_tradnl"/>
        </w:rPr>
        <w:t>l</w:t>
      </w:r>
      <w:r w:rsidRPr="00833963">
        <w:rPr>
          <w:rStyle w:val="Nmerodepgina"/>
          <w:rFonts w:eastAsiaTheme="majorEastAsia"/>
          <w:sz w:val="22"/>
          <w:szCs w:val="22"/>
          <w:lang w:val="es-ES_tradnl"/>
        </w:rPr>
        <w:t xml:space="preserve"> recurso a l</w:t>
      </w:r>
      <w:r>
        <w:rPr>
          <w:rStyle w:val="Nmerodepgina"/>
          <w:rFonts w:eastAsiaTheme="majorEastAsia"/>
          <w:sz w:val="22"/>
          <w:szCs w:val="22"/>
          <w:lang w:val="es-ES_tradnl"/>
        </w:rPr>
        <w:t>a otra adjudicataria</w:t>
      </w:r>
      <w:r w:rsidRPr="00833963">
        <w:rPr>
          <w:rStyle w:val="Nmerodepgina"/>
          <w:rFonts w:eastAsiaTheme="majorEastAsia"/>
          <w:sz w:val="22"/>
          <w:szCs w:val="22"/>
          <w:lang w:val="es-ES_tradnl"/>
        </w:rPr>
        <w:t xml:space="preserve"> para la presentación de alegaciones</w:t>
      </w:r>
      <w:r>
        <w:rPr>
          <w:rStyle w:val="Nmerodepgina"/>
          <w:rFonts w:eastAsiaTheme="majorEastAsia"/>
          <w:sz w:val="22"/>
          <w:szCs w:val="22"/>
          <w:lang w:val="es-ES_tradnl"/>
        </w:rPr>
        <w:t xml:space="preserve"> al recurso especial que, presentadas el 24</w:t>
      </w:r>
      <w:r w:rsidR="009E2EDF">
        <w:rPr>
          <w:rStyle w:val="Nmerodepgina"/>
          <w:rFonts w:eastAsiaTheme="majorEastAsia"/>
          <w:sz w:val="22"/>
          <w:szCs w:val="22"/>
          <w:lang w:val="es-ES_tradnl"/>
        </w:rPr>
        <w:t xml:space="preserve"> siguiente</w:t>
      </w:r>
      <w:r>
        <w:rPr>
          <w:rStyle w:val="Nmerodepgina"/>
          <w:rFonts w:eastAsiaTheme="majorEastAsia"/>
          <w:sz w:val="22"/>
          <w:szCs w:val="22"/>
          <w:lang w:val="es-ES_tradnl"/>
        </w:rPr>
        <w:t>, aluden a</w:t>
      </w:r>
      <w:r w:rsidR="0035294D">
        <w:rPr>
          <w:rStyle w:val="Nmerodepgina"/>
          <w:rFonts w:eastAsiaTheme="majorEastAsia"/>
          <w:sz w:val="22"/>
          <w:szCs w:val="22"/>
          <w:lang w:val="es-ES_tradnl"/>
        </w:rPr>
        <w:t xml:space="preserve"> que </w:t>
      </w:r>
      <w:r>
        <w:rPr>
          <w:rStyle w:val="Nmerodepgina"/>
          <w:rFonts w:eastAsiaTheme="majorEastAsia"/>
          <w:sz w:val="22"/>
          <w:szCs w:val="22"/>
          <w:lang w:val="es-ES_tradnl"/>
        </w:rPr>
        <w:t xml:space="preserve">no se especifican las contingencias que tiene certificadas por la ISO </w:t>
      </w:r>
      <w:r w:rsidR="009E2EDF">
        <w:rPr>
          <w:rStyle w:val="Nmerodepgina"/>
          <w:rFonts w:eastAsiaTheme="majorEastAsia"/>
          <w:sz w:val="22"/>
          <w:szCs w:val="22"/>
          <w:lang w:val="es-ES_tradnl"/>
        </w:rPr>
        <w:t>haciendo</w:t>
      </w:r>
      <w:r w:rsidR="0035294D">
        <w:rPr>
          <w:rStyle w:val="Nmerodepgina"/>
          <w:rFonts w:eastAsiaTheme="majorEastAsia"/>
          <w:sz w:val="22"/>
          <w:szCs w:val="22"/>
          <w:lang w:val="es-ES_tradnl"/>
        </w:rPr>
        <w:t xml:space="preserve"> referencia a </w:t>
      </w:r>
      <w:r>
        <w:rPr>
          <w:rStyle w:val="Nmerodepgina"/>
          <w:rFonts w:eastAsiaTheme="majorEastAsia"/>
          <w:sz w:val="22"/>
          <w:szCs w:val="22"/>
          <w:lang w:val="es-ES_tradnl"/>
        </w:rPr>
        <w:t xml:space="preserve">un genérico e impreciso “para hacer frente a las posibles contingencias que puedan ocurrir”, </w:t>
      </w:r>
      <w:r w:rsidR="009E2EDF">
        <w:rPr>
          <w:rStyle w:val="Nmerodepgina"/>
          <w:rFonts w:eastAsiaTheme="majorEastAsia"/>
          <w:sz w:val="22"/>
          <w:szCs w:val="22"/>
          <w:lang w:val="es-ES_tradnl"/>
        </w:rPr>
        <w:t>a que</w:t>
      </w:r>
      <w:r>
        <w:rPr>
          <w:rStyle w:val="Nmerodepgina"/>
          <w:rFonts w:eastAsiaTheme="majorEastAsia"/>
          <w:sz w:val="22"/>
          <w:szCs w:val="22"/>
          <w:lang w:val="es-ES_tradnl"/>
        </w:rPr>
        <w:t xml:space="preserve"> no se responde de manera concreta y precisa a lo requerido en la memoria</w:t>
      </w:r>
      <w:r w:rsidR="009E2EDF">
        <w:rPr>
          <w:rStyle w:val="Nmerodepgina"/>
          <w:rFonts w:eastAsiaTheme="majorEastAsia"/>
          <w:sz w:val="22"/>
          <w:szCs w:val="22"/>
          <w:lang w:val="es-ES_tradnl"/>
        </w:rPr>
        <w:t xml:space="preserve"> y que las situaciones vividas no son objeto de puntuación.</w:t>
      </w:r>
      <w:r>
        <w:rPr>
          <w:rStyle w:val="Nmerodepgina"/>
          <w:rFonts w:eastAsiaTheme="majorEastAsia"/>
          <w:sz w:val="22"/>
          <w:szCs w:val="22"/>
          <w:lang w:val="es-ES_tradnl"/>
        </w:rPr>
        <w:t xml:space="preserve"> </w:t>
      </w:r>
    </w:p>
    <w:p w14:paraId="6204E410" w14:textId="26295A35" w:rsidR="000D4A09" w:rsidRDefault="000D4A09" w:rsidP="000D4A09">
      <w:pPr>
        <w:pStyle w:val="Cuerpo"/>
        <w:spacing w:before="120" w:after="120"/>
        <w:jc w:val="both"/>
        <w:rPr>
          <w:rStyle w:val="Nmerodepgina"/>
          <w:rFonts w:eastAsiaTheme="majorEastAsia"/>
          <w:sz w:val="22"/>
          <w:szCs w:val="22"/>
          <w:lang w:val="es-ES_tradnl"/>
        </w:rPr>
      </w:pPr>
      <w:r>
        <w:rPr>
          <w:rStyle w:val="Nmerodepgina"/>
          <w:rFonts w:eastAsiaTheme="majorEastAsia"/>
          <w:sz w:val="22"/>
          <w:szCs w:val="22"/>
          <w:lang w:val="es-ES_tradnl"/>
        </w:rPr>
        <w:t>Solicita mantener a las dos adjudicatarias con las puntuaciones otorgadas por la Mesa de Contratación.</w:t>
      </w:r>
    </w:p>
    <w:p w14:paraId="6F1D67CD" w14:textId="242B2203" w:rsidR="008951E5" w:rsidRPr="00E61D9F" w:rsidRDefault="000D4A09" w:rsidP="008951E5">
      <w:pPr>
        <w:pStyle w:val="Cuerpo"/>
        <w:tabs>
          <w:tab w:val="left" w:pos="3261"/>
        </w:tabs>
        <w:spacing w:before="120" w:after="120"/>
        <w:jc w:val="both"/>
        <w:rPr>
          <w:rStyle w:val="Nmerodepgina"/>
          <w:rFonts w:eastAsiaTheme="majorEastAsia"/>
          <w:bCs/>
          <w:sz w:val="22"/>
          <w:szCs w:val="22"/>
          <w:lang w:val="es-ES_tradnl"/>
        </w:rPr>
      </w:pPr>
      <w:r>
        <w:rPr>
          <w:rStyle w:val="Nmerodepgina"/>
          <w:rFonts w:eastAsiaTheme="majorEastAsia"/>
          <w:b/>
          <w:bCs/>
          <w:sz w:val="22"/>
          <w:szCs w:val="22"/>
          <w:lang w:val="es-ES_tradnl"/>
        </w:rPr>
        <w:t>8</w:t>
      </w:r>
      <w:r w:rsidR="008951E5" w:rsidRPr="000D02F4">
        <w:rPr>
          <w:rStyle w:val="Nmerodepgina"/>
          <w:rFonts w:eastAsiaTheme="majorEastAsia"/>
          <w:b/>
          <w:bCs/>
          <w:sz w:val="22"/>
          <w:szCs w:val="22"/>
          <w:lang w:val="es-ES_tradnl"/>
        </w:rPr>
        <w:t>º.-</w:t>
      </w:r>
      <w:r w:rsidR="008951E5">
        <w:rPr>
          <w:rStyle w:val="Nmerodepgina"/>
          <w:rFonts w:eastAsiaTheme="majorEastAsia"/>
          <w:bCs/>
          <w:sz w:val="22"/>
          <w:szCs w:val="22"/>
          <w:lang w:val="es-ES_tradnl"/>
        </w:rPr>
        <w:t xml:space="preserve"> Por Resolución de este </w:t>
      </w:r>
      <w:r w:rsidR="0035294D">
        <w:rPr>
          <w:rStyle w:val="Nmerodepgina"/>
          <w:rFonts w:eastAsiaTheme="majorEastAsia"/>
          <w:bCs/>
          <w:sz w:val="22"/>
          <w:szCs w:val="22"/>
          <w:lang w:val="es-ES_tradnl"/>
        </w:rPr>
        <w:t xml:space="preserve">Órgano </w:t>
      </w:r>
      <w:r w:rsidR="000D02F4">
        <w:rPr>
          <w:rStyle w:val="Nmerodepgina"/>
          <w:rFonts w:eastAsiaTheme="majorEastAsia"/>
          <w:bCs/>
          <w:sz w:val="22"/>
          <w:szCs w:val="22"/>
          <w:lang w:val="es-ES_tradnl"/>
        </w:rPr>
        <w:t>1</w:t>
      </w:r>
      <w:r w:rsidR="008951E5">
        <w:rPr>
          <w:rStyle w:val="Nmerodepgina"/>
          <w:rFonts w:eastAsiaTheme="majorEastAsia"/>
          <w:bCs/>
          <w:sz w:val="22"/>
          <w:szCs w:val="22"/>
          <w:lang w:val="es-ES_tradnl"/>
        </w:rPr>
        <w:t>/20</w:t>
      </w:r>
      <w:r w:rsidR="000D02F4">
        <w:rPr>
          <w:rStyle w:val="Nmerodepgina"/>
          <w:rFonts w:eastAsiaTheme="majorEastAsia"/>
          <w:bCs/>
          <w:sz w:val="22"/>
          <w:szCs w:val="22"/>
          <w:lang w:val="es-ES_tradnl"/>
        </w:rPr>
        <w:t>25</w:t>
      </w:r>
      <w:r w:rsidR="008951E5">
        <w:rPr>
          <w:rStyle w:val="Nmerodepgina"/>
          <w:rFonts w:eastAsiaTheme="majorEastAsia"/>
          <w:bCs/>
          <w:sz w:val="22"/>
          <w:szCs w:val="22"/>
          <w:lang w:val="es-ES_tradnl"/>
        </w:rPr>
        <w:t xml:space="preserve">, de </w:t>
      </w:r>
      <w:r w:rsidR="000755DF">
        <w:rPr>
          <w:rStyle w:val="Nmerodepgina"/>
          <w:rFonts w:eastAsiaTheme="majorEastAsia"/>
          <w:bCs/>
          <w:sz w:val="22"/>
          <w:szCs w:val="22"/>
          <w:lang w:val="es-ES_tradnl"/>
        </w:rPr>
        <w:t>20</w:t>
      </w:r>
      <w:r w:rsidR="008951E5">
        <w:rPr>
          <w:rStyle w:val="Nmerodepgina"/>
          <w:rFonts w:eastAsiaTheme="majorEastAsia"/>
          <w:bCs/>
          <w:sz w:val="22"/>
          <w:szCs w:val="22"/>
          <w:lang w:val="es-ES_tradnl"/>
        </w:rPr>
        <w:t xml:space="preserve"> de </w:t>
      </w:r>
      <w:r w:rsidR="000755DF">
        <w:rPr>
          <w:rStyle w:val="Nmerodepgina"/>
          <w:rFonts w:eastAsiaTheme="majorEastAsia"/>
          <w:bCs/>
          <w:sz w:val="22"/>
          <w:szCs w:val="22"/>
          <w:lang w:val="es-ES_tradnl"/>
        </w:rPr>
        <w:t>febrero</w:t>
      </w:r>
      <w:r w:rsidR="008951E5">
        <w:rPr>
          <w:rStyle w:val="Nmerodepgina"/>
          <w:rFonts w:eastAsiaTheme="majorEastAsia"/>
          <w:bCs/>
          <w:sz w:val="22"/>
          <w:szCs w:val="22"/>
          <w:lang w:val="es-ES_tradnl"/>
        </w:rPr>
        <w:t>, se acuerda mantener la suspensión de la adjudicación</w:t>
      </w:r>
      <w:r>
        <w:rPr>
          <w:rStyle w:val="Nmerodepgina"/>
          <w:rFonts w:eastAsiaTheme="majorEastAsia"/>
          <w:bCs/>
          <w:sz w:val="22"/>
          <w:szCs w:val="22"/>
          <w:lang w:val="es-ES_tradnl"/>
        </w:rPr>
        <w:t>.</w:t>
      </w:r>
    </w:p>
    <w:p w14:paraId="08094D93" w14:textId="11BD9FA7" w:rsidR="008951E5" w:rsidRPr="00EB252A" w:rsidRDefault="0065759A" w:rsidP="0065759A">
      <w:pPr>
        <w:pStyle w:val="Cuerpo"/>
        <w:spacing w:before="120" w:after="120"/>
        <w:jc w:val="both"/>
        <w:rPr>
          <w:sz w:val="22"/>
          <w:szCs w:val="22"/>
        </w:rPr>
      </w:pPr>
      <w:r w:rsidRPr="0065759A">
        <w:rPr>
          <w:rStyle w:val="Nmerodepgina"/>
          <w:rFonts w:eastAsiaTheme="majorEastAsia"/>
          <w:b/>
          <w:bCs/>
          <w:sz w:val="22"/>
          <w:szCs w:val="22"/>
          <w:lang w:val="es-ES_tradnl"/>
        </w:rPr>
        <w:t>9</w:t>
      </w:r>
      <w:r w:rsidR="008951E5" w:rsidRPr="0065759A">
        <w:rPr>
          <w:rStyle w:val="Nmerodepgina"/>
          <w:rFonts w:eastAsiaTheme="majorEastAsia"/>
          <w:b/>
          <w:bCs/>
          <w:sz w:val="22"/>
          <w:szCs w:val="22"/>
          <w:lang w:val="de-DE"/>
        </w:rPr>
        <w:t>º.</w:t>
      </w:r>
      <w:r w:rsidR="008951E5" w:rsidRPr="00833963">
        <w:rPr>
          <w:rStyle w:val="Nmerodepgina"/>
          <w:rFonts w:eastAsiaTheme="majorEastAsia"/>
          <w:b/>
          <w:bCs/>
          <w:sz w:val="22"/>
          <w:szCs w:val="22"/>
          <w:lang w:val="de-DE"/>
        </w:rPr>
        <w:t xml:space="preserve"> </w:t>
      </w:r>
      <w:r w:rsidR="00E93EC7" w:rsidRPr="0065759A">
        <w:rPr>
          <w:rStyle w:val="Nmerodepgina"/>
          <w:rFonts w:eastAsiaTheme="majorEastAsia"/>
          <w:sz w:val="22"/>
          <w:szCs w:val="22"/>
          <w:lang w:val="de-DE"/>
        </w:rPr>
        <w:t>Por su parte</w:t>
      </w:r>
      <w:r w:rsidR="00E93EC7" w:rsidRPr="00AD1E89">
        <w:rPr>
          <w:rStyle w:val="Nmerodepgina"/>
          <w:rFonts w:eastAsiaTheme="majorEastAsia"/>
          <w:sz w:val="22"/>
          <w:szCs w:val="22"/>
          <w:lang w:val="de-DE"/>
        </w:rPr>
        <w:t xml:space="preserve">, </w:t>
      </w:r>
      <w:r w:rsidR="00AD1E89" w:rsidRPr="00AD1E89">
        <w:rPr>
          <w:rStyle w:val="Nmerodepgina"/>
          <w:rFonts w:eastAsiaTheme="majorEastAsia"/>
          <w:sz w:val="22"/>
          <w:szCs w:val="22"/>
          <w:lang w:val="de-DE"/>
        </w:rPr>
        <w:t>efectuado el tras</w:t>
      </w:r>
      <w:r w:rsidR="0035294D">
        <w:rPr>
          <w:rStyle w:val="Nmerodepgina"/>
          <w:rFonts w:eastAsiaTheme="majorEastAsia"/>
          <w:sz w:val="22"/>
          <w:szCs w:val="22"/>
          <w:lang w:val="de-DE"/>
        </w:rPr>
        <w:t>la</w:t>
      </w:r>
      <w:r w:rsidR="00AD1E89" w:rsidRPr="00AD1E89">
        <w:rPr>
          <w:rStyle w:val="Nmerodepgina"/>
          <w:rFonts w:eastAsiaTheme="majorEastAsia"/>
          <w:sz w:val="22"/>
          <w:szCs w:val="22"/>
          <w:lang w:val="de-DE"/>
        </w:rPr>
        <w:t xml:space="preserve">do del recurso especial al </w:t>
      </w:r>
      <w:r w:rsidR="0035294D">
        <w:rPr>
          <w:rStyle w:val="Nmerodepgina"/>
          <w:rFonts w:eastAsiaTheme="majorEastAsia"/>
          <w:sz w:val="22"/>
          <w:szCs w:val="22"/>
          <w:lang w:val="de-DE"/>
        </w:rPr>
        <w:t>IFBS</w:t>
      </w:r>
      <w:r w:rsidR="00AD1E89" w:rsidRPr="00AD1E89">
        <w:rPr>
          <w:rStyle w:val="Nmerodepgina"/>
          <w:rFonts w:eastAsiaTheme="majorEastAsia"/>
          <w:sz w:val="22"/>
          <w:szCs w:val="22"/>
          <w:lang w:val="de-DE"/>
        </w:rPr>
        <w:t>, éste</w:t>
      </w:r>
      <w:r w:rsidR="008951E5" w:rsidRPr="00AD1E89">
        <w:rPr>
          <w:rStyle w:val="Nmerodepgina"/>
          <w:rFonts w:eastAsiaTheme="majorEastAsia"/>
          <w:sz w:val="22"/>
          <w:szCs w:val="22"/>
          <w:lang w:val="es-ES_tradnl"/>
        </w:rPr>
        <w:t xml:space="preserve"> </w:t>
      </w:r>
      <w:r w:rsidR="0035294D">
        <w:rPr>
          <w:rStyle w:val="Nmerodepgina"/>
          <w:rFonts w:eastAsiaTheme="majorEastAsia"/>
          <w:sz w:val="22"/>
          <w:szCs w:val="22"/>
          <w:lang w:val="es-ES_tradnl"/>
        </w:rPr>
        <w:t xml:space="preserve">propone la desestimación del recurso especial </w:t>
      </w:r>
      <w:r w:rsidR="009E2EDF">
        <w:rPr>
          <w:rStyle w:val="Nmerodepgina"/>
          <w:rFonts w:eastAsiaTheme="majorEastAsia"/>
          <w:sz w:val="22"/>
          <w:szCs w:val="22"/>
          <w:lang w:val="es-ES_tradnl"/>
        </w:rPr>
        <w:t>por los siguientes argumentos</w:t>
      </w:r>
      <w:r w:rsidR="008951E5" w:rsidRPr="00833963">
        <w:rPr>
          <w:rStyle w:val="Nmerodepgina"/>
          <w:rFonts w:eastAsiaTheme="majorEastAsia"/>
          <w:sz w:val="22"/>
          <w:szCs w:val="22"/>
          <w:lang w:val="es-ES_tradnl"/>
        </w:rPr>
        <w:t>:</w:t>
      </w:r>
    </w:p>
    <w:p w14:paraId="7AC3C1D0" w14:textId="7E2E5D22" w:rsidR="000305DE" w:rsidRDefault="000305DE" w:rsidP="000D4A09">
      <w:pPr>
        <w:pStyle w:val="Textoindependiente"/>
        <w:numPr>
          <w:ilvl w:val="0"/>
          <w:numId w:val="8"/>
        </w:numPr>
        <w:ind w:left="709" w:firstLine="0"/>
        <w:rPr>
          <w:szCs w:val="22"/>
          <w:lang w:val="es-ES"/>
        </w:rPr>
      </w:pPr>
      <w:r w:rsidRPr="002006D0">
        <w:rPr>
          <w:szCs w:val="22"/>
          <w:lang w:val="es-ES"/>
        </w:rPr>
        <w:t>Respecto al segundo apartado de la memoria técnica, relativo a la "</w:t>
      </w:r>
      <w:r>
        <w:rPr>
          <w:szCs w:val="22"/>
          <w:lang w:val="es-ES"/>
        </w:rPr>
        <w:t>c</w:t>
      </w:r>
      <w:r w:rsidRPr="000D54FF">
        <w:rPr>
          <w:szCs w:val="22"/>
          <w:lang w:val="es-ES"/>
        </w:rPr>
        <w:t xml:space="preserve">lasificación de dichas contingencias en base a la probabilidad de que ocurran y la gravedad </w:t>
      </w:r>
      <w:r>
        <w:rPr>
          <w:szCs w:val="22"/>
          <w:lang w:val="es-ES"/>
        </w:rPr>
        <w:t>de sus consecuencias</w:t>
      </w:r>
      <w:r w:rsidRPr="002006D0">
        <w:rPr>
          <w:szCs w:val="22"/>
          <w:lang w:val="es-ES"/>
        </w:rPr>
        <w:t>", a cuya puntuación la recurrente manifiesta su oposición, el informe de valoración le asigna una puntuación de un punto.</w:t>
      </w:r>
      <w:r>
        <w:rPr>
          <w:szCs w:val="22"/>
          <w:lang w:val="es-ES"/>
        </w:rPr>
        <w:t xml:space="preserve"> El Área de Cocina </w:t>
      </w:r>
      <w:r w:rsidRPr="002006D0">
        <w:rPr>
          <w:szCs w:val="22"/>
          <w:lang w:val="es-ES"/>
        </w:rPr>
        <w:t>fundamenta esta calificación en el hecho de que la memoria se limita a una referencia general a la activación del plan de alertas sanitarias</w:t>
      </w:r>
      <w:r>
        <w:rPr>
          <w:szCs w:val="22"/>
          <w:lang w:val="es-ES"/>
        </w:rPr>
        <w:t xml:space="preserve"> </w:t>
      </w:r>
      <w:r w:rsidRPr="0062003D">
        <w:rPr>
          <w:szCs w:val="22"/>
          <w:lang w:val="es-ES"/>
        </w:rPr>
        <w:t xml:space="preserve">cuando el riesgo detectado es grave, sin mayor concreción. </w:t>
      </w:r>
      <w:r w:rsidRPr="002006D0">
        <w:rPr>
          <w:szCs w:val="22"/>
          <w:lang w:val="es-ES"/>
        </w:rPr>
        <w:t xml:space="preserve">En </w:t>
      </w:r>
      <w:proofErr w:type="gramStart"/>
      <w:r w:rsidRPr="002006D0">
        <w:rPr>
          <w:szCs w:val="22"/>
          <w:lang w:val="es-ES"/>
        </w:rPr>
        <w:t>consecuencia</w:t>
      </w:r>
      <w:proofErr w:type="gramEnd"/>
      <w:r w:rsidRPr="002006D0">
        <w:rPr>
          <w:szCs w:val="22"/>
          <w:lang w:val="es-ES"/>
        </w:rPr>
        <w:t xml:space="preserve"> dicho apartado se considera incompleto ya de base </w:t>
      </w:r>
      <w:r w:rsidRPr="0062003D">
        <w:rPr>
          <w:szCs w:val="22"/>
          <w:lang w:val="es-ES"/>
        </w:rPr>
        <w:t xml:space="preserve">por cuanto las contingencias contempladas </w:t>
      </w:r>
      <w:r>
        <w:rPr>
          <w:szCs w:val="22"/>
          <w:lang w:val="es-ES"/>
        </w:rPr>
        <w:t>se consideran insuficientes</w:t>
      </w:r>
      <w:r w:rsidRPr="0062003D">
        <w:rPr>
          <w:szCs w:val="22"/>
          <w:lang w:val="es-ES"/>
        </w:rPr>
        <w:t>.</w:t>
      </w:r>
      <w:r>
        <w:rPr>
          <w:szCs w:val="22"/>
          <w:lang w:val="es-ES"/>
        </w:rPr>
        <w:t xml:space="preserve"> </w:t>
      </w:r>
      <w:r w:rsidRPr="002006D0">
        <w:rPr>
          <w:szCs w:val="22"/>
          <w:lang w:val="es-ES"/>
        </w:rPr>
        <w:t xml:space="preserve">Adicionalmente, se observa que el desarrollo </w:t>
      </w:r>
      <w:proofErr w:type="gramStart"/>
      <w:r w:rsidRPr="002006D0">
        <w:rPr>
          <w:szCs w:val="22"/>
          <w:lang w:val="es-ES"/>
        </w:rPr>
        <w:t>del mismo</w:t>
      </w:r>
      <w:proofErr w:type="gramEnd"/>
      <w:r w:rsidRPr="002006D0">
        <w:rPr>
          <w:szCs w:val="22"/>
          <w:lang w:val="es-ES"/>
        </w:rPr>
        <w:t xml:space="preserve"> es insuficiente, ya que se ciñe a las alertas alimentarias sin un análisis detallado de probabilidades y niveles de gravedad, reduciéndose a calificarlas genéricamente como "graves".</w:t>
      </w:r>
    </w:p>
    <w:p w14:paraId="5635A0A4" w14:textId="77777777" w:rsidR="003832CF" w:rsidRDefault="003832CF" w:rsidP="003832CF">
      <w:pPr>
        <w:pStyle w:val="Textoindependiente"/>
        <w:rPr>
          <w:szCs w:val="22"/>
          <w:lang w:val="es-ES"/>
        </w:rPr>
      </w:pPr>
    </w:p>
    <w:p w14:paraId="42EF5248" w14:textId="3C03DCF0" w:rsidR="000305DE" w:rsidRDefault="000305DE" w:rsidP="000D4A09">
      <w:pPr>
        <w:pStyle w:val="Textoindependiente"/>
        <w:numPr>
          <w:ilvl w:val="0"/>
          <w:numId w:val="8"/>
        </w:numPr>
        <w:ind w:left="709" w:firstLine="0"/>
        <w:rPr>
          <w:szCs w:val="22"/>
          <w:lang w:val="es-ES"/>
        </w:rPr>
      </w:pPr>
      <w:r w:rsidRPr="000F624A">
        <w:rPr>
          <w:szCs w:val="22"/>
          <w:lang w:val="es-ES"/>
        </w:rPr>
        <w:lastRenderedPageBreak/>
        <w:t>En lo que respecta al tercer apartado de la memoria técnica, correspondiente a la "formulación de medidas y acciones para afrontar</w:t>
      </w:r>
      <w:r>
        <w:rPr>
          <w:szCs w:val="22"/>
          <w:lang w:val="es-ES"/>
        </w:rPr>
        <w:t xml:space="preserve"> las incidencias previstas", e</w:t>
      </w:r>
      <w:r w:rsidRPr="000F624A">
        <w:rPr>
          <w:szCs w:val="22"/>
          <w:lang w:val="es-ES"/>
        </w:rPr>
        <w:t>l Área de Cocina justifica su calificación tras analizar las medidas y acciones contempladas por la empresa licitadora para responder a alertas sanitarias y otras contingencias de origen interno</w:t>
      </w:r>
      <w:r w:rsidR="000D4A09">
        <w:rPr>
          <w:szCs w:val="22"/>
          <w:lang w:val="es-ES"/>
        </w:rPr>
        <w:t>, se</w:t>
      </w:r>
      <w:r w:rsidRPr="000F624A">
        <w:rPr>
          <w:szCs w:val="22"/>
          <w:lang w:val="es-ES"/>
        </w:rPr>
        <w:t xml:space="preserve"> advierte que las medidas propuestas son fundamentalmente preventivas, sin que se detalle el procedimiento de actuación una vez que la problemática ha surgido.</w:t>
      </w:r>
    </w:p>
    <w:p w14:paraId="328F3120" w14:textId="77777777" w:rsidR="003832CF" w:rsidRDefault="003832CF" w:rsidP="00F47812">
      <w:pPr>
        <w:pStyle w:val="Cuerpo"/>
        <w:spacing w:before="120" w:after="120"/>
        <w:jc w:val="center"/>
        <w:rPr>
          <w:b/>
          <w:bCs/>
          <w:sz w:val="22"/>
          <w:szCs w:val="22"/>
        </w:rPr>
      </w:pPr>
    </w:p>
    <w:p w14:paraId="0B73C33A" w14:textId="79E07255" w:rsidR="00B869DC" w:rsidRDefault="00F47812" w:rsidP="00F47812">
      <w:pPr>
        <w:pStyle w:val="Cuerpo"/>
        <w:spacing w:before="120" w:after="120"/>
        <w:jc w:val="center"/>
        <w:rPr>
          <w:b/>
          <w:bCs/>
          <w:sz w:val="22"/>
          <w:szCs w:val="22"/>
        </w:rPr>
      </w:pPr>
      <w:r>
        <w:rPr>
          <w:b/>
          <w:bCs/>
          <w:sz w:val="22"/>
          <w:szCs w:val="22"/>
        </w:rPr>
        <w:t>FUNDAMENTOS DE DERECHO</w:t>
      </w:r>
    </w:p>
    <w:p w14:paraId="06D5E8FC" w14:textId="77777777" w:rsidR="00F47812" w:rsidRPr="00833963" w:rsidRDefault="00F47812" w:rsidP="008951E5">
      <w:pPr>
        <w:pStyle w:val="Cuerpo"/>
        <w:spacing w:before="120" w:after="120"/>
        <w:jc w:val="both"/>
        <w:rPr>
          <w:b/>
          <w:bCs/>
          <w:sz w:val="22"/>
          <w:szCs w:val="22"/>
        </w:rPr>
      </w:pPr>
    </w:p>
    <w:p w14:paraId="42BAF4DE" w14:textId="73F7BD76" w:rsidR="008951E5" w:rsidRDefault="008951E5" w:rsidP="003E4F7F">
      <w:pPr>
        <w:spacing w:after="160"/>
        <w:jc w:val="both"/>
        <w:rPr>
          <w:sz w:val="22"/>
          <w:szCs w:val="22"/>
        </w:rPr>
      </w:pPr>
      <w:proofErr w:type="gramStart"/>
      <w:r>
        <w:rPr>
          <w:b/>
          <w:sz w:val="22"/>
          <w:szCs w:val="22"/>
        </w:rPr>
        <w:t>PRIMERO.-</w:t>
      </w:r>
      <w:proofErr w:type="gramEnd"/>
      <w:r>
        <w:rPr>
          <w:b/>
          <w:sz w:val="22"/>
          <w:szCs w:val="22"/>
        </w:rPr>
        <w:t xml:space="preserve"> </w:t>
      </w:r>
      <w:r w:rsidRPr="00AD1E89">
        <w:rPr>
          <w:sz w:val="22"/>
          <w:szCs w:val="22"/>
        </w:rPr>
        <w:t xml:space="preserve">Tratándose de </w:t>
      </w:r>
      <w:r w:rsidR="003E4F7F" w:rsidRPr="00AD1E89">
        <w:rPr>
          <w:sz w:val="22"/>
          <w:szCs w:val="22"/>
        </w:rPr>
        <w:t>un contrato de adjudicación de los acuerdos marco que tiene por objeto la celebración de contratos de suministro con un valor estimado superior a cien mil euros, se cumplen los requisitos exigidos en el artículo 44 de la LCSP para poder considerar el acto impugnado susceptible de recurso especial en materia de contratación</w:t>
      </w:r>
      <w:r w:rsidR="00F94B34">
        <w:rPr>
          <w:sz w:val="22"/>
          <w:szCs w:val="22"/>
        </w:rPr>
        <w:t>.</w:t>
      </w:r>
    </w:p>
    <w:p w14:paraId="1950CF3A" w14:textId="13D1C779" w:rsidR="008951E5" w:rsidRDefault="008951E5" w:rsidP="008951E5">
      <w:pPr>
        <w:spacing w:after="160"/>
        <w:jc w:val="both"/>
        <w:rPr>
          <w:sz w:val="22"/>
          <w:szCs w:val="22"/>
        </w:rPr>
      </w:pPr>
      <w:r>
        <w:rPr>
          <w:b/>
          <w:sz w:val="22"/>
          <w:szCs w:val="22"/>
        </w:rPr>
        <w:t>SEGUNDO.-</w:t>
      </w:r>
      <w:r>
        <w:rPr>
          <w:sz w:val="22"/>
          <w:szCs w:val="22"/>
        </w:rPr>
        <w:t xml:space="preserve"> La competencia para resolver el presente recurso especial corresponde a este Órgano conforme a lo establecido en el art</w:t>
      </w:r>
      <w:r w:rsidR="00AD1E89">
        <w:rPr>
          <w:sz w:val="22"/>
          <w:szCs w:val="22"/>
        </w:rPr>
        <w:t>ículo</w:t>
      </w:r>
      <w:r>
        <w:rPr>
          <w:sz w:val="22"/>
          <w:szCs w:val="22"/>
        </w:rPr>
        <w:t xml:space="preserve"> 46.5 LCSP, y en el Decreto Foral del Consejo de Diputados 44/2010, de 28 de septiembre, cuyo apartado 2.1, relativo a las competencias, establece que “corresponde al Órgano Administrativo Foral de Recursos Contractuales el conocimiento y resolución de los recursos relativos a los contratos del sector público en los que sea parte la Diputación Foral de Álava o alguno de los órganos dependientes o vinculados a la misma y, en particular, los Organismos Autónomos Forales, las Sociedades Públicas Forales y todos aquellos poderes adjudicadores que estén bajo su control.”</w:t>
      </w:r>
    </w:p>
    <w:p w14:paraId="4C2AB119" w14:textId="0B6AB373" w:rsidR="008951E5" w:rsidRDefault="008951E5" w:rsidP="008951E5">
      <w:pPr>
        <w:pStyle w:val="Cuerpo"/>
        <w:spacing w:before="120" w:after="120"/>
        <w:jc w:val="both"/>
        <w:rPr>
          <w:sz w:val="22"/>
          <w:szCs w:val="22"/>
        </w:rPr>
      </w:pPr>
      <w:proofErr w:type="gramStart"/>
      <w:r>
        <w:rPr>
          <w:b/>
          <w:sz w:val="22"/>
          <w:szCs w:val="22"/>
        </w:rPr>
        <w:t>TERCERO.-</w:t>
      </w:r>
      <w:proofErr w:type="gramEnd"/>
      <w:r>
        <w:rPr>
          <w:b/>
          <w:sz w:val="22"/>
          <w:szCs w:val="22"/>
        </w:rPr>
        <w:t xml:space="preserve"> </w:t>
      </w:r>
      <w:r>
        <w:rPr>
          <w:sz w:val="22"/>
          <w:szCs w:val="22"/>
        </w:rPr>
        <w:t>En lo que respecta a la legitimación concurre en la recurrente el interés recogido en el art</w:t>
      </w:r>
      <w:r w:rsidR="003E4F7F">
        <w:rPr>
          <w:sz w:val="22"/>
          <w:szCs w:val="22"/>
        </w:rPr>
        <w:t>ículo</w:t>
      </w:r>
      <w:r>
        <w:rPr>
          <w:sz w:val="22"/>
          <w:szCs w:val="22"/>
        </w:rPr>
        <w:t xml:space="preserve"> 48 de la LCSP, según el cual “p</w:t>
      </w:r>
      <w:r w:rsidRPr="008E6D67">
        <w:rPr>
          <w:sz w:val="22"/>
          <w:szCs w:val="22"/>
        </w:rPr>
        <w:t>odrá interponer el recurso especial en materia de contratación cualquier persona física o jurídica cuyos derechos o intereses legítimos, individuales o colectivos, se hayan visto perjudicados o puedan resultar afectados, de manera directa o indirecta, por las decisiones objeto del recurso</w:t>
      </w:r>
      <w:r>
        <w:rPr>
          <w:sz w:val="22"/>
          <w:szCs w:val="22"/>
        </w:rPr>
        <w:t>”</w:t>
      </w:r>
      <w:r w:rsidR="00F47812">
        <w:rPr>
          <w:sz w:val="22"/>
          <w:szCs w:val="22"/>
        </w:rPr>
        <w:t>.</w:t>
      </w:r>
    </w:p>
    <w:p w14:paraId="1CD8DB6F" w14:textId="4C7443E9" w:rsidR="008951E5" w:rsidRPr="008E6D67" w:rsidRDefault="008951E5" w:rsidP="008951E5">
      <w:pPr>
        <w:pStyle w:val="Cuerpo"/>
        <w:spacing w:before="120" w:after="120"/>
        <w:jc w:val="both"/>
        <w:rPr>
          <w:sz w:val="22"/>
          <w:szCs w:val="22"/>
        </w:rPr>
      </w:pPr>
      <w:proofErr w:type="gramStart"/>
      <w:r>
        <w:rPr>
          <w:b/>
          <w:sz w:val="22"/>
          <w:szCs w:val="22"/>
        </w:rPr>
        <w:t>CUARTO.-</w:t>
      </w:r>
      <w:proofErr w:type="gramEnd"/>
      <w:r>
        <w:rPr>
          <w:sz w:val="22"/>
          <w:szCs w:val="22"/>
        </w:rPr>
        <w:t xml:space="preserve"> </w:t>
      </w:r>
      <w:r w:rsidRPr="001A71C0">
        <w:t xml:space="preserve">El </w:t>
      </w:r>
      <w:r w:rsidRPr="008E6D67">
        <w:rPr>
          <w:sz w:val="22"/>
          <w:szCs w:val="22"/>
        </w:rPr>
        <w:t xml:space="preserve">recurso se ha interpuesto en el plazo legal previsto en el artículo </w:t>
      </w:r>
      <w:r>
        <w:rPr>
          <w:sz w:val="22"/>
          <w:szCs w:val="22"/>
        </w:rPr>
        <w:t xml:space="preserve">50 de la </w:t>
      </w:r>
      <w:r w:rsidRPr="008E6D67">
        <w:rPr>
          <w:sz w:val="22"/>
          <w:szCs w:val="22"/>
        </w:rPr>
        <w:t>LCSP, por cuanto no ha transcurrido más de quince días hábiles contados a partir del s</w:t>
      </w:r>
      <w:r>
        <w:rPr>
          <w:sz w:val="22"/>
          <w:szCs w:val="22"/>
        </w:rPr>
        <w:t xml:space="preserve">iguiente a aquel en que fue remitida </w:t>
      </w:r>
      <w:r w:rsidRPr="008E6D67">
        <w:rPr>
          <w:sz w:val="22"/>
          <w:szCs w:val="22"/>
        </w:rPr>
        <w:t>la notificación del acto impugnado</w:t>
      </w:r>
      <w:r>
        <w:rPr>
          <w:sz w:val="22"/>
          <w:szCs w:val="22"/>
        </w:rPr>
        <w:t xml:space="preserve">, el </w:t>
      </w:r>
      <w:r w:rsidR="00F47812">
        <w:rPr>
          <w:sz w:val="22"/>
          <w:szCs w:val="22"/>
        </w:rPr>
        <w:t>29</w:t>
      </w:r>
      <w:r>
        <w:rPr>
          <w:sz w:val="22"/>
          <w:szCs w:val="22"/>
        </w:rPr>
        <w:t xml:space="preserve"> de </w:t>
      </w:r>
      <w:r w:rsidR="00F47812">
        <w:rPr>
          <w:sz w:val="22"/>
          <w:szCs w:val="22"/>
        </w:rPr>
        <w:t>enero</w:t>
      </w:r>
      <w:r>
        <w:rPr>
          <w:sz w:val="22"/>
          <w:szCs w:val="22"/>
        </w:rPr>
        <w:t xml:space="preserve"> de 20</w:t>
      </w:r>
      <w:r w:rsidR="00F47812">
        <w:rPr>
          <w:sz w:val="22"/>
          <w:szCs w:val="22"/>
        </w:rPr>
        <w:t>25</w:t>
      </w:r>
      <w:r w:rsidRPr="008E6D67">
        <w:rPr>
          <w:sz w:val="22"/>
          <w:szCs w:val="22"/>
        </w:rPr>
        <w:t>.</w:t>
      </w:r>
    </w:p>
    <w:p w14:paraId="4666F283" w14:textId="183302FC" w:rsidR="008951E5" w:rsidRPr="00833963" w:rsidRDefault="008951E5" w:rsidP="008951E5">
      <w:pPr>
        <w:pStyle w:val="Cuerpo"/>
        <w:spacing w:before="120" w:after="120"/>
        <w:jc w:val="both"/>
        <w:rPr>
          <w:sz w:val="22"/>
          <w:szCs w:val="22"/>
        </w:rPr>
      </w:pPr>
      <w:proofErr w:type="gramStart"/>
      <w:r w:rsidRPr="0031754F">
        <w:rPr>
          <w:b/>
          <w:sz w:val="22"/>
          <w:szCs w:val="22"/>
        </w:rPr>
        <w:t>QUINTO.-</w:t>
      </w:r>
      <w:proofErr w:type="gramEnd"/>
      <w:r w:rsidRPr="0031754F">
        <w:rPr>
          <w:sz w:val="22"/>
          <w:szCs w:val="22"/>
        </w:rPr>
        <w:t xml:space="preserve"> En cuanto al fondo del recurso, l</w:t>
      </w:r>
      <w:r w:rsidRPr="00315AA9">
        <w:rPr>
          <w:sz w:val="22"/>
          <w:szCs w:val="22"/>
        </w:rPr>
        <w:t>a</w:t>
      </w:r>
      <w:r w:rsidRPr="00833963">
        <w:rPr>
          <w:sz w:val="22"/>
          <w:szCs w:val="22"/>
        </w:rPr>
        <w:t xml:space="preserve"> recurrente </w:t>
      </w:r>
      <w:r w:rsidR="00F47812">
        <w:rPr>
          <w:sz w:val="22"/>
          <w:szCs w:val="22"/>
        </w:rPr>
        <w:t>mani</w:t>
      </w:r>
      <w:r w:rsidR="00E93EC7">
        <w:rPr>
          <w:sz w:val="22"/>
          <w:szCs w:val="22"/>
        </w:rPr>
        <w:t>fi</w:t>
      </w:r>
      <w:r w:rsidR="00F47812">
        <w:rPr>
          <w:sz w:val="22"/>
          <w:szCs w:val="22"/>
        </w:rPr>
        <w:t xml:space="preserve">esta estar </w:t>
      </w:r>
      <w:r w:rsidR="00E93EC7">
        <w:rPr>
          <w:sz w:val="22"/>
          <w:szCs w:val="22"/>
        </w:rPr>
        <w:t>disconforme</w:t>
      </w:r>
      <w:r w:rsidR="00F47812">
        <w:rPr>
          <w:sz w:val="22"/>
          <w:szCs w:val="22"/>
        </w:rPr>
        <w:t xml:space="preserve"> con la puntuación de 1 punto obtenida en el segundo </w:t>
      </w:r>
      <w:proofErr w:type="spellStart"/>
      <w:r w:rsidR="00F47812">
        <w:rPr>
          <w:sz w:val="22"/>
          <w:szCs w:val="22"/>
        </w:rPr>
        <w:t>item</w:t>
      </w:r>
      <w:proofErr w:type="spellEnd"/>
      <w:r w:rsidR="00F47812">
        <w:rPr>
          <w:sz w:val="22"/>
          <w:szCs w:val="22"/>
        </w:rPr>
        <w:t xml:space="preserve"> “clasificación de las contingencias en base a la probabilidad de que ocurran y la gravedad de sus consecuencias” y de 9 puntos en el tercer </w:t>
      </w:r>
      <w:proofErr w:type="spellStart"/>
      <w:r w:rsidR="00F47812">
        <w:rPr>
          <w:sz w:val="22"/>
          <w:szCs w:val="22"/>
        </w:rPr>
        <w:t>item</w:t>
      </w:r>
      <w:proofErr w:type="spellEnd"/>
      <w:r w:rsidR="00F47812">
        <w:rPr>
          <w:sz w:val="22"/>
          <w:szCs w:val="22"/>
        </w:rPr>
        <w:t xml:space="preserve"> “</w:t>
      </w:r>
      <w:r w:rsidR="00E93EC7">
        <w:rPr>
          <w:sz w:val="22"/>
          <w:szCs w:val="22"/>
        </w:rPr>
        <w:t>formulación</w:t>
      </w:r>
      <w:r w:rsidR="00F47812">
        <w:rPr>
          <w:sz w:val="22"/>
          <w:szCs w:val="22"/>
        </w:rPr>
        <w:t xml:space="preserve"> de medidas y acciones para hacer frente a las incidencias previstas</w:t>
      </w:r>
      <w:r w:rsidR="003E4F7F">
        <w:rPr>
          <w:sz w:val="22"/>
          <w:szCs w:val="22"/>
        </w:rPr>
        <w:t>”</w:t>
      </w:r>
      <w:r w:rsidR="008A1338">
        <w:rPr>
          <w:sz w:val="22"/>
          <w:szCs w:val="22"/>
        </w:rPr>
        <w:t>,  e</w:t>
      </w:r>
      <w:r w:rsidR="00F47812">
        <w:rPr>
          <w:sz w:val="22"/>
          <w:szCs w:val="22"/>
        </w:rPr>
        <w:t xml:space="preserve">sto es, </w:t>
      </w:r>
      <w:r w:rsidRPr="00833963">
        <w:rPr>
          <w:sz w:val="22"/>
          <w:szCs w:val="22"/>
        </w:rPr>
        <w:t xml:space="preserve">alega </w:t>
      </w:r>
      <w:r w:rsidR="00E93EC7">
        <w:rPr>
          <w:sz w:val="22"/>
          <w:szCs w:val="22"/>
        </w:rPr>
        <w:t>una</w:t>
      </w:r>
      <w:r w:rsidRPr="00833963">
        <w:rPr>
          <w:sz w:val="22"/>
          <w:szCs w:val="22"/>
        </w:rPr>
        <w:t xml:space="preserve"> in</w:t>
      </w:r>
      <w:r w:rsidR="00E93EC7">
        <w:rPr>
          <w:sz w:val="22"/>
          <w:szCs w:val="22"/>
        </w:rPr>
        <w:t>suficiente</w:t>
      </w:r>
      <w:r w:rsidR="00F47812">
        <w:rPr>
          <w:sz w:val="22"/>
          <w:szCs w:val="22"/>
        </w:rPr>
        <w:t xml:space="preserve"> </w:t>
      </w:r>
      <w:r w:rsidRPr="00833963">
        <w:rPr>
          <w:sz w:val="22"/>
          <w:szCs w:val="22"/>
        </w:rPr>
        <w:t>valoración de</w:t>
      </w:r>
      <w:r w:rsidR="003832CF">
        <w:rPr>
          <w:sz w:val="22"/>
          <w:szCs w:val="22"/>
        </w:rPr>
        <w:t xml:space="preserve"> los mismos</w:t>
      </w:r>
      <w:r w:rsidR="00F47812">
        <w:rPr>
          <w:sz w:val="22"/>
          <w:szCs w:val="22"/>
        </w:rPr>
        <w:t xml:space="preserve">, valorables </w:t>
      </w:r>
      <w:r w:rsidR="008A1338">
        <w:rPr>
          <w:sz w:val="22"/>
          <w:szCs w:val="22"/>
        </w:rPr>
        <w:t xml:space="preserve">en los pliegos </w:t>
      </w:r>
      <w:r w:rsidR="00F47812">
        <w:rPr>
          <w:sz w:val="22"/>
          <w:szCs w:val="22"/>
        </w:rPr>
        <w:t>con hasta 6 y 12 puntos, respectivamente.</w:t>
      </w:r>
    </w:p>
    <w:p w14:paraId="7672667A" w14:textId="3891002F" w:rsidR="008951E5" w:rsidRPr="001C3F8E" w:rsidRDefault="00902762" w:rsidP="008951E5">
      <w:pPr>
        <w:pStyle w:val="Cuerpo"/>
        <w:spacing w:before="120" w:after="120"/>
        <w:jc w:val="both"/>
        <w:rPr>
          <w:i/>
          <w:sz w:val="22"/>
          <w:szCs w:val="22"/>
        </w:rPr>
      </w:pPr>
      <w:r>
        <w:rPr>
          <w:sz w:val="22"/>
          <w:szCs w:val="22"/>
        </w:rPr>
        <w:t xml:space="preserve">En relación con esta </w:t>
      </w:r>
      <w:r w:rsidR="00A93BA4">
        <w:rPr>
          <w:sz w:val="22"/>
          <w:szCs w:val="22"/>
        </w:rPr>
        <w:t>pretensión</w:t>
      </w:r>
      <w:r>
        <w:rPr>
          <w:sz w:val="22"/>
          <w:szCs w:val="22"/>
        </w:rPr>
        <w:t xml:space="preserve"> relativa a la valoración </w:t>
      </w:r>
      <w:r w:rsidR="008A1338" w:rsidRPr="00833963">
        <w:rPr>
          <w:sz w:val="22"/>
          <w:szCs w:val="22"/>
        </w:rPr>
        <w:t>de los criterios de adjudicación que dependen de un juicio de valor</w:t>
      </w:r>
      <w:r w:rsidR="008A1338">
        <w:rPr>
          <w:sz w:val="22"/>
          <w:szCs w:val="22"/>
        </w:rPr>
        <w:t>,</w:t>
      </w:r>
      <w:r w:rsidR="008951E5" w:rsidRPr="00833963">
        <w:rPr>
          <w:sz w:val="22"/>
          <w:szCs w:val="22"/>
        </w:rPr>
        <w:t xml:space="preserve"> </w:t>
      </w:r>
      <w:r w:rsidR="00F94B34">
        <w:rPr>
          <w:sz w:val="22"/>
          <w:szCs w:val="22"/>
        </w:rPr>
        <w:t>resulta aplicable</w:t>
      </w:r>
      <w:r>
        <w:rPr>
          <w:sz w:val="22"/>
          <w:szCs w:val="22"/>
        </w:rPr>
        <w:t xml:space="preserve"> el principio </w:t>
      </w:r>
      <w:r w:rsidRPr="00902762">
        <w:rPr>
          <w:sz w:val="22"/>
          <w:szCs w:val="22"/>
        </w:rPr>
        <w:t>de discrecionalidad técnica</w:t>
      </w:r>
      <w:r w:rsidR="00F94B34">
        <w:rPr>
          <w:sz w:val="22"/>
          <w:szCs w:val="22"/>
        </w:rPr>
        <w:t xml:space="preserve"> e</w:t>
      </w:r>
      <w:r w:rsidR="008951E5" w:rsidRPr="00833963">
        <w:rPr>
          <w:sz w:val="22"/>
          <w:szCs w:val="22"/>
        </w:rPr>
        <w:t xml:space="preserve"> </w:t>
      </w:r>
      <w:r w:rsidR="008951E5">
        <w:rPr>
          <w:sz w:val="22"/>
          <w:szCs w:val="22"/>
        </w:rPr>
        <w:t>ilustrativa</w:t>
      </w:r>
      <w:r w:rsidR="008951E5" w:rsidRPr="00833963">
        <w:rPr>
          <w:sz w:val="22"/>
          <w:szCs w:val="22"/>
        </w:rPr>
        <w:t xml:space="preserve"> la</w:t>
      </w:r>
      <w:r w:rsidR="008951E5">
        <w:rPr>
          <w:sz w:val="22"/>
          <w:szCs w:val="22"/>
        </w:rPr>
        <w:t xml:space="preserve"> STS</w:t>
      </w:r>
      <w:r w:rsidR="008951E5" w:rsidRPr="002B4859">
        <w:rPr>
          <w:sz w:val="22"/>
          <w:szCs w:val="22"/>
        </w:rPr>
        <w:t xml:space="preserve"> de 24</w:t>
      </w:r>
      <w:r w:rsidR="008951E5">
        <w:rPr>
          <w:sz w:val="22"/>
          <w:szCs w:val="22"/>
        </w:rPr>
        <w:t>.09.</w:t>
      </w:r>
      <w:r w:rsidR="008951E5" w:rsidRPr="002B4859">
        <w:rPr>
          <w:sz w:val="22"/>
          <w:szCs w:val="22"/>
        </w:rPr>
        <w:t>2014</w:t>
      </w:r>
      <w:r w:rsidR="008951E5">
        <w:rPr>
          <w:sz w:val="22"/>
          <w:szCs w:val="22"/>
        </w:rPr>
        <w:t>, r</w:t>
      </w:r>
      <w:r w:rsidR="008951E5" w:rsidRPr="00AF7AD6">
        <w:rPr>
          <w:sz w:val="22"/>
          <w:szCs w:val="22"/>
        </w:rPr>
        <w:t xml:space="preserve">ecurso </w:t>
      </w:r>
      <w:r w:rsidR="008951E5">
        <w:rPr>
          <w:sz w:val="22"/>
          <w:szCs w:val="22"/>
        </w:rPr>
        <w:t>c</w:t>
      </w:r>
      <w:r w:rsidR="008951E5" w:rsidRPr="00AF7AD6">
        <w:rPr>
          <w:sz w:val="22"/>
          <w:szCs w:val="22"/>
        </w:rPr>
        <w:t>asación 1375/2013, que fija las condiciones y límites de la discrecionalidad técnica</w:t>
      </w:r>
      <w:r w:rsidR="008951E5">
        <w:rPr>
          <w:sz w:val="22"/>
          <w:szCs w:val="22"/>
        </w:rPr>
        <w:t>.</w:t>
      </w:r>
      <w:r w:rsidR="008951E5" w:rsidRPr="00833963">
        <w:rPr>
          <w:sz w:val="22"/>
          <w:szCs w:val="22"/>
        </w:rPr>
        <w:t xml:space="preserve"> Como </w:t>
      </w:r>
      <w:r w:rsidR="008951E5">
        <w:rPr>
          <w:sz w:val="22"/>
          <w:szCs w:val="22"/>
        </w:rPr>
        <w:t>cita</w:t>
      </w:r>
      <w:r w:rsidR="008951E5" w:rsidRPr="00833963">
        <w:rPr>
          <w:sz w:val="22"/>
          <w:szCs w:val="22"/>
        </w:rPr>
        <w:t xml:space="preserve"> </w:t>
      </w:r>
      <w:r w:rsidR="008951E5">
        <w:rPr>
          <w:sz w:val="22"/>
          <w:szCs w:val="22"/>
        </w:rPr>
        <w:t>la</w:t>
      </w:r>
      <w:r w:rsidR="008951E5" w:rsidRPr="00833963">
        <w:rPr>
          <w:sz w:val="22"/>
          <w:szCs w:val="22"/>
        </w:rPr>
        <w:t xml:space="preserve"> sentencia, </w:t>
      </w:r>
      <w:r w:rsidR="008951E5" w:rsidRPr="001C3F8E">
        <w:rPr>
          <w:i/>
          <w:sz w:val="22"/>
          <w:szCs w:val="22"/>
        </w:rPr>
        <w:t>“discrecionalidad técnica significa, por un lado, respetar las valoraciones de esa índole que hayan sido realizadas por los órganos cualificados por la posesión del correspondiente saber especializado y, por otro, admitir el margen de polémica o discrepancia que sobre determinadas cuestiones venga siendo tolerado en el concreto sector de conocimientos técnicos de que se trate.”</w:t>
      </w:r>
    </w:p>
    <w:p w14:paraId="257430B6" w14:textId="5F00C9A0" w:rsidR="008951E5" w:rsidRPr="000275E3" w:rsidRDefault="00902762" w:rsidP="008951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both"/>
        <w:rPr>
          <w:color w:val="000000"/>
          <w:sz w:val="22"/>
          <w:szCs w:val="22"/>
          <w:lang w:eastAsia="es-ES_tradnl"/>
        </w:rPr>
      </w:pPr>
      <w:r>
        <w:rPr>
          <w:color w:val="000000"/>
          <w:sz w:val="22"/>
          <w:szCs w:val="22"/>
          <w:lang w:eastAsia="es-ES_tradnl"/>
        </w:rPr>
        <w:lastRenderedPageBreak/>
        <w:t>Por otro lado, r</w:t>
      </w:r>
      <w:r w:rsidR="008951E5" w:rsidRPr="000275E3">
        <w:rPr>
          <w:color w:val="000000"/>
          <w:sz w:val="22"/>
          <w:szCs w:val="22"/>
          <w:lang w:eastAsia="es-ES_tradnl"/>
        </w:rPr>
        <w:t xml:space="preserve">eiterada jurisprudencia reconoce la existencia de una cierta subjetividad a la hora de valorar, subjetividad que debe entenderse no en un sentido de libre elección de criterios personales o arbitrarios, sino en el sentido de que resulta obvio que algunos aspectos no pueden valorarse de una forma matemática, automática o perfecta, sino que implican inevitablemente un juicio de valor, una apreciación humana, racional o intelectual, suficientemente explicada o motivada. </w:t>
      </w:r>
    </w:p>
    <w:p w14:paraId="6C1426AB" w14:textId="3C43E195" w:rsidR="008951E5" w:rsidRPr="00E01514" w:rsidRDefault="008951E5" w:rsidP="00E015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both"/>
        <w:rPr>
          <w:color w:val="000000"/>
          <w:sz w:val="22"/>
          <w:szCs w:val="22"/>
          <w:lang w:eastAsia="es-ES_tradnl"/>
        </w:rPr>
      </w:pPr>
      <w:r>
        <w:rPr>
          <w:sz w:val="22"/>
          <w:szCs w:val="22"/>
        </w:rPr>
        <w:t>Por su parte, l</w:t>
      </w:r>
      <w:r w:rsidRPr="000275E3">
        <w:rPr>
          <w:sz w:val="22"/>
          <w:szCs w:val="22"/>
        </w:rPr>
        <w:t>a Ley se remite a las valoraciones técnicas que ha de hacer la Administración  sobre la base de conocimientos técnicos que se justifican en la propia razonabilidad de la decisión del órgano que realiza la calificación, ofreciendo una razonable ponderación de las propuestas realizadas en el correspondiente concurso. Y po</w:t>
      </w:r>
      <w:r w:rsidRPr="000275E3">
        <w:rPr>
          <w:color w:val="000000"/>
          <w:sz w:val="22"/>
          <w:szCs w:val="22"/>
          <w:lang w:eastAsia="es-ES_tradnl"/>
        </w:rPr>
        <w:t>nderar es determinar el valor de una proposición y asignar, a cada una de las mismas, un valor distinto en función de sus características</w:t>
      </w:r>
      <w:r>
        <w:rPr>
          <w:color w:val="000000"/>
          <w:sz w:val="22"/>
          <w:szCs w:val="22"/>
          <w:lang w:eastAsia="es-ES_tradnl"/>
        </w:rPr>
        <w:t xml:space="preserve">, </w:t>
      </w:r>
      <w:r w:rsidRPr="000275E3">
        <w:rPr>
          <w:color w:val="000000"/>
          <w:sz w:val="22"/>
          <w:szCs w:val="22"/>
          <w:lang w:eastAsia="es-ES_tradnl"/>
        </w:rPr>
        <w:t>una vez examinadas y comparadas con detenimiento, y de forma objetiva y razonada, considerando, imparcialmente, los aspectos contrapuestos de las ofertas. La ponderación es imprescindible en la aplicación de los criterios de valoración, pues determina, a la postre, el resultado de la adjudicación. En este sentido la Administración goza de presunción de razonabilidad y certeza en sus valoraciones siempre que estas se hallen suficientemente motivadas, dado que la actuación de una potestad discrecional se legitima explicitando las razones que determinan la decisión con criterios de racionalidad.</w:t>
      </w:r>
    </w:p>
    <w:p w14:paraId="176F0203" w14:textId="28861094" w:rsidR="00E01514" w:rsidRPr="00E01514" w:rsidRDefault="008951E5" w:rsidP="00E015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both"/>
        <w:rPr>
          <w:color w:val="000000"/>
          <w:sz w:val="22"/>
          <w:szCs w:val="22"/>
          <w:lang w:eastAsia="es-ES_tradnl"/>
        </w:rPr>
      </w:pPr>
      <w:r w:rsidRPr="00E01514">
        <w:rPr>
          <w:color w:val="000000"/>
          <w:sz w:val="22"/>
          <w:szCs w:val="22"/>
          <w:lang w:eastAsia="es-ES_tradnl"/>
        </w:rPr>
        <w:t>D</w:t>
      </w:r>
      <w:r w:rsidR="008A1338" w:rsidRPr="00E01514">
        <w:rPr>
          <w:color w:val="000000"/>
          <w:sz w:val="22"/>
          <w:szCs w:val="22"/>
          <w:lang w:eastAsia="es-ES_tradnl"/>
        </w:rPr>
        <w:t>icho lo anterior</w:t>
      </w:r>
      <w:r w:rsidRPr="00E01514">
        <w:rPr>
          <w:color w:val="000000"/>
          <w:sz w:val="22"/>
          <w:szCs w:val="22"/>
          <w:lang w:eastAsia="es-ES_tradnl"/>
        </w:rPr>
        <w:t xml:space="preserve">, procede revisar si </w:t>
      </w:r>
      <w:r w:rsidR="00F47812" w:rsidRPr="00E01514">
        <w:rPr>
          <w:color w:val="000000"/>
          <w:sz w:val="22"/>
          <w:szCs w:val="22"/>
          <w:lang w:eastAsia="es-ES_tradnl"/>
        </w:rPr>
        <w:t xml:space="preserve">la </w:t>
      </w:r>
      <w:r w:rsidR="009F0653" w:rsidRPr="00E01514">
        <w:rPr>
          <w:color w:val="000000"/>
          <w:sz w:val="22"/>
          <w:szCs w:val="22"/>
          <w:lang w:eastAsia="es-ES_tradnl"/>
        </w:rPr>
        <w:t>evaluación de</w:t>
      </w:r>
      <w:r w:rsidR="00E01514" w:rsidRPr="00E01514">
        <w:rPr>
          <w:color w:val="000000"/>
          <w:sz w:val="22"/>
          <w:szCs w:val="22"/>
          <w:lang w:eastAsia="es-ES_tradnl"/>
        </w:rPr>
        <w:t>l</w:t>
      </w:r>
      <w:r w:rsidR="00902762" w:rsidRPr="00E01514">
        <w:rPr>
          <w:color w:val="000000"/>
          <w:sz w:val="22"/>
          <w:szCs w:val="22"/>
          <w:lang w:eastAsia="es-ES_tradnl"/>
        </w:rPr>
        <w:t xml:space="preserve"> ítem segundo </w:t>
      </w:r>
      <w:r w:rsidR="00E01514" w:rsidRPr="00E01514">
        <w:rPr>
          <w:color w:val="000000"/>
          <w:sz w:val="22"/>
          <w:szCs w:val="22"/>
          <w:lang w:eastAsia="es-ES_tradnl"/>
        </w:rPr>
        <w:t xml:space="preserve">“clasificación de dichas contingencias en base a la probabilidad de que ocurran y la gravedad de sus consecuencias”, valorable con hasta 6 puntos, y del </w:t>
      </w:r>
      <w:proofErr w:type="spellStart"/>
      <w:r w:rsidR="00E01514" w:rsidRPr="00E01514">
        <w:rPr>
          <w:color w:val="000000"/>
          <w:sz w:val="22"/>
          <w:szCs w:val="22"/>
          <w:lang w:eastAsia="es-ES_tradnl"/>
        </w:rPr>
        <w:t>item</w:t>
      </w:r>
      <w:proofErr w:type="spellEnd"/>
      <w:r w:rsidR="00E01514" w:rsidRPr="00E01514">
        <w:rPr>
          <w:color w:val="000000"/>
          <w:sz w:val="22"/>
          <w:szCs w:val="22"/>
          <w:lang w:eastAsia="es-ES_tradnl"/>
        </w:rPr>
        <w:t xml:space="preserve"> tercero “formulación de medidas y acciones para hacer frente a las incidencias previstas”, valorable con hasta 12 puntos, </w:t>
      </w:r>
      <w:r w:rsidR="009F0653" w:rsidRPr="00E01514">
        <w:rPr>
          <w:color w:val="000000"/>
          <w:sz w:val="22"/>
          <w:szCs w:val="22"/>
          <w:lang w:eastAsia="es-ES_tradnl"/>
        </w:rPr>
        <w:t xml:space="preserve">se realizó </w:t>
      </w:r>
      <w:r w:rsidR="00F94B34">
        <w:rPr>
          <w:color w:val="000000"/>
          <w:sz w:val="22"/>
          <w:szCs w:val="22"/>
          <w:lang w:eastAsia="es-ES_tradnl"/>
        </w:rPr>
        <w:t xml:space="preserve">adecuada y </w:t>
      </w:r>
      <w:r w:rsidR="00E01514" w:rsidRPr="00E01514">
        <w:rPr>
          <w:color w:val="000000"/>
          <w:sz w:val="22"/>
          <w:szCs w:val="22"/>
          <w:lang w:eastAsia="es-ES_tradnl"/>
        </w:rPr>
        <w:t xml:space="preserve">razonadamente </w:t>
      </w:r>
      <w:r w:rsidR="009F0653" w:rsidRPr="00E01514">
        <w:rPr>
          <w:color w:val="000000"/>
          <w:sz w:val="22"/>
          <w:szCs w:val="22"/>
          <w:lang w:eastAsia="es-ES_tradnl"/>
        </w:rPr>
        <w:t xml:space="preserve">sobre la memoria técnica presentada por la </w:t>
      </w:r>
      <w:r w:rsidR="00902762" w:rsidRPr="00E01514">
        <w:rPr>
          <w:color w:val="000000"/>
          <w:sz w:val="22"/>
          <w:szCs w:val="22"/>
          <w:lang w:eastAsia="es-ES_tradnl"/>
        </w:rPr>
        <w:t>recurrente</w:t>
      </w:r>
      <w:r w:rsidR="00E01514" w:rsidRPr="00E01514">
        <w:rPr>
          <w:color w:val="000000"/>
          <w:sz w:val="22"/>
          <w:szCs w:val="22"/>
          <w:lang w:eastAsia="es-ES_tradnl"/>
        </w:rPr>
        <w:t>.</w:t>
      </w:r>
    </w:p>
    <w:p w14:paraId="7EABF2F4" w14:textId="3CC7033F" w:rsidR="009F0653" w:rsidRPr="00236579" w:rsidRDefault="008A1338" w:rsidP="009F0653">
      <w:pPr>
        <w:spacing w:before="240"/>
        <w:jc w:val="both"/>
        <w:rPr>
          <w:sz w:val="22"/>
          <w:szCs w:val="22"/>
        </w:rPr>
      </w:pPr>
      <w:r w:rsidRPr="00833963">
        <w:rPr>
          <w:sz w:val="22"/>
          <w:szCs w:val="22"/>
        </w:rPr>
        <w:t xml:space="preserve">En </w:t>
      </w:r>
      <w:r w:rsidR="00902762">
        <w:rPr>
          <w:sz w:val="22"/>
          <w:szCs w:val="22"/>
        </w:rPr>
        <w:t>esta licitación</w:t>
      </w:r>
      <w:r>
        <w:rPr>
          <w:sz w:val="22"/>
          <w:szCs w:val="22"/>
        </w:rPr>
        <w:t>,</w:t>
      </w:r>
      <w:r w:rsidR="009F0653">
        <w:rPr>
          <w:sz w:val="22"/>
          <w:szCs w:val="22"/>
        </w:rPr>
        <w:t xml:space="preserve"> la memoria técnica </w:t>
      </w:r>
      <w:r>
        <w:rPr>
          <w:sz w:val="22"/>
          <w:szCs w:val="22"/>
        </w:rPr>
        <w:t xml:space="preserve">presentada </w:t>
      </w:r>
      <w:r w:rsidR="00902762">
        <w:rPr>
          <w:sz w:val="22"/>
          <w:szCs w:val="22"/>
        </w:rPr>
        <w:t xml:space="preserve">por la recurrente es </w:t>
      </w:r>
      <w:r>
        <w:rPr>
          <w:sz w:val="22"/>
          <w:szCs w:val="22"/>
        </w:rPr>
        <w:t xml:space="preserve">remitida </w:t>
      </w:r>
      <w:r w:rsidR="009F0653" w:rsidRPr="00236579">
        <w:rPr>
          <w:sz w:val="22"/>
          <w:szCs w:val="22"/>
        </w:rPr>
        <w:t xml:space="preserve">al Área de </w:t>
      </w:r>
      <w:r>
        <w:rPr>
          <w:sz w:val="22"/>
          <w:szCs w:val="22"/>
        </w:rPr>
        <w:t>C</w:t>
      </w:r>
      <w:r w:rsidR="009F0653" w:rsidRPr="00236579">
        <w:rPr>
          <w:sz w:val="22"/>
          <w:szCs w:val="22"/>
        </w:rPr>
        <w:t xml:space="preserve">ocina que, el 10 de julio </w:t>
      </w:r>
      <w:r w:rsidR="009F0653">
        <w:rPr>
          <w:sz w:val="22"/>
          <w:szCs w:val="22"/>
        </w:rPr>
        <w:t>de 2024</w:t>
      </w:r>
      <w:r>
        <w:rPr>
          <w:sz w:val="22"/>
          <w:szCs w:val="22"/>
        </w:rPr>
        <w:t xml:space="preserve">, </w:t>
      </w:r>
      <w:r w:rsidR="009F0653" w:rsidRPr="00236579">
        <w:rPr>
          <w:sz w:val="22"/>
          <w:szCs w:val="22"/>
        </w:rPr>
        <w:t xml:space="preserve">emite informe </w:t>
      </w:r>
      <w:r w:rsidR="009F0653">
        <w:rPr>
          <w:sz w:val="22"/>
          <w:szCs w:val="22"/>
        </w:rPr>
        <w:t xml:space="preserve">de valoración otorgando </w:t>
      </w:r>
      <w:r w:rsidR="009F0653" w:rsidRPr="00236579">
        <w:rPr>
          <w:sz w:val="22"/>
          <w:szCs w:val="22"/>
        </w:rPr>
        <w:t>la</w:t>
      </w:r>
      <w:r w:rsidR="00902762">
        <w:rPr>
          <w:sz w:val="22"/>
          <w:szCs w:val="22"/>
        </w:rPr>
        <w:t xml:space="preserve"> puntuación de</w:t>
      </w:r>
      <w:r w:rsidR="00FB47C8">
        <w:rPr>
          <w:sz w:val="22"/>
          <w:szCs w:val="22"/>
        </w:rPr>
        <w:t xml:space="preserve"> 1 punto en el segundo </w:t>
      </w:r>
      <w:proofErr w:type="spellStart"/>
      <w:r w:rsidR="00FB47C8">
        <w:rPr>
          <w:sz w:val="22"/>
          <w:szCs w:val="22"/>
        </w:rPr>
        <w:t>item</w:t>
      </w:r>
      <w:proofErr w:type="spellEnd"/>
      <w:r w:rsidR="00FB47C8">
        <w:rPr>
          <w:sz w:val="22"/>
          <w:szCs w:val="22"/>
        </w:rPr>
        <w:t xml:space="preserve"> “clasificación de las contingencias en base a la probabilidad de que ocurran y la gravedad de sus consecuencias” y de 9 puntos en el tercer </w:t>
      </w:r>
      <w:proofErr w:type="spellStart"/>
      <w:r w:rsidR="00FB47C8">
        <w:rPr>
          <w:sz w:val="22"/>
          <w:szCs w:val="22"/>
        </w:rPr>
        <w:t>item</w:t>
      </w:r>
      <w:proofErr w:type="spellEnd"/>
      <w:r w:rsidR="00FB47C8">
        <w:rPr>
          <w:sz w:val="22"/>
          <w:szCs w:val="22"/>
        </w:rPr>
        <w:t xml:space="preserve"> “formulación de medidas y acciones para hacer frente a las incidencias previstas”.</w:t>
      </w:r>
      <w:r w:rsidR="00902762">
        <w:rPr>
          <w:sz w:val="22"/>
          <w:szCs w:val="22"/>
        </w:rPr>
        <w:t xml:space="preserve"> </w:t>
      </w:r>
    </w:p>
    <w:p w14:paraId="44AA64A3" w14:textId="7FF54712" w:rsidR="0017365E" w:rsidRDefault="008C3719" w:rsidP="0017365E">
      <w:pPr>
        <w:pStyle w:val="Cuerpo"/>
        <w:spacing w:before="120" w:after="120"/>
        <w:jc w:val="both"/>
        <w:rPr>
          <w:sz w:val="22"/>
          <w:szCs w:val="22"/>
        </w:rPr>
      </w:pPr>
      <w:r>
        <w:rPr>
          <w:sz w:val="22"/>
          <w:szCs w:val="22"/>
        </w:rPr>
        <w:t>A</w:t>
      </w:r>
      <w:r w:rsidR="00902762" w:rsidRPr="0017365E">
        <w:rPr>
          <w:sz w:val="22"/>
          <w:szCs w:val="22"/>
        </w:rPr>
        <w:t xml:space="preserve">sí, </w:t>
      </w:r>
      <w:r w:rsidR="00A93BA4">
        <w:rPr>
          <w:sz w:val="22"/>
          <w:szCs w:val="22"/>
        </w:rPr>
        <w:t xml:space="preserve">como quiera que </w:t>
      </w:r>
      <w:r w:rsidR="00D368DA" w:rsidRPr="0017365E">
        <w:rPr>
          <w:sz w:val="22"/>
          <w:szCs w:val="22"/>
        </w:rPr>
        <w:t xml:space="preserve">en la </w:t>
      </w:r>
      <w:r w:rsidR="00902762" w:rsidRPr="0017365E">
        <w:rPr>
          <w:sz w:val="22"/>
          <w:szCs w:val="22"/>
        </w:rPr>
        <w:t xml:space="preserve">memoria </w:t>
      </w:r>
      <w:r w:rsidR="00D368DA" w:rsidRPr="0017365E">
        <w:rPr>
          <w:sz w:val="22"/>
          <w:szCs w:val="22"/>
        </w:rPr>
        <w:t>se menciona de manera genérica la activación del plan de alertas sanitarias cuando el riesgo detectado es grave, sin mayor concreción.</w:t>
      </w:r>
      <w:r w:rsidR="0017365E" w:rsidRPr="0017365E">
        <w:rPr>
          <w:sz w:val="22"/>
          <w:szCs w:val="22"/>
        </w:rPr>
        <w:t xml:space="preserve"> </w:t>
      </w:r>
      <w:r w:rsidR="00A93BA4">
        <w:rPr>
          <w:sz w:val="22"/>
          <w:szCs w:val="22"/>
        </w:rPr>
        <w:t>el</w:t>
      </w:r>
      <w:r w:rsidR="00A93BA4" w:rsidRPr="0017365E">
        <w:rPr>
          <w:sz w:val="22"/>
          <w:szCs w:val="22"/>
        </w:rPr>
        <w:t xml:space="preserve"> segundo </w:t>
      </w:r>
      <w:proofErr w:type="spellStart"/>
      <w:r w:rsidR="00A93BA4" w:rsidRPr="0017365E">
        <w:rPr>
          <w:sz w:val="22"/>
          <w:szCs w:val="22"/>
        </w:rPr>
        <w:t>item</w:t>
      </w:r>
      <w:proofErr w:type="spellEnd"/>
      <w:r w:rsidR="00A93BA4">
        <w:rPr>
          <w:sz w:val="22"/>
          <w:szCs w:val="22"/>
        </w:rPr>
        <w:t xml:space="preserve"> es valorado con 1 punto. </w:t>
      </w:r>
    </w:p>
    <w:p w14:paraId="3F853D37" w14:textId="14E17FF6" w:rsidR="00D368DA" w:rsidRPr="0017365E" w:rsidRDefault="00D368DA" w:rsidP="0017365E">
      <w:pPr>
        <w:pStyle w:val="Cuerpo"/>
        <w:spacing w:before="120" w:after="120"/>
        <w:jc w:val="both"/>
        <w:rPr>
          <w:sz w:val="22"/>
          <w:szCs w:val="22"/>
        </w:rPr>
      </w:pPr>
      <w:r w:rsidRPr="0017365E">
        <w:rPr>
          <w:sz w:val="22"/>
          <w:szCs w:val="22"/>
        </w:rPr>
        <w:t xml:space="preserve">Y en cuanto al </w:t>
      </w:r>
      <w:r w:rsidR="0017365E" w:rsidRPr="0017365E">
        <w:rPr>
          <w:sz w:val="22"/>
          <w:szCs w:val="22"/>
        </w:rPr>
        <w:t>tercer</w:t>
      </w:r>
      <w:r w:rsidRPr="0017365E">
        <w:rPr>
          <w:sz w:val="22"/>
          <w:szCs w:val="22"/>
        </w:rPr>
        <w:t xml:space="preserve"> </w:t>
      </w:r>
      <w:proofErr w:type="spellStart"/>
      <w:r w:rsidRPr="0017365E">
        <w:rPr>
          <w:sz w:val="22"/>
          <w:szCs w:val="22"/>
        </w:rPr>
        <w:t>item</w:t>
      </w:r>
      <w:proofErr w:type="spellEnd"/>
      <w:r w:rsidR="00E01514">
        <w:rPr>
          <w:sz w:val="22"/>
          <w:szCs w:val="22"/>
        </w:rPr>
        <w:t>,</w:t>
      </w:r>
      <w:r w:rsidR="0017365E">
        <w:rPr>
          <w:sz w:val="22"/>
          <w:szCs w:val="22"/>
        </w:rPr>
        <w:t xml:space="preserve"> </w:t>
      </w:r>
      <w:r w:rsidR="00A93BA4">
        <w:rPr>
          <w:sz w:val="22"/>
          <w:szCs w:val="22"/>
        </w:rPr>
        <w:t xml:space="preserve">es </w:t>
      </w:r>
      <w:r w:rsidR="0017365E">
        <w:rPr>
          <w:sz w:val="22"/>
          <w:szCs w:val="22"/>
        </w:rPr>
        <w:t>valorado con 9 puntos</w:t>
      </w:r>
      <w:r w:rsidR="00A93BA4">
        <w:rPr>
          <w:sz w:val="22"/>
          <w:szCs w:val="22"/>
        </w:rPr>
        <w:t xml:space="preserve"> porque </w:t>
      </w:r>
      <w:r w:rsidRPr="0017365E">
        <w:rPr>
          <w:sz w:val="22"/>
          <w:szCs w:val="22"/>
        </w:rPr>
        <w:t xml:space="preserve">en relación a los riesgos surgidos en las fases operativas o etapas del </w:t>
      </w:r>
      <w:r w:rsidR="0017365E" w:rsidRPr="0017365E">
        <w:rPr>
          <w:sz w:val="22"/>
          <w:szCs w:val="22"/>
        </w:rPr>
        <w:t>diagrama</w:t>
      </w:r>
      <w:r w:rsidRPr="0017365E">
        <w:rPr>
          <w:sz w:val="22"/>
          <w:szCs w:val="22"/>
        </w:rPr>
        <w:t xml:space="preserve"> de </w:t>
      </w:r>
      <w:r w:rsidR="00A93BA4">
        <w:rPr>
          <w:sz w:val="22"/>
          <w:szCs w:val="22"/>
        </w:rPr>
        <w:t>f</w:t>
      </w:r>
      <w:r w:rsidRPr="0017365E">
        <w:rPr>
          <w:sz w:val="22"/>
          <w:szCs w:val="22"/>
        </w:rPr>
        <w:t xml:space="preserve">lujo general, </w:t>
      </w:r>
      <w:r w:rsidR="0017365E" w:rsidRPr="0017365E">
        <w:rPr>
          <w:sz w:val="22"/>
          <w:szCs w:val="22"/>
        </w:rPr>
        <w:t>describen</w:t>
      </w:r>
      <w:r w:rsidR="0017365E">
        <w:rPr>
          <w:sz w:val="22"/>
          <w:szCs w:val="22"/>
        </w:rPr>
        <w:t xml:space="preserve"> </w:t>
      </w:r>
      <w:r w:rsidRPr="0017365E">
        <w:rPr>
          <w:sz w:val="22"/>
          <w:szCs w:val="22"/>
        </w:rPr>
        <w:t xml:space="preserve">la forma de proceder en cada una de las etapas, identificando los riesgos potenciales en cada </w:t>
      </w:r>
      <w:proofErr w:type="gramStart"/>
      <w:r w:rsidRPr="0017365E">
        <w:rPr>
          <w:sz w:val="22"/>
          <w:szCs w:val="22"/>
        </w:rPr>
        <w:t>uno de ellas</w:t>
      </w:r>
      <w:proofErr w:type="gramEnd"/>
      <w:r w:rsidRPr="0017365E">
        <w:rPr>
          <w:sz w:val="22"/>
          <w:szCs w:val="22"/>
        </w:rPr>
        <w:t xml:space="preserve"> y </w:t>
      </w:r>
      <w:r w:rsidR="0017365E" w:rsidRPr="0017365E">
        <w:rPr>
          <w:sz w:val="22"/>
          <w:szCs w:val="22"/>
        </w:rPr>
        <w:t>definiendo</w:t>
      </w:r>
      <w:r w:rsidRPr="0017365E">
        <w:rPr>
          <w:sz w:val="22"/>
          <w:szCs w:val="22"/>
        </w:rPr>
        <w:t xml:space="preserve"> las medidas preventivas que adoptan para evitar dichos riesgos potenciales. </w:t>
      </w:r>
      <w:r w:rsidR="0017365E" w:rsidRPr="0017365E">
        <w:rPr>
          <w:sz w:val="22"/>
          <w:szCs w:val="22"/>
        </w:rPr>
        <w:t xml:space="preserve">Se </w:t>
      </w:r>
      <w:proofErr w:type="gramStart"/>
      <w:r w:rsidR="0017365E" w:rsidRPr="0017365E">
        <w:rPr>
          <w:sz w:val="22"/>
          <w:szCs w:val="22"/>
        </w:rPr>
        <w:t>trata</w:t>
      </w:r>
      <w:proofErr w:type="gramEnd"/>
      <w:r w:rsidR="0017365E" w:rsidRPr="0017365E">
        <w:rPr>
          <w:sz w:val="22"/>
          <w:szCs w:val="22"/>
        </w:rPr>
        <w:t xml:space="preserve"> por tanto, de medidas preventivas más que reactivas ante incidencias potenciales</w:t>
      </w:r>
      <w:r w:rsidR="0017365E">
        <w:rPr>
          <w:sz w:val="22"/>
          <w:szCs w:val="22"/>
        </w:rPr>
        <w:t>. Y en el</w:t>
      </w:r>
      <w:r w:rsidR="0017365E" w:rsidRPr="0017365E">
        <w:rPr>
          <w:sz w:val="22"/>
          <w:szCs w:val="22"/>
        </w:rPr>
        <w:t xml:space="preserve"> </w:t>
      </w:r>
      <w:r w:rsidR="0017365E">
        <w:rPr>
          <w:sz w:val="22"/>
          <w:szCs w:val="22"/>
        </w:rPr>
        <w:t xml:space="preserve">ámbito del plan de alerta sanitaria, describen de manera exhaustiva el procedimiento a seguir en caso de cualquier incidencia, que </w:t>
      </w:r>
      <w:proofErr w:type="gramStart"/>
      <w:r w:rsidR="0017365E">
        <w:rPr>
          <w:sz w:val="22"/>
          <w:szCs w:val="22"/>
        </w:rPr>
        <w:t>les</w:t>
      </w:r>
      <w:proofErr w:type="gramEnd"/>
      <w:r w:rsidR="0017365E">
        <w:rPr>
          <w:sz w:val="22"/>
          <w:szCs w:val="22"/>
        </w:rPr>
        <w:t xml:space="preserve"> lleva a evaluar y decidir en consecuencia la actuación necesaria: Inmovilización / Retirada/Recuperación /Otra. Incluyen el plan de comunicación como una de las actuaciones relevantes dentro del plan.</w:t>
      </w:r>
    </w:p>
    <w:p w14:paraId="3838DC39" w14:textId="7D87B765" w:rsidR="008C3719" w:rsidRDefault="008C3719" w:rsidP="008C3719">
      <w:pPr>
        <w:pStyle w:val="Cuerpo"/>
        <w:spacing w:before="120" w:after="120"/>
        <w:jc w:val="both"/>
        <w:rPr>
          <w:sz w:val="22"/>
          <w:szCs w:val="22"/>
        </w:rPr>
      </w:pPr>
      <w:r>
        <w:rPr>
          <w:sz w:val="22"/>
          <w:szCs w:val="22"/>
        </w:rPr>
        <w:t>S</w:t>
      </w:r>
      <w:r w:rsidRPr="0017365E">
        <w:rPr>
          <w:sz w:val="22"/>
          <w:szCs w:val="22"/>
        </w:rPr>
        <w:t>e constata</w:t>
      </w:r>
      <w:r>
        <w:rPr>
          <w:sz w:val="22"/>
          <w:szCs w:val="22"/>
        </w:rPr>
        <w:t xml:space="preserve">, por tanto, </w:t>
      </w:r>
      <w:r w:rsidRPr="0017365E">
        <w:rPr>
          <w:sz w:val="22"/>
          <w:szCs w:val="22"/>
        </w:rPr>
        <w:t>que el informe técnico de valoración del Área de Cocina, asumido por la Mesa de Contratación, precisa y explicita las razones que conducen a estas puntuaciones obtenidas por la recurrente a la hora de valorar la memoria técnica</w:t>
      </w:r>
      <w:r w:rsidR="00E01514">
        <w:rPr>
          <w:sz w:val="22"/>
          <w:szCs w:val="22"/>
        </w:rPr>
        <w:t xml:space="preserve"> por ella presentada</w:t>
      </w:r>
      <w:r w:rsidRPr="0017365E">
        <w:rPr>
          <w:sz w:val="22"/>
          <w:szCs w:val="22"/>
        </w:rPr>
        <w:t xml:space="preserve">. </w:t>
      </w:r>
    </w:p>
    <w:p w14:paraId="7B977DF0" w14:textId="460D4009" w:rsidR="0017365E" w:rsidRPr="008254D8" w:rsidRDefault="0017365E" w:rsidP="0017365E">
      <w:pPr>
        <w:pStyle w:val="Cuerpo"/>
        <w:spacing w:before="120" w:after="120"/>
        <w:jc w:val="both"/>
        <w:rPr>
          <w:rStyle w:val="Nmerodepgina"/>
          <w:rFonts w:eastAsiaTheme="majorEastAsia"/>
          <w:sz w:val="22"/>
          <w:szCs w:val="22"/>
        </w:rPr>
      </w:pPr>
      <w:r w:rsidRPr="008254D8">
        <w:rPr>
          <w:rStyle w:val="Nmerodepgina"/>
          <w:rFonts w:eastAsiaTheme="majorEastAsia"/>
          <w:sz w:val="22"/>
          <w:szCs w:val="22"/>
        </w:rPr>
        <w:lastRenderedPageBreak/>
        <w:t xml:space="preserve">En definitiva, concluimos que la puntuación de los </w:t>
      </w:r>
      <w:proofErr w:type="spellStart"/>
      <w:r w:rsidRPr="008254D8">
        <w:rPr>
          <w:rStyle w:val="Nmerodepgina"/>
          <w:rFonts w:eastAsiaTheme="majorEastAsia"/>
          <w:sz w:val="22"/>
          <w:szCs w:val="22"/>
        </w:rPr>
        <w:t>item</w:t>
      </w:r>
      <w:proofErr w:type="spellEnd"/>
      <w:r w:rsidRPr="008254D8">
        <w:rPr>
          <w:rStyle w:val="Nmerodepgina"/>
          <w:rFonts w:eastAsiaTheme="majorEastAsia"/>
          <w:sz w:val="22"/>
          <w:szCs w:val="22"/>
        </w:rPr>
        <w:t xml:space="preserve"> segundo y tercero se ha realizado y ponderado </w:t>
      </w:r>
      <w:r w:rsidR="00A93BA4" w:rsidRPr="008254D8">
        <w:rPr>
          <w:rStyle w:val="Nmerodepgina"/>
          <w:rFonts w:eastAsiaTheme="majorEastAsia"/>
          <w:sz w:val="22"/>
          <w:szCs w:val="22"/>
        </w:rPr>
        <w:t>dentro de los límites de la discrecionalidad técnica que asiste a los órganos evaluadores</w:t>
      </w:r>
      <w:r w:rsidR="00A93BA4">
        <w:rPr>
          <w:rStyle w:val="Nmerodepgina"/>
          <w:rFonts w:eastAsiaTheme="majorEastAsia"/>
          <w:sz w:val="22"/>
          <w:szCs w:val="22"/>
        </w:rPr>
        <w:t xml:space="preserve">, </w:t>
      </w:r>
      <w:r w:rsidRPr="008254D8">
        <w:rPr>
          <w:rStyle w:val="Nmerodepgina"/>
          <w:rFonts w:eastAsiaTheme="majorEastAsia"/>
          <w:sz w:val="22"/>
          <w:szCs w:val="22"/>
        </w:rPr>
        <w:t>de acuerdo con de la memoria técnica aportada por la recurrente que reconoce podría haber sido más extensa o específica</w:t>
      </w:r>
      <w:r w:rsidR="00A93BA4">
        <w:rPr>
          <w:rStyle w:val="Nmerodepgina"/>
          <w:rFonts w:eastAsiaTheme="majorEastAsia"/>
          <w:sz w:val="22"/>
          <w:szCs w:val="22"/>
        </w:rPr>
        <w:t>.</w:t>
      </w:r>
      <w:r w:rsidRPr="008254D8">
        <w:rPr>
          <w:rStyle w:val="Nmerodepgina"/>
          <w:rFonts w:eastAsiaTheme="majorEastAsia"/>
          <w:sz w:val="22"/>
          <w:szCs w:val="22"/>
        </w:rPr>
        <w:t xml:space="preserve"> </w:t>
      </w:r>
    </w:p>
    <w:p w14:paraId="7565E7E7" w14:textId="653E34A5" w:rsidR="008951E5" w:rsidRPr="00E01514" w:rsidRDefault="0017365E" w:rsidP="008951E5">
      <w:pPr>
        <w:pStyle w:val="Cuerpo"/>
        <w:spacing w:before="120" w:after="120"/>
        <w:jc w:val="both"/>
        <w:rPr>
          <w:rStyle w:val="Nmerodepgina"/>
          <w:rFonts w:eastAsiaTheme="majorEastAsia"/>
          <w:b/>
          <w:bCs/>
          <w:sz w:val="22"/>
          <w:szCs w:val="22"/>
        </w:rPr>
      </w:pPr>
      <w:r>
        <w:rPr>
          <w:sz w:val="22"/>
          <w:szCs w:val="22"/>
        </w:rPr>
        <w:t>Por último, a</w:t>
      </w:r>
      <w:r w:rsidR="008951E5">
        <w:rPr>
          <w:sz w:val="22"/>
          <w:szCs w:val="22"/>
        </w:rPr>
        <w:t xml:space="preserve">ñadir a lo </w:t>
      </w:r>
      <w:r>
        <w:rPr>
          <w:sz w:val="22"/>
          <w:szCs w:val="22"/>
        </w:rPr>
        <w:t>expuesto</w:t>
      </w:r>
      <w:r w:rsidR="008951E5">
        <w:rPr>
          <w:sz w:val="22"/>
          <w:szCs w:val="22"/>
        </w:rPr>
        <w:t xml:space="preserve"> que </w:t>
      </w:r>
      <w:r w:rsidR="008951E5" w:rsidRPr="00B9621F">
        <w:rPr>
          <w:sz w:val="22"/>
          <w:szCs w:val="22"/>
        </w:rPr>
        <w:t xml:space="preserve">la recurrente no ha aportado prueba </w:t>
      </w:r>
      <w:r w:rsidR="008951E5">
        <w:rPr>
          <w:sz w:val="22"/>
          <w:szCs w:val="22"/>
        </w:rPr>
        <w:t>al</w:t>
      </w:r>
      <w:r w:rsidR="008951E5" w:rsidRPr="00B9621F">
        <w:rPr>
          <w:sz w:val="22"/>
          <w:szCs w:val="22"/>
        </w:rPr>
        <w:t xml:space="preserve">guna que pudiera servir para destruir </w:t>
      </w:r>
      <w:r w:rsidR="008951E5" w:rsidRPr="00E01514">
        <w:rPr>
          <w:sz w:val="22"/>
          <w:szCs w:val="22"/>
        </w:rPr>
        <w:t xml:space="preserve">la presunción de acierto y veracidad de la que gozan los informes técnicos de la Administración de </w:t>
      </w:r>
      <w:r w:rsidR="008951E5" w:rsidRPr="00E01514">
        <w:rPr>
          <w:rStyle w:val="Nmerodepgina"/>
          <w:rFonts w:eastAsiaTheme="majorEastAsia"/>
          <w:sz w:val="22"/>
          <w:szCs w:val="22"/>
        </w:rPr>
        <w:t>modo que no se desvirtúa la presunción iuris tantum de la que disfrutan los órganos de contratación a la hora de realizar las valoraciones de los criterios sometidos a juicios de valor</w:t>
      </w:r>
      <w:r w:rsidRPr="00E01514">
        <w:rPr>
          <w:rStyle w:val="Nmerodepgina"/>
          <w:rFonts w:eastAsiaTheme="majorEastAsia"/>
          <w:sz w:val="22"/>
          <w:szCs w:val="22"/>
        </w:rPr>
        <w:t xml:space="preserve"> </w:t>
      </w:r>
      <w:proofErr w:type="gramStart"/>
      <w:r w:rsidR="00E01514">
        <w:rPr>
          <w:rStyle w:val="Nmerodepgina"/>
          <w:rFonts w:eastAsiaTheme="majorEastAsia"/>
          <w:sz w:val="22"/>
          <w:szCs w:val="22"/>
        </w:rPr>
        <w:t xml:space="preserve">( </w:t>
      </w:r>
      <w:r w:rsidRPr="00E01514">
        <w:rPr>
          <w:rStyle w:val="Nmerodepgina"/>
          <w:rFonts w:eastAsiaTheme="majorEastAsia"/>
          <w:sz w:val="22"/>
          <w:szCs w:val="22"/>
        </w:rPr>
        <w:t>p</w:t>
      </w:r>
      <w:r w:rsidR="008951E5" w:rsidRPr="00E01514">
        <w:rPr>
          <w:rStyle w:val="Nmerodepgina"/>
          <w:rFonts w:eastAsiaTheme="majorEastAsia"/>
          <w:sz w:val="22"/>
          <w:szCs w:val="22"/>
        </w:rPr>
        <w:t>or</w:t>
      </w:r>
      <w:proofErr w:type="gramEnd"/>
      <w:r w:rsidR="008951E5" w:rsidRPr="00E01514">
        <w:rPr>
          <w:rStyle w:val="Nmerodepgina"/>
          <w:rFonts w:eastAsiaTheme="majorEastAsia"/>
          <w:sz w:val="22"/>
          <w:szCs w:val="22"/>
        </w:rPr>
        <w:t xml:space="preserve"> todas, Resolución del TACRC nº 980/2019, de 6 de septiembre</w:t>
      </w:r>
      <w:r w:rsidR="00E01514">
        <w:rPr>
          <w:rStyle w:val="Nmerodepgina"/>
          <w:rFonts w:eastAsiaTheme="majorEastAsia"/>
          <w:sz w:val="22"/>
          <w:szCs w:val="22"/>
        </w:rPr>
        <w:t>)</w:t>
      </w:r>
      <w:r w:rsidR="008951E5" w:rsidRPr="00E01514">
        <w:rPr>
          <w:rStyle w:val="Nmerodepgina"/>
          <w:rFonts w:eastAsiaTheme="majorEastAsia"/>
          <w:sz w:val="22"/>
          <w:szCs w:val="22"/>
        </w:rPr>
        <w:t>.</w:t>
      </w:r>
    </w:p>
    <w:p w14:paraId="397FB94C" w14:textId="77777777" w:rsidR="008951E5" w:rsidRPr="005D07A4" w:rsidRDefault="008951E5" w:rsidP="008951E5">
      <w:pPr>
        <w:pStyle w:val="Cuerpo"/>
        <w:spacing w:before="120" w:after="120"/>
        <w:jc w:val="both"/>
        <w:rPr>
          <w:sz w:val="22"/>
          <w:szCs w:val="22"/>
        </w:rPr>
      </w:pPr>
      <w:r w:rsidRPr="007F0F53">
        <w:rPr>
          <w:sz w:val="22"/>
          <w:szCs w:val="22"/>
        </w:rPr>
        <w:t>Vistos los preceptos legales de aplicación, previa deliberación</w:t>
      </w:r>
      <w:r>
        <w:rPr>
          <w:sz w:val="22"/>
          <w:szCs w:val="22"/>
        </w:rPr>
        <w:t xml:space="preserve"> en el día de hoy y por unanimidad, </w:t>
      </w:r>
      <w:r w:rsidRPr="005D07A4">
        <w:rPr>
          <w:sz w:val="22"/>
          <w:szCs w:val="22"/>
        </w:rPr>
        <w:t>este Tribunal emite la siguiente</w:t>
      </w:r>
    </w:p>
    <w:p w14:paraId="73F46A94" w14:textId="77777777" w:rsidR="008951E5" w:rsidRDefault="008951E5" w:rsidP="008951E5">
      <w:pPr>
        <w:autoSpaceDE w:val="0"/>
        <w:autoSpaceDN w:val="0"/>
        <w:adjustRightInd w:val="0"/>
        <w:spacing w:before="120" w:after="120"/>
        <w:jc w:val="both"/>
        <w:rPr>
          <w:sz w:val="22"/>
          <w:szCs w:val="22"/>
        </w:rPr>
      </w:pPr>
    </w:p>
    <w:p w14:paraId="02A9A508" w14:textId="77777777" w:rsidR="008951E5" w:rsidRDefault="008951E5" w:rsidP="008951E5">
      <w:pPr>
        <w:autoSpaceDE w:val="0"/>
        <w:autoSpaceDN w:val="0"/>
        <w:adjustRightInd w:val="0"/>
        <w:spacing w:before="120" w:after="120"/>
        <w:jc w:val="center"/>
        <w:rPr>
          <w:b/>
          <w:sz w:val="22"/>
          <w:szCs w:val="22"/>
          <w:u w:val="single"/>
        </w:rPr>
      </w:pPr>
      <w:r>
        <w:rPr>
          <w:b/>
          <w:sz w:val="22"/>
          <w:szCs w:val="22"/>
          <w:u w:val="single"/>
        </w:rPr>
        <w:t>RESOLUCIÓN</w:t>
      </w:r>
    </w:p>
    <w:p w14:paraId="412CE1B9" w14:textId="77777777" w:rsidR="008951E5" w:rsidRDefault="008951E5" w:rsidP="008951E5">
      <w:pPr>
        <w:autoSpaceDE w:val="0"/>
        <w:autoSpaceDN w:val="0"/>
        <w:adjustRightInd w:val="0"/>
        <w:spacing w:before="120" w:after="120"/>
        <w:jc w:val="both"/>
        <w:rPr>
          <w:sz w:val="22"/>
          <w:szCs w:val="22"/>
        </w:rPr>
      </w:pPr>
    </w:p>
    <w:p w14:paraId="29B442FF" w14:textId="7B1CE258" w:rsidR="007D6E04" w:rsidRDefault="008951E5" w:rsidP="008951E5">
      <w:pPr>
        <w:spacing w:before="120" w:after="120"/>
        <w:jc w:val="both"/>
        <w:rPr>
          <w:sz w:val="22"/>
          <w:szCs w:val="22"/>
        </w:rPr>
      </w:pPr>
      <w:proofErr w:type="gramStart"/>
      <w:r>
        <w:rPr>
          <w:b/>
          <w:sz w:val="22"/>
          <w:szCs w:val="22"/>
        </w:rPr>
        <w:t>Primero.-</w:t>
      </w:r>
      <w:proofErr w:type="gramEnd"/>
      <w:r>
        <w:rPr>
          <w:sz w:val="22"/>
          <w:szCs w:val="22"/>
        </w:rPr>
        <w:t xml:space="preserve"> Desestimar el r</w:t>
      </w:r>
      <w:r w:rsidRPr="00833963">
        <w:rPr>
          <w:sz w:val="22"/>
          <w:szCs w:val="22"/>
        </w:rPr>
        <w:t xml:space="preserve">ecurso </w:t>
      </w:r>
      <w:r>
        <w:rPr>
          <w:sz w:val="22"/>
          <w:szCs w:val="22"/>
        </w:rPr>
        <w:t>e</w:t>
      </w:r>
      <w:r w:rsidRPr="00833963">
        <w:rPr>
          <w:sz w:val="22"/>
          <w:szCs w:val="22"/>
        </w:rPr>
        <w:t xml:space="preserve">special en materia de contratación interpuesto </w:t>
      </w:r>
      <w:r w:rsidR="007D6E04" w:rsidRPr="000755DF">
        <w:rPr>
          <w:sz w:val="22"/>
          <w:szCs w:val="22"/>
        </w:rPr>
        <w:t>por CONGELADOS BEDARONA, S.L.U.</w:t>
      </w:r>
      <w:r w:rsidR="007D6E04" w:rsidRPr="000755DF">
        <w:rPr>
          <w:bCs/>
          <w:sz w:val="22"/>
          <w:szCs w:val="22"/>
        </w:rPr>
        <w:t xml:space="preserve">, </w:t>
      </w:r>
      <w:r w:rsidR="007D6E04" w:rsidRPr="000755DF">
        <w:rPr>
          <w:sz w:val="22"/>
          <w:szCs w:val="22"/>
        </w:rPr>
        <w:t>contra el Acuerdo del Consejo de Administración del Instituto Foral de Bienestar Social de Álava</w:t>
      </w:r>
      <w:r w:rsidR="00E01514">
        <w:rPr>
          <w:sz w:val="22"/>
          <w:szCs w:val="22"/>
        </w:rPr>
        <w:t>, de 27 de enero de 2025,</w:t>
      </w:r>
      <w:r w:rsidR="007D6E04" w:rsidRPr="000755DF">
        <w:rPr>
          <w:sz w:val="22"/>
          <w:szCs w:val="22"/>
        </w:rPr>
        <w:t xml:space="preserve"> de adjudicación del contrato de acuerdo marco para el suministro de productos congelados de alimentación (lote 1, lote 2 y lote 4) a las residencias y centros dependientes del I</w:t>
      </w:r>
      <w:r w:rsidR="00F94B34">
        <w:rPr>
          <w:sz w:val="22"/>
          <w:szCs w:val="22"/>
        </w:rPr>
        <w:t>FBS</w:t>
      </w:r>
      <w:r w:rsidR="007D6E04" w:rsidRPr="000755DF">
        <w:rPr>
          <w:sz w:val="22"/>
          <w:szCs w:val="22"/>
        </w:rPr>
        <w:t xml:space="preserve"> e INDESA, 2010, </w:t>
      </w:r>
    </w:p>
    <w:p w14:paraId="2B202EBC" w14:textId="2D308BF8" w:rsidR="008951E5" w:rsidRDefault="008951E5" w:rsidP="008951E5">
      <w:pPr>
        <w:autoSpaceDE w:val="0"/>
        <w:autoSpaceDN w:val="0"/>
        <w:adjustRightInd w:val="0"/>
        <w:spacing w:before="120" w:after="120"/>
        <w:jc w:val="both"/>
        <w:rPr>
          <w:sz w:val="22"/>
          <w:szCs w:val="22"/>
        </w:rPr>
      </w:pPr>
      <w:proofErr w:type="gramStart"/>
      <w:r>
        <w:rPr>
          <w:b/>
          <w:sz w:val="22"/>
          <w:szCs w:val="22"/>
        </w:rPr>
        <w:t>Segundo.</w:t>
      </w:r>
      <w:r>
        <w:rPr>
          <w:sz w:val="22"/>
          <w:szCs w:val="22"/>
        </w:rPr>
        <w:t>-</w:t>
      </w:r>
      <w:proofErr w:type="gramEnd"/>
      <w:r>
        <w:rPr>
          <w:sz w:val="22"/>
          <w:szCs w:val="22"/>
        </w:rPr>
        <w:t xml:space="preserve"> Levantar la suspensión del procedimiento acordada por Resolución 1/20</w:t>
      </w:r>
      <w:r w:rsidR="0065759A">
        <w:rPr>
          <w:sz w:val="22"/>
          <w:szCs w:val="22"/>
        </w:rPr>
        <w:t>25</w:t>
      </w:r>
      <w:r>
        <w:rPr>
          <w:sz w:val="22"/>
          <w:szCs w:val="22"/>
        </w:rPr>
        <w:t xml:space="preserve">, de </w:t>
      </w:r>
      <w:r w:rsidR="0065759A">
        <w:rPr>
          <w:sz w:val="22"/>
          <w:szCs w:val="22"/>
        </w:rPr>
        <w:t>20</w:t>
      </w:r>
      <w:r>
        <w:rPr>
          <w:sz w:val="22"/>
          <w:szCs w:val="22"/>
        </w:rPr>
        <w:t xml:space="preserve"> de </w:t>
      </w:r>
      <w:r w:rsidR="0065759A">
        <w:rPr>
          <w:sz w:val="22"/>
          <w:szCs w:val="22"/>
        </w:rPr>
        <w:t>febrero</w:t>
      </w:r>
      <w:r>
        <w:rPr>
          <w:sz w:val="22"/>
          <w:szCs w:val="22"/>
        </w:rPr>
        <w:t>.</w:t>
      </w:r>
    </w:p>
    <w:p w14:paraId="0CADB4F2" w14:textId="77777777" w:rsidR="008951E5" w:rsidRDefault="008951E5" w:rsidP="008951E5">
      <w:pPr>
        <w:autoSpaceDE w:val="0"/>
        <w:autoSpaceDN w:val="0"/>
        <w:adjustRightInd w:val="0"/>
        <w:spacing w:before="120" w:after="120"/>
        <w:jc w:val="both"/>
        <w:rPr>
          <w:sz w:val="22"/>
          <w:szCs w:val="22"/>
        </w:rPr>
      </w:pPr>
      <w:proofErr w:type="gramStart"/>
      <w:r>
        <w:rPr>
          <w:b/>
          <w:sz w:val="22"/>
          <w:szCs w:val="22"/>
        </w:rPr>
        <w:t>Tercero.-</w:t>
      </w:r>
      <w:proofErr w:type="gramEnd"/>
      <w:r>
        <w:rPr>
          <w:sz w:val="22"/>
          <w:szCs w:val="22"/>
        </w:rPr>
        <w:t xml:space="preserve"> Declarar que no se aprecia la concurrencia de mala fe o temeridad en la interposición del recurso por lo que no procede la imposición de la sanción prevista en el artículo 58 de la LCSP. </w:t>
      </w:r>
    </w:p>
    <w:p w14:paraId="7F0368CC" w14:textId="77777777" w:rsidR="008951E5" w:rsidRDefault="008951E5" w:rsidP="008951E5">
      <w:pPr>
        <w:autoSpaceDE w:val="0"/>
        <w:autoSpaceDN w:val="0"/>
        <w:adjustRightInd w:val="0"/>
        <w:spacing w:before="120" w:after="120"/>
        <w:jc w:val="both"/>
        <w:rPr>
          <w:sz w:val="22"/>
          <w:szCs w:val="22"/>
        </w:rPr>
      </w:pPr>
      <w:r>
        <w:rPr>
          <w:sz w:val="22"/>
          <w:szCs w:val="22"/>
        </w:rPr>
        <w:t>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recepción de esta notificación, de conformidad con lo dispuesto en los artículos 11.1.f) y 46.1 de la Ley 29/1998, de 13 de julio, reguladora de la Jurisdicción Contencioso-administrativa.</w:t>
      </w:r>
    </w:p>
    <w:p w14:paraId="5AD33717" w14:textId="77777777" w:rsidR="00B057E8" w:rsidRDefault="00B057E8" w:rsidP="00B057E8">
      <w:pPr>
        <w:jc w:val="both"/>
        <w:rPr>
          <w:sz w:val="22"/>
          <w:szCs w:val="22"/>
        </w:rPr>
      </w:pPr>
    </w:p>
    <w:p w14:paraId="026B6C9A" w14:textId="77777777" w:rsidR="00E01514" w:rsidRDefault="00E01514" w:rsidP="00B057E8">
      <w:pPr>
        <w:jc w:val="both"/>
        <w:rPr>
          <w:sz w:val="22"/>
          <w:szCs w:val="22"/>
        </w:rPr>
      </w:pPr>
    </w:p>
    <w:p w14:paraId="0CEB783E" w14:textId="77777777" w:rsidR="00E01514" w:rsidRDefault="00E01514" w:rsidP="00B057E8">
      <w:pPr>
        <w:jc w:val="both"/>
        <w:rPr>
          <w:sz w:val="22"/>
          <w:szCs w:val="22"/>
        </w:rPr>
      </w:pPr>
    </w:p>
    <w:p w14:paraId="240F56F5" w14:textId="77777777" w:rsidR="00B057E8" w:rsidRDefault="00B057E8" w:rsidP="00B057E8">
      <w:pPr>
        <w:jc w:val="both"/>
        <w:rPr>
          <w:sz w:val="22"/>
          <w:szCs w:val="22"/>
        </w:rPr>
      </w:pPr>
    </w:p>
    <w:sectPr w:rsidR="00B057E8">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C1977" w14:textId="77777777" w:rsidR="003F580C" w:rsidRDefault="003F580C" w:rsidP="003F580C">
      <w:r>
        <w:separator/>
      </w:r>
    </w:p>
  </w:endnote>
  <w:endnote w:type="continuationSeparator" w:id="0">
    <w:p w14:paraId="6FDC052A" w14:textId="77777777" w:rsidR="003F580C" w:rsidRDefault="003F580C" w:rsidP="003F5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5EEE" w14:textId="77777777" w:rsidR="003F580C" w:rsidRDefault="003F580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541297"/>
      <w:docPartObj>
        <w:docPartGallery w:val="Page Numbers (Bottom of Page)"/>
        <w:docPartUnique/>
      </w:docPartObj>
    </w:sdtPr>
    <w:sdtEndPr/>
    <w:sdtContent>
      <w:p w14:paraId="78C0FA97" w14:textId="28829D4D" w:rsidR="002810D4" w:rsidRDefault="002810D4">
        <w:pPr>
          <w:pStyle w:val="Piedepgina"/>
          <w:jc w:val="right"/>
        </w:pPr>
        <w:r>
          <w:fldChar w:fldCharType="begin"/>
        </w:r>
        <w:r>
          <w:instrText>PAGE   \* MERGEFORMAT</w:instrText>
        </w:r>
        <w:r>
          <w:fldChar w:fldCharType="separate"/>
        </w:r>
        <w:r>
          <w:t>2</w:t>
        </w:r>
        <w:r>
          <w:fldChar w:fldCharType="end"/>
        </w:r>
      </w:p>
    </w:sdtContent>
  </w:sdt>
  <w:p w14:paraId="12D3F53E" w14:textId="77777777" w:rsidR="003F580C" w:rsidRDefault="003F580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2736" w14:textId="77777777" w:rsidR="003F580C" w:rsidRDefault="003F580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631FA" w14:textId="77777777" w:rsidR="003F580C" w:rsidRDefault="003F580C" w:rsidP="003F580C">
      <w:r>
        <w:separator/>
      </w:r>
    </w:p>
  </w:footnote>
  <w:footnote w:type="continuationSeparator" w:id="0">
    <w:p w14:paraId="74DAB775" w14:textId="77777777" w:rsidR="003F580C" w:rsidRDefault="003F580C" w:rsidP="003F5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96C5B" w14:textId="77777777" w:rsidR="003F580C" w:rsidRDefault="003F580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4A0" w:firstRow="1" w:lastRow="0" w:firstColumn="1" w:lastColumn="0" w:noHBand="0" w:noVBand="1"/>
    </w:tblPr>
    <w:tblGrid>
      <w:gridCol w:w="4890"/>
      <w:gridCol w:w="4961"/>
    </w:tblGrid>
    <w:tr w:rsidR="003F580C" w14:paraId="5620F0FF" w14:textId="77777777" w:rsidTr="003F580C">
      <w:tc>
        <w:tcPr>
          <w:tcW w:w="4890" w:type="dxa"/>
        </w:tcPr>
        <w:p w14:paraId="7B25C481" w14:textId="5496704F" w:rsidR="003F580C" w:rsidRDefault="003F580C" w:rsidP="003F580C">
          <w:pPr>
            <w:tabs>
              <w:tab w:val="center" w:pos="4819"/>
              <w:tab w:val="right" w:pos="9071"/>
            </w:tabs>
            <w:spacing w:after="720" w:line="256" w:lineRule="auto"/>
            <w:ind w:left="74" w:right="360"/>
            <w:rPr>
              <w:rFonts w:ascii="Arial" w:hAnsi="Arial"/>
              <w:noProof/>
              <w:kern w:val="2"/>
              <w:sz w:val="16"/>
              <w:lang w:val="es-ES_tradnl" w:eastAsia="en-US"/>
              <w14:ligatures w14:val="standardContextual"/>
            </w:rPr>
          </w:pPr>
          <w:r>
            <w:rPr>
              <w:rFonts w:ascii="Arial" w:hAnsi="Arial"/>
              <w:noProof/>
              <w:kern w:val="2"/>
              <w:lang w:eastAsia="en-US"/>
              <w14:ligatures w14:val="standardContextual"/>
            </w:rPr>
            <w:drawing>
              <wp:inline distT="0" distB="0" distL="0" distR="0" wp14:anchorId="6706638B" wp14:editId="2E7EE14F">
                <wp:extent cx="2078990" cy="707390"/>
                <wp:effectExtent l="0" t="0" r="0" b="0"/>
                <wp:docPr id="17483406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8990" cy="707390"/>
                        </a:xfrm>
                        <a:prstGeom prst="rect">
                          <a:avLst/>
                        </a:prstGeom>
                        <a:noFill/>
                        <a:ln>
                          <a:noFill/>
                        </a:ln>
                      </pic:spPr>
                    </pic:pic>
                  </a:graphicData>
                </a:graphic>
              </wp:inline>
            </w:drawing>
          </w:r>
        </w:p>
        <w:p w14:paraId="72F0701D" w14:textId="77777777" w:rsidR="003F580C" w:rsidRDefault="003F580C" w:rsidP="003F580C">
          <w:pPr>
            <w:tabs>
              <w:tab w:val="center" w:pos="4819"/>
              <w:tab w:val="right" w:pos="9071"/>
            </w:tabs>
            <w:spacing w:line="256" w:lineRule="auto"/>
            <w:ind w:left="1064"/>
            <w:rPr>
              <w:rFonts w:ascii="Arial" w:hAnsi="Arial"/>
              <w:noProof/>
              <w:kern w:val="2"/>
              <w:sz w:val="16"/>
              <w:lang w:val="es-ES_tradnl" w:eastAsia="en-US"/>
              <w14:ligatures w14:val="standardContextual"/>
            </w:rPr>
          </w:pPr>
        </w:p>
      </w:tc>
      <w:tc>
        <w:tcPr>
          <w:tcW w:w="4961" w:type="dxa"/>
        </w:tcPr>
        <w:p w14:paraId="0D09EE11" w14:textId="77777777" w:rsidR="003F580C" w:rsidRDefault="003F580C" w:rsidP="003F580C">
          <w:pPr>
            <w:tabs>
              <w:tab w:val="center" w:pos="4819"/>
              <w:tab w:val="right" w:pos="9071"/>
            </w:tabs>
            <w:spacing w:after="40" w:line="240" w:lineRule="exact"/>
            <w:ind w:left="-68"/>
            <w:rPr>
              <w:rFonts w:ascii="Arial" w:hAnsi="Arial"/>
              <w:b/>
              <w:noProof/>
              <w:kern w:val="2"/>
              <w:sz w:val="18"/>
              <w:lang w:val="es-ES_tradnl" w:eastAsia="en-US"/>
              <w14:ligatures w14:val="standardContextual"/>
            </w:rPr>
          </w:pPr>
        </w:p>
        <w:p w14:paraId="50FEBA72" w14:textId="77777777" w:rsidR="003F580C" w:rsidRDefault="003F580C" w:rsidP="003F580C">
          <w:pPr>
            <w:tabs>
              <w:tab w:val="center" w:pos="4819"/>
              <w:tab w:val="right" w:pos="9071"/>
            </w:tabs>
            <w:spacing w:after="60" w:line="190" w:lineRule="exact"/>
            <w:ind w:left="-70"/>
            <w:rPr>
              <w:rFonts w:ascii="Arial" w:hAnsi="Arial"/>
              <w:noProof/>
              <w:kern w:val="2"/>
              <w:sz w:val="18"/>
              <w:lang w:val="es-ES_tradnl" w:eastAsia="en-US"/>
              <w14:ligatures w14:val="standardContextual"/>
            </w:rPr>
          </w:pPr>
          <w:r>
            <w:rPr>
              <w:rFonts w:ascii="Arial" w:hAnsi="Arial"/>
              <w:b/>
              <w:noProof/>
              <w:kern w:val="2"/>
              <w:sz w:val="18"/>
              <w:lang w:val="es-ES_tradnl" w:eastAsia="en-US"/>
              <w14:ligatures w14:val="standardContextual"/>
            </w:rPr>
            <w:t>Kontratu Errekurtsoen Foru Organo Administratiboa</w:t>
          </w:r>
        </w:p>
        <w:p w14:paraId="57439110" w14:textId="77777777" w:rsidR="003F580C" w:rsidRDefault="003F580C" w:rsidP="003F580C">
          <w:pPr>
            <w:tabs>
              <w:tab w:val="center" w:pos="4819"/>
              <w:tab w:val="right" w:pos="9071"/>
            </w:tabs>
            <w:spacing w:after="60" w:line="190" w:lineRule="exact"/>
            <w:ind w:left="-70"/>
            <w:rPr>
              <w:rFonts w:ascii="Arial" w:hAnsi="Arial"/>
              <w:b/>
              <w:noProof/>
              <w:kern w:val="2"/>
              <w:sz w:val="18"/>
              <w:lang w:val="es-ES_tradnl" w:eastAsia="en-US"/>
              <w14:ligatures w14:val="standardContextual"/>
            </w:rPr>
          </w:pPr>
          <w:r>
            <w:rPr>
              <w:rFonts w:ascii="Arial" w:hAnsi="Arial"/>
              <w:b/>
              <w:noProof/>
              <w:kern w:val="2"/>
              <w:sz w:val="18"/>
              <w:lang w:val="es-ES_tradnl" w:eastAsia="en-US"/>
              <w14:ligatures w14:val="standardContextual"/>
            </w:rPr>
            <w:t>Órgano Administrativo Foral de Recursos Contractuales</w:t>
          </w:r>
        </w:p>
      </w:tc>
    </w:tr>
  </w:tbl>
  <w:p w14:paraId="48CA4CD7" w14:textId="77777777" w:rsidR="003F580C" w:rsidRDefault="003F580C" w:rsidP="003F580C">
    <w:pPr>
      <w:pStyle w:val="Encabezado"/>
      <w:rPr>
        <w:lang w:val="es-ES_tradnl"/>
      </w:rPr>
    </w:pPr>
  </w:p>
  <w:p w14:paraId="18460434" w14:textId="77777777" w:rsidR="003F580C" w:rsidRPr="003F580C" w:rsidRDefault="003F580C">
    <w:pPr>
      <w:pStyle w:val="Encabezado"/>
      <w:rPr>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31449" w14:textId="77777777" w:rsidR="003F580C" w:rsidRDefault="003F58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E54B8"/>
    <w:multiLevelType w:val="hybridMultilevel"/>
    <w:tmpl w:val="A6A48B56"/>
    <w:lvl w:ilvl="0" w:tplc="83A24E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59D2514"/>
    <w:multiLevelType w:val="hybridMultilevel"/>
    <w:tmpl w:val="C0C0116C"/>
    <w:lvl w:ilvl="0" w:tplc="190EA5EC">
      <w:start w:val="1"/>
      <w:numFmt w:val="lowerRoman"/>
      <w:lvlText w:val="(%1)"/>
      <w:lvlJc w:val="left"/>
      <w:pPr>
        <w:ind w:left="1287" w:hanging="72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 w15:restartNumberingAfterBreak="0">
    <w:nsid w:val="28613CD3"/>
    <w:multiLevelType w:val="hybridMultilevel"/>
    <w:tmpl w:val="4E94F09A"/>
    <w:lvl w:ilvl="0" w:tplc="83A24E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9A11D3F"/>
    <w:multiLevelType w:val="hybridMultilevel"/>
    <w:tmpl w:val="99D87BC6"/>
    <w:lvl w:ilvl="0" w:tplc="8B4C84EA">
      <w:start w:val="1"/>
      <w:numFmt w:val="upperLetter"/>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AE61E8A"/>
    <w:multiLevelType w:val="hybridMultilevel"/>
    <w:tmpl w:val="A0765F54"/>
    <w:lvl w:ilvl="0" w:tplc="7EEA6C9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8660495"/>
    <w:multiLevelType w:val="hybridMultilevel"/>
    <w:tmpl w:val="D500EEEC"/>
    <w:lvl w:ilvl="0" w:tplc="C27C83FC">
      <w:start w:val="13"/>
      <w:numFmt w:val="bullet"/>
      <w:lvlText w:val=""/>
      <w:lvlJc w:val="left"/>
      <w:pPr>
        <w:ind w:left="1068" w:hanging="360"/>
      </w:pPr>
      <w:rPr>
        <w:rFonts w:ascii="Symbol" w:eastAsia="Times New Roman" w:hAnsi="Symbol"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5A34444B"/>
    <w:multiLevelType w:val="hybridMultilevel"/>
    <w:tmpl w:val="14A2E6AA"/>
    <w:lvl w:ilvl="0" w:tplc="2610ACFE">
      <w:start w:val="1"/>
      <w:numFmt w:val="lowerRoman"/>
      <w:lvlText w:val="(%1)"/>
      <w:lvlJc w:val="left"/>
      <w:pPr>
        <w:ind w:left="1287" w:hanging="72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 w15:restartNumberingAfterBreak="0">
    <w:nsid w:val="72794971"/>
    <w:multiLevelType w:val="hybridMultilevel"/>
    <w:tmpl w:val="7F44EC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20934874">
    <w:abstractNumId w:val="6"/>
  </w:num>
  <w:num w:numId="2" w16cid:durableId="927619468">
    <w:abstractNumId w:val="1"/>
  </w:num>
  <w:num w:numId="3" w16cid:durableId="275253973">
    <w:abstractNumId w:val="3"/>
  </w:num>
  <w:num w:numId="4" w16cid:durableId="1629822546">
    <w:abstractNumId w:val="7"/>
  </w:num>
  <w:num w:numId="5" w16cid:durableId="590773810">
    <w:abstractNumId w:val="5"/>
  </w:num>
  <w:num w:numId="6" w16cid:durableId="1687172504">
    <w:abstractNumId w:val="0"/>
  </w:num>
  <w:num w:numId="7" w16cid:durableId="1909605829">
    <w:abstractNumId w:val="2"/>
  </w:num>
  <w:num w:numId="8" w16cid:durableId="3515666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1E5"/>
    <w:rsid w:val="000259F8"/>
    <w:rsid w:val="000305DE"/>
    <w:rsid w:val="000755DF"/>
    <w:rsid w:val="000D02F4"/>
    <w:rsid w:val="000D4A09"/>
    <w:rsid w:val="0016414B"/>
    <w:rsid w:val="0017365E"/>
    <w:rsid w:val="00182500"/>
    <w:rsid w:val="001976C8"/>
    <w:rsid w:val="001B2B44"/>
    <w:rsid w:val="001B7E87"/>
    <w:rsid w:val="00280EC9"/>
    <w:rsid w:val="002810D4"/>
    <w:rsid w:val="002D4FA4"/>
    <w:rsid w:val="0035294D"/>
    <w:rsid w:val="00367397"/>
    <w:rsid w:val="003832CF"/>
    <w:rsid w:val="003E4F7F"/>
    <w:rsid w:val="003F580C"/>
    <w:rsid w:val="004D65BA"/>
    <w:rsid w:val="0065759A"/>
    <w:rsid w:val="00663037"/>
    <w:rsid w:val="006E7633"/>
    <w:rsid w:val="0071452F"/>
    <w:rsid w:val="00727EB4"/>
    <w:rsid w:val="007B35E4"/>
    <w:rsid w:val="007D6E04"/>
    <w:rsid w:val="007F5C06"/>
    <w:rsid w:val="008254D8"/>
    <w:rsid w:val="008951E5"/>
    <w:rsid w:val="008A1338"/>
    <w:rsid w:val="008C3719"/>
    <w:rsid w:val="00902762"/>
    <w:rsid w:val="009951A5"/>
    <w:rsid w:val="009B4679"/>
    <w:rsid w:val="009C4D25"/>
    <w:rsid w:val="009D3802"/>
    <w:rsid w:val="009E2EDF"/>
    <w:rsid w:val="009E32A2"/>
    <w:rsid w:val="009F0653"/>
    <w:rsid w:val="009F4109"/>
    <w:rsid w:val="00A93BA4"/>
    <w:rsid w:val="00AD1E89"/>
    <w:rsid w:val="00B057E8"/>
    <w:rsid w:val="00B11F99"/>
    <w:rsid w:val="00B869DC"/>
    <w:rsid w:val="00B97E7E"/>
    <w:rsid w:val="00C2059B"/>
    <w:rsid w:val="00CB14A2"/>
    <w:rsid w:val="00CD5A90"/>
    <w:rsid w:val="00D368DA"/>
    <w:rsid w:val="00D41EBF"/>
    <w:rsid w:val="00D42354"/>
    <w:rsid w:val="00E01514"/>
    <w:rsid w:val="00E320C8"/>
    <w:rsid w:val="00E93EC7"/>
    <w:rsid w:val="00F21ADD"/>
    <w:rsid w:val="00F47812"/>
    <w:rsid w:val="00F53668"/>
    <w:rsid w:val="00F94B34"/>
    <w:rsid w:val="00FB47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11C42"/>
  <w15:chartTrackingRefBased/>
  <w15:docId w15:val="{ABC937C5-D060-47FF-B514-D20A0030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1E5"/>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8951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951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951E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951E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951E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951E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951E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951E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951E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951E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951E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951E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951E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951E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951E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951E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951E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951E5"/>
    <w:rPr>
      <w:rFonts w:eastAsiaTheme="majorEastAsia" w:cstheme="majorBidi"/>
      <w:color w:val="272727" w:themeColor="text1" w:themeTint="D8"/>
    </w:rPr>
  </w:style>
  <w:style w:type="paragraph" w:styleId="Ttulo">
    <w:name w:val="Title"/>
    <w:basedOn w:val="Normal"/>
    <w:next w:val="Normal"/>
    <w:link w:val="TtuloCar"/>
    <w:uiPriority w:val="10"/>
    <w:qFormat/>
    <w:rsid w:val="008951E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951E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951E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951E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951E5"/>
    <w:pPr>
      <w:spacing w:before="160"/>
      <w:jc w:val="center"/>
    </w:pPr>
    <w:rPr>
      <w:i/>
      <w:iCs/>
      <w:color w:val="404040" w:themeColor="text1" w:themeTint="BF"/>
    </w:rPr>
  </w:style>
  <w:style w:type="character" w:customStyle="1" w:styleId="CitaCar">
    <w:name w:val="Cita Car"/>
    <w:basedOn w:val="Fuentedeprrafopredeter"/>
    <w:link w:val="Cita"/>
    <w:uiPriority w:val="29"/>
    <w:rsid w:val="008951E5"/>
    <w:rPr>
      <w:i/>
      <w:iCs/>
      <w:color w:val="404040" w:themeColor="text1" w:themeTint="BF"/>
    </w:rPr>
  </w:style>
  <w:style w:type="paragraph" w:styleId="Prrafodelista">
    <w:name w:val="List Paragraph"/>
    <w:basedOn w:val="Normal"/>
    <w:uiPriority w:val="34"/>
    <w:qFormat/>
    <w:rsid w:val="008951E5"/>
    <w:pPr>
      <w:ind w:left="720"/>
      <w:contextualSpacing/>
    </w:pPr>
  </w:style>
  <w:style w:type="character" w:styleId="nfasisintenso">
    <w:name w:val="Intense Emphasis"/>
    <w:basedOn w:val="Fuentedeprrafopredeter"/>
    <w:uiPriority w:val="21"/>
    <w:qFormat/>
    <w:rsid w:val="008951E5"/>
    <w:rPr>
      <w:i/>
      <w:iCs/>
      <w:color w:val="0F4761" w:themeColor="accent1" w:themeShade="BF"/>
    </w:rPr>
  </w:style>
  <w:style w:type="paragraph" w:styleId="Citadestacada">
    <w:name w:val="Intense Quote"/>
    <w:basedOn w:val="Normal"/>
    <w:next w:val="Normal"/>
    <w:link w:val="CitadestacadaCar"/>
    <w:uiPriority w:val="30"/>
    <w:qFormat/>
    <w:rsid w:val="008951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951E5"/>
    <w:rPr>
      <w:i/>
      <w:iCs/>
      <w:color w:val="0F4761" w:themeColor="accent1" w:themeShade="BF"/>
    </w:rPr>
  </w:style>
  <w:style w:type="character" w:styleId="Referenciaintensa">
    <w:name w:val="Intense Reference"/>
    <w:basedOn w:val="Fuentedeprrafopredeter"/>
    <w:uiPriority w:val="32"/>
    <w:qFormat/>
    <w:rsid w:val="008951E5"/>
    <w:rPr>
      <w:b/>
      <w:bCs/>
      <w:smallCaps/>
      <w:color w:val="0F4761" w:themeColor="accent1" w:themeShade="BF"/>
      <w:spacing w:val="5"/>
    </w:rPr>
  </w:style>
  <w:style w:type="paragraph" w:styleId="Piedepgina">
    <w:name w:val="footer"/>
    <w:basedOn w:val="Normal"/>
    <w:link w:val="PiedepginaCar"/>
    <w:uiPriority w:val="99"/>
    <w:unhideWhenUsed/>
    <w:rsid w:val="008951E5"/>
    <w:pPr>
      <w:tabs>
        <w:tab w:val="center" w:pos="4252"/>
        <w:tab w:val="right" w:pos="8504"/>
      </w:tabs>
    </w:pPr>
  </w:style>
  <w:style w:type="character" w:customStyle="1" w:styleId="PiedepginaCar">
    <w:name w:val="Pie de página Car"/>
    <w:basedOn w:val="Fuentedeprrafopredeter"/>
    <w:link w:val="Piedepgina"/>
    <w:uiPriority w:val="99"/>
    <w:rsid w:val="008951E5"/>
    <w:rPr>
      <w:rFonts w:ascii="Times New Roman" w:eastAsia="Times New Roman" w:hAnsi="Times New Roman" w:cs="Times New Roman"/>
      <w:kern w:val="0"/>
      <w:sz w:val="20"/>
      <w:szCs w:val="20"/>
      <w:lang w:eastAsia="es-ES"/>
      <w14:ligatures w14:val="none"/>
    </w:rPr>
  </w:style>
  <w:style w:type="paragraph" w:customStyle="1" w:styleId="Estilo1">
    <w:name w:val="Estilo1"/>
    <w:basedOn w:val="Normal"/>
    <w:rsid w:val="008951E5"/>
    <w:pPr>
      <w:tabs>
        <w:tab w:val="left" w:pos="1418"/>
      </w:tabs>
      <w:spacing w:after="120"/>
      <w:ind w:firstLine="709"/>
      <w:jc w:val="both"/>
    </w:pPr>
    <w:rPr>
      <w:sz w:val="24"/>
      <w:lang w:val="es-ES_tradnl"/>
    </w:rPr>
  </w:style>
  <w:style w:type="character" w:styleId="Nmerodepgina">
    <w:name w:val="page number"/>
    <w:basedOn w:val="Fuentedeprrafopredeter"/>
    <w:rsid w:val="008951E5"/>
  </w:style>
  <w:style w:type="paragraph" w:customStyle="1" w:styleId="Cuerpo">
    <w:name w:val="Cuerpo"/>
    <w:rsid w:val="008951E5"/>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0"/>
      <w:szCs w:val="20"/>
      <w:u w:color="000000"/>
      <w:bdr w:val="nil"/>
      <w:lang w:eastAsia="es-ES"/>
      <w14:ligatures w14:val="none"/>
    </w:rPr>
  </w:style>
  <w:style w:type="character" w:styleId="Textoennegrita">
    <w:name w:val="Strong"/>
    <w:basedOn w:val="Fuentedeprrafopredeter"/>
    <w:uiPriority w:val="22"/>
    <w:qFormat/>
    <w:rsid w:val="008951E5"/>
    <w:rPr>
      <w:b/>
      <w:bCs/>
    </w:rPr>
  </w:style>
  <w:style w:type="paragraph" w:customStyle="1" w:styleId="Default">
    <w:name w:val="Default"/>
    <w:rsid w:val="008951E5"/>
    <w:pPr>
      <w:autoSpaceDE w:val="0"/>
      <w:autoSpaceDN w:val="0"/>
      <w:adjustRightInd w:val="0"/>
      <w:spacing w:after="0" w:line="240" w:lineRule="auto"/>
    </w:pPr>
    <w:rPr>
      <w:rFonts w:ascii="Calibri" w:eastAsia="Calibri" w:hAnsi="Calibri" w:cs="Calibri"/>
      <w:color w:val="000000"/>
      <w:kern w:val="0"/>
      <w:sz w:val="24"/>
      <w:szCs w:val="24"/>
      <w:lang w:eastAsia="es-ES"/>
      <w14:ligatures w14:val="none"/>
    </w:rPr>
  </w:style>
  <w:style w:type="character" w:customStyle="1" w:styleId="cursiva1">
    <w:name w:val="cursiva1"/>
    <w:basedOn w:val="Fuentedeprrafopredeter"/>
    <w:rsid w:val="008951E5"/>
    <w:rPr>
      <w:i/>
      <w:iCs/>
    </w:rPr>
  </w:style>
  <w:style w:type="paragraph" w:styleId="Textoindependiente">
    <w:name w:val="Body Text"/>
    <w:basedOn w:val="Normal"/>
    <w:link w:val="TextoindependienteCar"/>
    <w:rsid w:val="009F0653"/>
    <w:pPr>
      <w:widowControl w:val="0"/>
      <w:spacing w:after="240"/>
      <w:jc w:val="both"/>
    </w:pPr>
    <w:rPr>
      <w:sz w:val="22"/>
      <w:lang w:val="es-ES_tradnl"/>
    </w:rPr>
  </w:style>
  <w:style w:type="character" w:customStyle="1" w:styleId="TextoindependienteCar">
    <w:name w:val="Texto independiente Car"/>
    <w:basedOn w:val="Fuentedeprrafopredeter"/>
    <w:link w:val="Textoindependiente"/>
    <w:rsid w:val="009F0653"/>
    <w:rPr>
      <w:rFonts w:ascii="Times New Roman" w:eastAsia="Times New Roman" w:hAnsi="Times New Roman" w:cs="Times New Roman"/>
      <w:kern w:val="0"/>
      <w:szCs w:val="20"/>
      <w:lang w:val="es-ES_tradnl" w:eastAsia="es-ES"/>
      <w14:ligatures w14:val="none"/>
    </w:rPr>
  </w:style>
  <w:style w:type="paragraph" w:styleId="Encabezado">
    <w:name w:val="header"/>
    <w:basedOn w:val="Normal"/>
    <w:link w:val="EncabezadoCar"/>
    <w:uiPriority w:val="99"/>
    <w:unhideWhenUsed/>
    <w:rsid w:val="003F580C"/>
    <w:pPr>
      <w:tabs>
        <w:tab w:val="center" w:pos="4252"/>
        <w:tab w:val="right" w:pos="8504"/>
      </w:tabs>
    </w:pPr>
  </w:style>
  <w:style w:type="character" w:customStyle="1" w:styleId="EncabezadoCar">
    <w:name w:val="Encabezado Car"/>
    <w:basedOn w:val="Fuentedeprrafopredeter"/>
    <w:link w:val="Encabezado"/>
    <w:uiPriority w:val="99"/>
    <w:rsid w:val="003F580C"/>
    <w:rPr>
      <w:rFonts w:ascii="Times New Roman" w:eastAsia="Times New Roman" w:hAnsi="Times New Roman" w:cs="Times New Roman"/>
      <w:kern w:val="0"/>
      <w:sz w:val="2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2335">
      <w:bodyDiv w:val="1"/>
      <w:marLeft w:val="0"/>
      <w:marRight w:val="0"/>
      <w:marTop w:val="0"/>
      <w:marBottom w:val="0"/>
      <w:divBdr>
        <w:top w:val="none" w:sz="0" w:space="0" w:color="auto"/>
        <w:left w:val="none" w:sz="0" w:space="0" w:color="auto"/>
        <w:bottom w:val="none" w:sz="0" w:space="0" w:color="auto"/>
        <w:right w:val="none" w:sz="0" w:space="0" w:color="auto"/>
      </w:divBdr>
    </w:div>
    <w:div w:id="1004087278">
      <w:bodyDiv w:val="1"/>
      <w:marLeft w:val="0"/>
      <w:marRight w:val="0"/>
      <w:marTop w:val="0"/>
      <w:marBottom w:val="0"/>
      <w:divBdr>
        <w:top w:val="none" w:sz="0" w:space="0" w:color="auto"/>
        <w:left w:val="none" w:sz="0" w:space="0" w:color="auto"/>
        <w:bottom w:val="none" w:sz="0" w:space="0" w:color="auto"/>
        <w:right w:val="none" w:sz="0" w:space="0" w:color="auto"/>
      </w:divBdr>
    </w:div>
    <w:div w:id="145085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2319</Words>
  <Characters>12339</Characters>
  <Application>Microsoft Office Word</Application>
  <DocSecurity>0</DocSecurity>
  <Lines>199</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4</cp:revision>
  <cp:lastPrinted>2025-04-02T07:41:00Z</cp:lastPrinted>
  <dcterms:created xsi:type="dcterms:W3CDTF">2025-04-02T07:40:00Z</dcterms:created>
  <dcterms:modified xsi:type="dcterms:W3CDTF">2025-04-02T07:42:00Z</dcterms:modified>
</cp:coreProperties>
</file>