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71AA1" w14:paraId="489AAD9D" w14:textId="77777777" w:rsidTr="009A271C">
        <w:trPr>
          <w:trHeight w:val="2093"/>
        </w:trPr>
        <w:tc>
          <w:tcPr>
            <w:tcW w:w="4375" w:type="dxa"/>
            <w:hideMark/>
          </w:tcPr>
          <w:p w14:paraId="708AA5C0" w14:textId="31BB6D48" w:rsidR="00BE2D5E" w:rsidRPr="002E6E2A" w:rsidRDefault="00871AA1" w:rsidP="00BE2D5E">
            <w:pPr>
              <w:pStyle w:val="Ttulo1"/>
              <w:spacing w:before="120" w:after="120"/>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w:t>
            </w:r>
            <w:r w:rsidR="00BE2D5E">
              <w:rPr>
                <w:rFonts w:ascii="Times New Roman" w:hAnsi="Times New Roman"/>
                <w:b w:val="0"/>
                <w:sz w:val="22"/>
                <w:u w:val="none"/>
                <w:lang w:eastAsia="en-US"/>
              </w:rPr>
              <w:t xml:space="preserve">Recurso Especial </w:t>
            </w:r>
            <w:r w:rsidR="00CA6D24">
              <w:rPr>
                <w:rFonts w:ascii="Times New Roman" w:hAnsi="Times New Roman"/>
                <w:b w:val="0"/>
                <w:sz w:val="22"/>
                <w:u w:val="none"/>
                <w:lang w:eastAsia="en-US"/>
              </w:rPr>
              <w:t xml:space="preserve">de </w:t>
            </w:r>
            <w:r w:rsidR="00770E81">
              <w:rPr>
                <w:rFonts w:ascii="Times New Roman" w:hAnsi="Times New Roman"/>
                <w:b w:val="0"/>
                <w:sz w:val="22"/>
                <w:u w:val="none"/>
                <w:lang w:eastAsia="en-US"/>
              </w:rPr>
              <w:t>XXXXXX XXXXXXXXXXXXXXXXXXXXXXXXXXXXXXXX</w:t>
            </w:r>
            <w:r w:rsidR="00CA6D24">
              <w:rPr>
                <w:rFonts w:ascii="Times New Roman" w:hAnsi="Times New Roman"/>
                <w:b w:val="0"/>
                <w:sz w:val="22"/>
                <w:u w:val="none"/>
                <w:lang w:eastAsia="en-US"/>
              </w:rPr>
              <w:t xml:space="preserve"> contra la adjudicación del contrato de servicios profesionales para el asesoramiento y la defensa jurídica y judicial del Área del Menor y Familia del Instituto Foral de Bienestar Social</w:t>
            </w:r>
            <w:r w:rsidR="00BE2D5E">
              <w:rPr>
                <w:rFonts w:ascii="Times New Roman" w:hAnsi="Times New Roman"/>
                <w:b w:val="0"/>
                <w:sz w:val="22"/>
                <w:u w:val="none"/>
                <w:lang w:eastAsia="en-US"/>
              </w:rPr>
              <w:t>.</w:t>
            </w:r>
          </w:p>
          <w:p w14:paraId="16C5F14A" w14:textId="57EB3B0A" w:rsidR="00871AA1" w:rsidRDefault="00BE2D5E" w:rsidP="00BE2D5E">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w:t>
            </w:r>
            <w:proofErr w:type="spellStart"/>
            <w:r>
              <w:rPr>
                <w:rFonts w:ascii="Times New Roman" w:hAnsi="Times New Roman"/>
                <w:sz w:val="22"/>
                <w:lang w:eastAsia="en-US"/>
              </w:rPr>
              <w:t>Nº</w:t>
            </w:r>
            <w:proofErr w:type="spellEnd"/>
            <w:r>
              <w:rPr>
                <w:rFonts w:ascii="Times New Roman" w:hAnsi="Times New Roman"/>
                <w:sz w:val="22"/>
                <w:lang w:eastAsia="en-US"/>
              </w:rPr>
              <w:t xml:space="preserve">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w:t>
            </w:r>
            <w:r w:rsidR="00CA6D24">
              <w:rPr>
                <w:rFonts w:ascii="Times New Roman" w:hAnsi="Times New Roman"/>
                <w:b w:val="0"/>
                <w:sz w:val="22"/>
                <w:u w:val="none"/>
                <w:lang w:eastAsia="en-US"/>
              </w:rPr>
              <w:t>5</w:t>
            </w:r>
            <w:r>
              <w:rPr>
                <w:rFonts w:ascii="Times New Roman" w:hAnsi="Times New Roman"/>
                <w:b w:val="0"/>
                <w:sz w:val="22"/>
                <w:u w:val="none"/>
                <w:lang w:eastAsia="en-US"/>
              </w:rPr>
              <w:t>/</w:t>
            </w:r>
            <w:r w:rsidR="00CA6D24">
              <w:rPr>
                <w:rFonts w:ascii="Times New Roman" w:hAnsi="Times New Roman"/>
                <w:b w:val="0"/>
                <w:sz w:val="22"/>
                <w:u w:val="none"/>
                <w:lang w:eastAsia="en-US"/>
              </w:rPr>
              <w:t>15</w:t>
            </w:r>
          </w:p>
        </w:tc>
        <w:tc>
          <w:tcPr>
            <w:tcW w:w="20" w:type="dxa"/>
            <w:hideMark/>
          </w:tcPr>
          <w:p w14:paraId="42C66811" w14:textId="77777777" w:rsidR="00871AA1" w:rsidRDefault="00871AA1" w:rsidP="009A271C">
            <w:pPr>
              <w:spacing w:before="120" w:after="120" w:line="276" w:lineRule="auto"/>
              <w:rPr>
                <w:lang w:eastAsia="en-US"/>
              </w:rPr>
            </w:pPr>
            <w:r>
              <w:rPr>
                <w:lang w:val="es-ES_tradnl" w:eastAsia="en-US"/>
              </w:rPr>
              <w:t xml:space="preserve"> </w:t>
            </w:r>
          </w:p>
        </w:tc>
        <w:tc>
          <w:tcPr>
            <w:tcW w:w="4677" w:type="dxa"/>
          </w:tcPr>
          <w:p w14:paraId="50933941" w14:textId="77777777" w:rsidR="00871AA1" w:rsidRDefault="00871AA1" w:rsidP="009A271C">
            <w:pPr>
              <w:pStyle w:val="Piedepgina"/>
              <w:tabs>
                <w:tab w:val="clear" w:pos="4252"/>
                <w:tab w:val="right" w:pos="4677"/>
              </w:tabs>
              <w:spacing w:before="120" w:after="120" w:line="276" w:lineRule="auto"/>
              <w:rPr>
                <w:b/>
                <w:lang w:eastAsia="en-US"/>
              </w:rPr>
            </w:pPr>
          </w:p>
          <w:p w14:paraId="3B084DBA" w14:textId="77777777" w:rsidR="00871AA1" w:rsidRDefault="00871AA1" w:rsidP="009A271C">
            <w:pPr>
              <w:spacing w:line="276" w:lineRule="auto"/>
              <w:jc w:val="center"/>
              <w:rPr>
                <w:b/>
                <w:lang w:eastAsia="en-US"/>
              </w:rPr>
            </w:pPr>
          </w:p>
        </w:tc>
      </w:tr>
    </w:tbl>
    <w:p w14:paraId="71034017" w14:textId="77777777" w:rsidR="00871AA1" w:rsidRDefault="00871AA1" w:rsidP="00871AA1">
      <w:pPr>
        <w:tabs>
          <w:tab w:val="left" w:pos="3261"/>
        </w:tabs>
        <w:spacing w:after="480"/>
        <w:jc w:val="both"/>
        <w:rPr>
          <w:sz w:val="22"/>
        </w:rPr>
      </w:pPr>
    </w:p>
    <w:p w14:paraId="24BEAD51" w14:textId="1770FB9E" w:rsidR="00871AA1" w:rsidRDefault="00871AA1" w:rsidP="00871AA1">
      <w:pPr>
        <w:tabs>
          <w:tab w:val="left" w:pos="3261"/>
        </w:tabs>
        <w:spacing w:after="480"/>
        <w:jc w:val="center"/>
        <w:rPr>
          <w:b/>
          <w:sz w:val="22"/>
          <w:u w:val="single"/>
        </w:rPr>
      </w:pPr>
      <w:r>
        <w:rPr>
          <w:b/>
          <w:sz w:val="22"/>
          <w:u w:val="single"/>
        </w:rPr>
        <w:t xml:space="preserve">RESOLUCION </w:t>
      </w:r>
      <w:r w:rsidR="008E634F">
        <w:rPr>
          <w:b/>
          <w:sz w:val="22"/>
          <w:u w:val="single"/>
        </w:rPr>
        <w:t>38</w:t>
      </w:r>
      <w:r w:rsidR="005B6A30">
        <w:rPr>
          <w:b/>
          <w:sz w:val="22"/>
          <w:u w:val="single"/>
        </w:rPr>
        <w:t>/</w:t>
      </w:r>
      <w:r>
        <w:rPr>
          <w:b/>
          <w:sz w:val="22"/>
          <w:u w:val="single"/>
        </w:rPr>
        <w:t>202</w:t>
      </w:r>
      <w:r w:rsidR="00CA6D24">
        <w:rPr>
          <w:b/>
          <w:sz w:val="22"/>
          <w:u w:val="single"/>
        </w:rPr>
        <w:t>5</w:t>
      </w:r>
    </w:p>
    <w:p w14:paraId="420BB2C0" w14:textId="431F29AB" w:rsidR="00871AA1" w:rsidRDefault="00871AA1" w:rsidP="00871AA1">
      <w:pPr>
        <w:tabs>
          <w:tab w:val="left" w:pos="3261"/>
        </w:tabs>
        <w:spacing w:after="480"/>
        <w:jc w:val="both"/>
        <w:rPr>
          <w:sz w:val="22"/>
        </w:rPr>
      </w:pPr>
      <w:r>
        <w:rPr>
          <w:sz w:val="22"/>
        </w:rPr>
        <w:t>En Vitoria-Gasteiz, a</w:t>
      </w:r>
      <w:r w:rsidR="005B6A30">
        <w:rPr>
          <w:sz w:val="22"/>
        </w:rPr>
        <w:t xml:space="preserve"> </w:t>
      </w:r>
      <w:r w:rsidR="008E634F">
        <w:rPr>
          <w:sz w:val="22"/>
        </w:rPr>
        <w:t>31</w:t>
      </w:r>
      <w:r w:rsidR="004F28D2">
        <w:rPr>
          <w:sz w:val="22"/>
        </w:rPr>
        <w:t xml:space="preserve"> </w:t>
      </w:r>
      <w:r w:rsidR="005B6A30">
        <w:rPr>
          <w:sz w:val="22"/>
        </w:rPr>
        <w:t xml:space="preserve">de </w:t>
      </w:r>
      <w:r w:rsidR="008E634F">
        <w:rPr>
          <w:sz w:val="22"/>
        </w:rPr>
        <w:t>octubre</w:t>
      </w:r>
      <w:r w:rsidR="005B6A30">
        <w:rPr>
          <w:sz w:val="22"/>
        </w:rPr>
        <w:t xml:space="preserve"> de 202</w:t>
      </w:r>
      <w:r w:rsidR="00CA6D24">
        <w:rPr>
          <w:sz w:val="22"/>
        </w:rPr>
        <w:t>5</w:t>
      </w:r>
      <w:r>
        <w:rPr>
          <w:sz w:val="22"/>
        </w:rPr>
        <w:t>.</w:t>
      </w:r>
    </w:p>
    <w:p w14:paraId="23BCBC0E" w14:textId="7A7480EB" w:rsidR="00CA6D24" w:rsidRPr="000C6A30" w:rsidRDefault="00CA6D24" w:rsidP="00CA6D24">
      <w:pPr>
        <w:spacing w:before="120" w:after="120"/>
        <w:jc w:val="both"/>
        <w:rPr>
          <w:sz w:val="22"/>
        </w:rPr>
      </w:pPr>
      <w:r>
        <w:rPr>
          <w:sz w:val="22"/>
        </w:rPr>
        <w:t xml:space="preserve">El Órgano Administrativo Foral de Recursos Contractuales de la Diputación Foral de Álava ha dictado la siguiente RESOLUCIÓN en relación con el Recurso Especial en materia de contratación interpuesto por </w:t>
      </w:r>
      <w:r w:rsidR="00770E81">
        <w:rPr>
          <w:sz w:val="22"/>
        </w:rPr>
        <w:t xml:space="preserve">XXXXXXXXXXXXXXX y XXXXXXXXXXXXXXXXXXX </w:t>
      </w:r>
      <w:r>
        <w:rPr>
          <w:sz w:val="22"/>
        </w:rPr>
        <w:t>contra el Acuerdo de 19 de junio de 2025, del Consejo de Administración del Instituto Foral de Bienestar Social, de “Adjudicación del expediente de contratación de los servicios profesionales para el asesoramiento y la defensa jurídica y judicial del Área del Menor y Familia” del mencionado Instituto Foral</w:t>
      </w:r>
      <w:r w:rsidR="00246126">
        <w:rPr>
          <w:sz w:val="22"/>
        </w:rPr>
        <w:t xml:space="preserve"> (</w:t>
      </w:r>
      <w:proofErr w:type="spellStart"/>
      <w:r w:rsidR="00246126">
        <w:rPr>
          <w:sz w:val="22"/>
        </w:rPr>
        <w:t>expte</w:t>
      </w:r>
      <w:proofErr w:type="spellEnd"/>
      <w:r w:rsidR="00246126">
        <w:rPr>
          <w:sz w:val="22"/>
        </w:rPr>
        <w:t>. 2/2024)</w:t>
      </w:r>
      <w:r>
        <w:rPr>
          <w:sz w:val="22"/>
        </w:rPr>
        <w:t>.</w:t>
      </w:r>
    </w:p>
    <w:p w14:paraId="27D2C00F" w14:textId="4FDA5543" w:rsidR="00CA6D24" w:rsidRDefault="00CA6D24" w:rsidP="00CA6D24">
      <w:pPr>
        <w:tabs>
          <w:tab w:val="left" w:pos="3261"/>
        </w:tabs>
        <w:spacing w:after="120" w:line="276" w:lineRule="auto"/>
        <w:jc w:val="both"/>
        <w:rPr>
          <w:sz w:val="22"/>
        </w:rPr>
      </w:pPr>
      <w:r>
        <w:rPr>
          <w:sz w:val="22"/>
        </w:rPr>
        <w:t xml:space="preserve">Son partes en dicho recurso: como RECURRENTES, </w:t>
      </w:r>
      <w:r w:rsidR="00770E81">
        <w:rPr>
          <w:sz w:val="22"/>
        </w:rPr>
        <w:t>XXXXXXXXXXXXXXXXX</w:t>
      </w:r>
      <w:r>
        <w:rPr>
          <w:sz w:val="22"/>
        </w:rPr>
        <w:t xml:space="preserve"> y </w:t>
      </w:r>
      <w:r w:rsidR="00770E81">
        <w:rPr>
          <w:sz w:val="22"/>
        </w:rPr>
        <w:t>XXXXXXXXXXXXXX</w:t>
      </w:r>
      <w:r>
        <w:rPr>
          <w:sz w:val="22"/>
        </w:rPr>
        <w:t xml:space="preserve"> y, como DEMANDADO</w:t>
      </w:r>
      <w:r w:rsidR="00CC5BF0">
        <w:rPr>
          <w:sz w:val="22"/>
        </w:rPr>
        <w:t>,</w:t>
      </w:r>
      <w:r>
        <w:rPr>
          <w:sz w:val="22"/>
        </w:rPr>
        <w:t xml:space="preserve"> el INSTITUTO FORAL DE BIENESTAR SOCIAL (IFBS), siendo el órgano de contratación el Consejo de Administración del mismo Instituto Foral.</w:t>
      </w:r>
    </w:p>
    <w:p w14:paraId="53E4D375" w14:textId="08055108" w:rsidR="00871AA1" w:rsidRDefault="00871AA1" w:rsidP="00D44891">
      <w:pPr>
        <w:spacing w:before="120" w:after="120"/>
        <w:jc w:val="both"/>
        <w:rPr>
          <w:sz w:val="22"/>
        </w:rPr>
      </w:pPr>
      <w:r>
        <w:rPr>
          <w:sz w:val="22"/>
        </w:rPr>
        <w:t>Visto el recurso especial interpuesto, este Órgano efectúa las siguientes consideraciones:</w:t>
      </w:r>
    </w:p>
    <w:p w14:paraId="36873F75" w14:textId="77777777" w:rsidR="00871AA1" w:rsidRDefault="00871AA1" w:rsidP="00871AA1">
      <w:pPr>
        <w:spacing w:after="120"/>
        <w:jc w:val="center"/>
        <w:rPr>
          <w:b/>
          <w:sz w:val="22"/>
        </w:rPr>
      </w:pPr>
    </w:p>
    <w:p w14:paraId="7D9A2FD6" w14:textId="77777777" w:rsidR="00871AA1" w:rsidRDefault="00871AA1" w:rsidP="00871AA1">
      <w:pPr>
        <w:spacing w:after="120"/>
        <w:jc w:val="center"/>
        <w:rPr>
          <w:b/>
          <w:sz w:val="22"/>
        </w:rPr>
      </w:pPr>
      <w:r>
        <w:rPr>
          <w:b/>
          <w:sz w:val="22"/>
        </w:rPr>
        <w:t>ANTECEDENTES DE HECHO</w:t>
      </w:r>
    </w:p>
    <w:p w14:paraId="1F2A17C2" w14:textId="77777777" w:rsidR="00871AA1" w:rsidRDefault="00871AA1" w:rsidP="00871AA1">
      <w:pPr>
        <w:pStyle w:val="Estilo1"/>
        <w:tabs>
          <w:tab w:val="left" w:pos="567"/>
        </w:tabs>
        <w:ind w:firstLine="0"/>
        <w:rPr>
          <w:b/>
          <w:sz w:val="22"/>
          <w:szCs w:val="22"/>
          <w:lang w:val="es-ES"/>
        </w:rPr>
      </w:pPr>
    </w:p>
    <w:p w14:paraId="4A29DF1E" w14:textId="7E5FCF21" w:rsidR="00CA6D24" w:rsidRDefault="00CA6D24" w:rsidP="00CA6D24">
      <w:pPr>
        <w:spacing w:before="120" w:after="120"/>
        <w:jc w:val="both"/>
        <w:rPr>
          <w:sz w:val="22"/>
          <w:szCs w:val="22"/>
        </w:rPr>
      </w:pPr>
      <w:r>
        <w:rPr>
          <w:b/>
          <w:sz w:val="22"/>
          <w:szCs w:val="22"/>
        </w:rPr>
        <w:t>1º.</w:t>
      </w:r>
      <w:r w:rsidRPr="001C3979">
        <w:rPr>
          <w:sz w:val="22"/>
        </w:rPr>
        <w:t xml:space="preserve"> </w:t>
      </w:r>
      <w:r>
        <w:rPr>
          <w:sz w:val="22"/>
        </w:rPr>
        <w:t xml:space="preserve">Mediante Acuerdo de 1 de agosto de 2024, el Consejo de Administración del IFBS determinó la necesidad de contratar y aprobó el expediente de contratación de los servicios </w:t>
      </w:r>
      <w:r w:rsidRPr="00417109">
        <w:rPr>
          <w:sz w:val="22"/>
        </w:rPr>
        <w:t>profesionales para el asesoramiento y la defensa jurídica y judicial del área del Menor y Familia del IFBS</w:t>
      </w:r>
      <w:r w:rsidR="00CC5BF0">
        <w:rPr>
          <w:sz w:val="22"/>
        </w:rPr>
        <w:t>,</w:t>
      </w:r>
      <w:r>
        <w:rPr>
          <w:sz w:val="22"/>
        </w:rPr>
        <w:t xml:space="preserve"> a tramitar como procedimiento abierto, con un presupuesto base de licitación de 242.000 € (IVA incluido) y un valor estimado de 500.000 € (IVA excluido).</w:t>
      </w:r>
    </w:p>
    <w:p w14:paraId="4361658E" w14:textId="016E13B5" w:rsidR="00CA6D24" w:rsidRDefault="00CA6D24" w:rsidP="00CA6D24">
      <w:pPr>
        <w:pStyle w:val="Estilo1"/>
        <w:tabs>
          <w:tab w:val="left" w:pos="567"/>
        </w:tabs>
        <w:ind w:firstLine="0"/>
        <w:rPr>
          <w:sz w:val="22"/>
          <w:szCs w:val="22"/>
          <w:lang w:val="es-ES"/>
        </w:rPr>
      </w:pPr>
      <w:bookmarkStart w:id="0" w:name="_Hlk69195781"/>
      <w:r>
        <w:rPr>
          <w:b/>
          <w:sz w:val="22"/>
          <w:szCs w:val="22"/>
          <w:lang w:val="es-ES"/>
        </w:rPr>
        <w:t>2º.</w:t>
      </w:r>
      <w:r>
        <w:rPr>
          <w:sz w:val="22"/>
          <w:szCs w:val="22"/>
          <w:lang w:val="es-ES"/>
        </w:rPr>
        <w:t xml:space="preserve"> Por Acuerdo de 19 de junio de 2025, </w:t>
      </w:r>
      <w:r>
        <w:rPr>
          <w:sz w:val="22"/>
        </w:rPr>
        <w:t xml:space="preserve">el Consejo de Administración del IFBS </w:t>
      </w:r>
      <w:r>
        <w:rPr>
          <w:sz w:val="22"/>
          <w:szCs w:val="22"/>
          <w:lang w:val="es-ES"/>
        </w:rPr>
        <w:t xml:space="preserve">excluyó de la licitación la oferta presentada por </w:t>
      </w:r>
      <w:r w:rsidR="00770E81">
        <w:rPr>
          <w:sz w:val="22"/>
          <w:szCs w:val="22"/>
          <w:lang w:val="es-ES"/>
        </w:rPr>
        <w:t>XXXXXXXXXXXX y XXXXXXXXXXXX</w:t>
      </w:r>
      <w:r>
        <w:rPr>
          <w:sz w:val="22"/>
        </w:rPr>
        <w:t xml:space="preserve"> (</w:t>
      </w:r>
      <w:r>
        <w:rPr>
          <w:sz w:val="22"/>
          <w:szCs w:val="22"/>
          <w:lang w:val="es-ES"/>
        </w:rPr>
        <w:t>con el compromiso de constitución en unión temporal de empresarias, en su caso)</w:t>
      </w:r>
      <w:r>
        <w:rPr>
          <w:sz w:val="22"/>
        </w:rPr>
        <w:t>,</w:t>
      </w:r>
      <w:r>
        <w:rPr>
          <w:sz w:val="22"/>
          <w:szCs w:val="22"/>
          <w:lang w:val="es-ES"/>
        </w:rPr>
        <w:t xml:space="preserve"> “por incurrir en un defecto no subsanable que afecta a su capacidad técnica para ejecutar adecuadamente el objeto del contrato: incumplir los requisitos técnicos exigidos en el Pliego de Prescripciones técnicas, en concreto, por no haber acreditado la licitadora la capacidad técnica requerida en el PPT apartado 3.1 Medios Humanos”. La misma resolución adjudicó el contrato a la empresa Arribas </w:t>
      </w:r>
      <w:proofErr w:type="spellStart"/>
      <w:r>
        <w:rPr>
          <w:sz w:val="22"/>
          <w:szCs w:val="22"/>
          <w:lang w:val="es-ES"/>
        </w:rPr>
        <w:t>Lajo</w:t>
      </w:r>
      <w:proofErr w:type="spellEnd"/>
      <w:r>
        <w:rPr>
          <w:sz w:val="22"/>
          <w:szCs w:val="22"/>
          <w:lang w:val="es-ES"/>
        </w:rPr>
        <w:t xml:space="preserve"> SC.</w:t>
      </w:r>
    </w:p>
    <w:p w14:paraId="0A81C265" w14:textId="77777777" w:rsidR="00CA6D24" w:rsidRDefault="00CA6D24" w:rsidP="00CA6D24">
      <w:pPr>
        <w:pStyle w:val="Estilo1"/>
        <w:tabs>
          <w:tab w:val="left" w:pos="567"/>
        </w:tabs>
        <w:ind w:firstLine="0"/>
        <w:rPr>
          <w:sz w:val="22"/>
          <w:szCs w:val="22"/>
          <w:lang w:val="es-ES"/>
        </w:rPr>
      </w:pPr>
      <w:r>
        <w:rPr>
          <w:sz w:val="22"/>
          <w:szCs w:val="22"/>
          <w:lang w:val="es-ES"/>
        </w:rPr>
        <w:lastRenderedPageBreak/>
        <w:t>El Acuerdo de 19 de junio de 2025 fue notificado a las hoy recurrentes el día 20 de junio de 2025.</w:t>
      </w:r>
    </w:p>
    <w:bookmarkEnd w:id="0"/>
    <w:p w14:paraId="36C36D3E" w14:textId="71A2D657" w:rsidR="007360FC" w:rsidRDefault="00CA6D24" w:rsidP="00CA6D24">
      <w:pPr>
        <w:spacing w:after="120"/>
        <w:jc w:val="both"/>
        <w:rPr>
          <w:sz w:val="22"/>
          <w:szCs w:val="22"/>
        </w:rPr>
      </w:pPr>
      <w:r>
        <w:rPr>
          <w:b/>
          <w:sz w:val="22"/>
          <w:szCs w:val="22"/>
        </w:rPr>
        <w:t xml:space="preserve">3º. </w:t>
      </w:r>
      <w:r>
        <w:rPr>
          <w:sz w:val="22"/>
          <w:szCs w:val="22"/>
        </w:rPr>
        <w:t xml:space="preserve">El 10 de julio de 2025 tiene entrada en el Registro Electrónico Común el escrito de interposición de recurso especial en materia de contratación presentado por </w:t>
      </w:r>
      <w:r w:rsidR="00770E81">
        <w:rPr>
          <w:sz w:val="22"/>
          <w:szCs w:val="22"/>
        </w:rPr>
        <w:t>XXXXXXXXXX y XXXXXXXXXXXXXXX</w:t>
      </w:r>
      <w:r>
        <w:rPr>
          <w:sz w:val="22"/>
          <w:szCs w:val="22"/>
        </w:rPr>
        <w:t>, en impugnación del acto de adjudicación</w:t>
      </w:r>
      <w:r w:rsidR="004F28D2">
        <w:rPr>
          <w:sz w:val="22"/>
          <w:szCs w:val="22"/>
        </w:rPr>
        <w:t xml:space="preserve"> y solicitando que se declare la nulidad del mismo, se acuerde la retroacción de las actuaciones al momento inmediatamente anterior a la exclusión de las recurrentes,</w:t>
      </w:r>
      <w:r w:rsidR="007360FC">
        <w:rPr>
          <w:sz w:val="22"/>
          <w:szCs w:val="22"/>
        </w:rPr>
        <w:t xml:space="preserve"> se ordene al órgano de contratación la formulación de propuesta de adjudicación a favor de las mismas recurrentes y, subsidiariamente, se les permita subsanar la acreditación de los requisitos técnicos a que se refiere el punto 8.3 del Pliego de Prescripciones Técnicas del Contrato.</w:t>
      </w:r>
    </w:p>
    <w:p w14:paraId="71ABCFF8" w14:textId="64715DB6" w:rsidR="00C14935" w:rsidRPr="00A56C4A" w:rsidRDefault="00C14935" w:rsidP="00C14935">
      <w:pPr>
        <w:spacing w:before="120" w:after="120"/>
        <w:jc w:val="both"/>
        <w:rPr>
          <w:sz w:val="22"/>
          <w:szCs w:val="22"/>
        </w:rPr>
      </w:pPr>
      <w:r w:rsidRPr="00A85142">
        <w:rPr>
          <w:b/>
          <w:bCs/>
          <w:sz w:val="22"/>
          <w:szCs w:val="22"/>
        </w:rPr>
        <w:t>4º</w:t>
      </w:r>
      <w:r w:rsidR="00A85142" w:rsidRPr="00A85142">
        <w:rPr>
          <w:b/>
          <w:bCs/>
          <w:sz w:val="22"/>
          <w:szCs w:val="22"/>
        </w:rPr>
        <w:t>.</w:t>
      </w:r>
      <w:r>
        <w:rPr>
          <w:sz w:val="22"/>
          <w:szCs w:val="22"/>
        </w:rPr>
        <w:t xml:space="preserve"> S</w:t>
      </w:r>
      <w:r w:rsidRPr="00A56C4A">
        <w:rPr>
          <w:sz w:val="22"/>
          <w:szCs w:val="22"/>
        </w:rPr>
        <w:t xml:space="preserve">e </w:t>
      </w:r>
      <w:r>
        <w:rPr>
          <w:sz w:val="22"/>
          <w:szCs w:val="22"/>
        </w:rPr>
        <w:t>ha dado</w:t>
      </w:r>
      <w:r w:rsidRPr="00A56C4A">
        <w:rPr>
          <w:sz w:val="22"/>
          <w:szCs w:val="22"/>
        </w:rPr>
        <w:t xml:space="preserve"> traslado</w:t>
      </w:r>
      <w:r>
        <w:rPr>
          <w:sz w:val="22"/>
          <w:szCs w:val="22"/>
        </w:rPr>
        <w:t xml:space="preserve"> del recurso</w:t>
      </w:r>
      <w:r w:rsidRPr="00A56C4A">
        <w:rPr>
          <w:sz w:val="22"/>
          <w:szCs w:val="22"/>
        </w:rPr>
        <w:t xml:space="preserve"> al </w:t>
      </w:r>
      <w:r>
        <w:rPr>
          <w:sz w:val="22"/>
          <w:szCs w:val="22"/>
        </w:rPr>
        <w:t>órgano de contratación, con</w:t>
      </w:r>
      <w:r w:rsidRPr="00A56C4A">
        <w:rPr>
          <w:sz w:val="22"/>
          <w:szCs w:val="22"/>
        </w:rPr>
        <w:t xml:space="preserve"> solicitud del expediente y del informe correspondiente, en cumplimiento de lo previsto en el art. 56.2 LCSP</w:t>
      </w:r>
      <w:r>
        <w:rPr>
          <w:sz w:val="22"/>
          <w:szCs w:val="22"/>
        </w:rPr>
        <w:t xml:space="preserve">, informe que se recibió el día </w:t>
      </w:r>
      <w:r w:rsidR="00A85142">
        <w:rPr>
          <w:sz w:val="22"/>
          <w:szCs w:val="22"/>
        </w:rPr>
        <w:t>16 de julio de 2025</w:t>
      </w:r>
      <w:r w:rsidRPr="00036D41">
        <w:rPr>
          <w:sz w:val="22"/>
          <w:szCs w:val="22"/>
        </w:rPr>
        <w:t xml:space="preserve"> </w:t>
      </w:r>
      <w:r w:rsidRPr="00A56C4A">
        <w:rPr>
          <w:sz w:val="22"/>
          <w:szCs w:val="22"/>
        </w:rPr>
        <w:t>en el Órgano Administrativo Foral de Recursos Contractuales</w:t>
      </w:r>
      <w:r>
        <w:rPr>
          <w:sz w:val="22"/>
          <w:szCs w:val="22"/>
        </w:rPr>
        <w:t>,</w:t>
      </w:r>
      <w:r w:rsidRPr="00036D41">
        <w:rPr>
          <w:sz w:val="22"/>
          <w:szCs w:val="22"/>
        </w:rPr>
        <w:t xml:space="preserve"> </w:t>
      </w:r>
      <w:r>
        <w:rPr>
          <w:sz w:val="22"/>
          <w:szCs w:val="22"/>
        </w:rPr>
        <w:t>proponiendo</w:t>
      </w:r>
      <w:r w:rsidRPr="00A56C4A">
        <w:rPr>
          <w:sz w:val="22"/>
          <w:szCs w:val="22"/>
        </w:rPr>
        <w:t xml:space="preserve"> la desestimación del recurso</w:t>
      </w:r>
      <w:r>
        <w:rPr>
          <w:sz w:val="22"/>
          <w:szCs w:val="22"/>
        </w:rPr>
        <w:t>.</w:t>
      </w:r>
    </w:p>
    <w:p w14:paraId="675649BD" w14:textId="238E2795" w:rsidR="00C14935" w:rsidRDefault="00C14935" w:rsidP="00C14935">
      <w:pPr>
        <w:spacing w:before="120" w:after="120"/>
        <w:jc w:val="both"/>
        <w:rPr>
          <w:sz w:val="22"/>
          <w:szCs w:val="22"/>
        </w:rPr>
      </w:pPr>
      <w:r w:rsidRPr="007E0A26">
        <w:rPr>
          <w:b/>
          <w:bCs/>
          <w:sz w:val="22"/>
          <w:szCs w:val="22"/>
        </w:rPr>
        <w:t>5</w:t>
      </w:r>
      <w:r w:rsidRPr="00746007">
        <w:rPr>
          <w:b/>
          <w:bCs/>
          <w:sz w:val="22"/>
          <w:szCs w:val="22"/>
        </w:rPr>
        <w:t>º.</w:t>
      </w:r>
      <w:r w:rsidRPr="00851BD2">
        <w:rPr>
          <w:sz w:val="22"/>
          <w:szCs w:val="22"/>
        </w:rPr>
        <w:t xml:space="preserve"> </w:t>
      </w:r>
      <w:r>
        <w:rPr>
          <w:sz w:val="22"/>
          <w:szCs w:val="22"/>
        </w:rPr>
        <w:t xml:space="preserve">Asimismo, </w:t>
      </w:r>
      <w:r w:rsidR="00A85142">
        <w:rPr>
          <w:sz w:val="22"/>
          <w:szCs w:val="22"/>
        </w:rPr>
        <w:t>se ha dado</w:t>
      </w:r>
      <w:r w:rsidRPr="00A56C4A">
        <w:rPr>
          <w:sz w:val="22"/>
          <w:szCs w:val="22"/>
        </w:rPr>
        <w:t xml:space="preserve"> traslado del </w:t>
      </w:r>
      <w:r w:rsidR="00A85142">
        <w:rPr>
          <w:sz w:val="22"/>
          <w:szCs w:val="22"/>
        </w:rPr>
        <w:t>r</w:t>
      </w:r>
      <w:r w:rsidRPr="00A56C4A">
        <w:rPr>
          <w:sz w:val="22"/>
          <w:szCs w:val="22"/>
        </w:rPr>
        <w:t xml:space="preserve">ecurso </w:t>
      </w:r>
      <w:r>
        <w:rPr>
          <w:sz w:val="22"/>
          <w:szCs w:val="22"/>
        </w:rPr>
        <w:t>al</w:t>
      </w:r>
      <w:r w:rsidRPr="00A56C4A">
        <w:rPr>
          <w:sz w:val="22"/>
          <w:szCs w:val="22"/>
        </w:rPr>
        <w:t xml:space="preserve"> resto de interesados, en cumplimiento de lo previsto en el art. 56.3 LCSP, otorgándoles un plazo de cinco días hábiles para formular alegaciones</w:t>
      </w:r>
      <w:r>
        <w:rPr>
          <w:sz w:val="22"/>
          <w:szCs w:val="22"/>
        </w:rPr>
        <w:t xml:space="preserve">, </w:t>
      </w:r>
      <w:r w:rsidR="00A85142">
        <w:rPr>
          <w:sz w:val="22"/>
          <w:szCs w:val="22"/>
        </w:rPr>
        <w:t>sin que éstas hayan sido formuladas.</w:t>
      </w:r>
    </w:p>
    <w:p w14:paraId="675534BF" w14:textId="72918D60" w:rsidR="00871AA1" w:rsidRPr="00CA6D24" w:rsidRDefault="00C14935" w:rsidP="00C14935">
      <w:pPr>
        <w:spacing w:after="120"/>
        <w:jc w:val="both"/>
        <w:rPr>
          <w:sz w:val="22"/>
          <w:szCs w:val="22"/>
        </w:rPr>
      </w:pPr>
      <w:r w:rsidRPr="00A85142">
        <w:rPr>
          <w:b/>
          <w:bCs/>
          <w:sz w:val="22"/>
          <w:szCs w:val="22"/>
        </w:rPr>
        <w:t>6º</w:t>
      </w:r>
      <w:r w:rsidRPr="00F651A0">
        <w:rPr>
          <w:sz w:val="22"/>
          <w:szCs w:val="22"/>
        </w:rPr>
        <w:t>.</w:t>
      </w:r>
      <w:r w:rsidRPr="00A56C4A">
        <w:rPr>
          <w:sz w:val="22"/>
          <w:szCs w:val="22"/>
        </w:rPr>
        <w:t xml:space="preserve"> Con fecha </w:t>
      </w:r>
      <w:r>
        <w:rPr>
          <w:sz w:val="22"/>
          <w:szCs w:val="22"/>
        </w:rPr>
        <w:t xml:space="preserve">1 de </w:t>
      </w:r>
      <w:r w:rsidR="00A85142">
        <w:rPr>
          <w:sz w:val="22"/>
          <w:szCs w:val="22"/>
        </w:rPr>
        <w:t>agosto</w:t>
      </w:r>
      <w:r>
        <w:rPr>
          <w:sz w:val="22"/>
          <w:szCs w:val="22"/>
        </w:rPr>
        <w:t xml:space="preserve"> de 202</w:t>
      </w:r>
      <w:r w:rsidR="00A85142">
        <w:rPr>
          <w:sz w:val="22"/>
          <w:szCs w:val="22"/>
        </w:rPr>
        <w:t>5</w:t>
      </w:r>
      <w:r>
        <w:rPr>
          <w:sz w:val="22"/>
          <w:szCs w:val="22"/>
        </w:rPr>
        <w:t xml:space="preserve"> </w:t>
      </w:r>
      <w:r w:rsidRPr="00A56C4A">
        <w:rPr>
          <w:sz w:val="22"/>
          <w:szCs w:val="22"/>
        </w:rPr>
        <w:t xml:space="preserve">este Órgano Administrativo dictó la Resolución </w:t>
      </w:r>
      <w:r w:rsidR="00A85142">
        <w:rPr>
          <w:sz w:val="22"/>
          <w:szCs w:val="22"/>
        </w:rPr>
        <w:t>26</w:t>
      </w:r>
      <w:r>
        <w:rPr>
          <w:sz w:val="22"/>
          <w:szCs w:val="22"/>
        </w:rPr>
        <w:t>/202</w:t>
      </w:r>
      <w:r w:rsidR="00A85142">
        <w:rPr>
          <w:sz w:val="22"/>
          <w:szCs w:val="22"/>
        </w:rPr>
        <w:t>5</w:t>
      </w:r>
      <w:r w:rsidRPr="00A56C4A">
        <w:rPr>
          <w:sz w:val="22"/>
          <w:szCs w:val="22"/>
        </w:rPr>
        <w:t xml:space="preserve"> acordando la suspensión del procedimiento de contratación hasta tanto se resuelva sobre el fondo del recurso especial</w:t>
      </w:r>
      <w:r>
        <w:rPr>
          <w:sz w:val="22"/>
          <w:szCs w:val="22"/>
        </w:rPr>
        <w:t>, resolución que fue notificada seguidamente a las partes</w:t>
      </w:r>
      <w:r w:rsidR="00CC5BF0">
        <w:rPr>
          <w:sz w:val="22"/>
          <w:szCs w:val="22"/>
        </w:rPr>
        <w:t>.</w:t>
      </w:r>
    </w:p>
    <w:p w14:paraId="4AD563E5" w14:textId="77777777" w:rsidR="00871AA1" w:rsidRDefault="00871AA1" w:rsidP="00A85142">
      <w:pPr>
        <w:spacing w:before="480" w:after="480"/>
        <w:jc w:val="center"/>
        <w:rPr>
          <w:b/>
          <w:sz w:val="22"/>
        </w:rPr>
      </w:pPr>
      <w:r>
        <w:rPr>
          <w:b/>
          <w:sz w:val="22"/>
        </w:rPr>
        <w:t>FUNDAMENTOS DE DERECHO</w:t>
      </w:r>
    </w:p>
    <w:p w14:paraId="7766203B" w14:textId="5FAB5C0E" w:rsidR="00871AA1" w:rsidRDefault="00871AA1" w:rsidP="00871AA1">
      <w:pPr>
        <w:spacing w:before="120" w:after="120"/>
        <w:jc w:val="both"/>
        <w:rPr>
          <w:sz w:val="22"/>
          <w:szCs w:val="22"/>
        </w:rPr>
      </w:pPr>
      <w:proofErr w:type="gramStart"/>
      <w:r>
        <w:rPr>
          <w:b/>
          <w:sz w:val="22"/>
          <w:szCs w:val="22"/>
        </w:rPr>
        <w:t>PRIMERO.</w:t>
      </w:r>
      <w:r w:rsidR="00B31F05">
        <w:rPr>
          <w:b/>
          <w:sz w:val="22"/>
          <w:szCs w:val="22"/>
        </w:rPr>
        <w:t>-</w:t>
      </w:r>
      <w:proofErr w:type="gramEnd"/>
      <w:r>
        <w:rPr>
          <w:sz w:val="22"/>
          <w:szCs w:val="22"/>
        </w:rPr>
        <w:t xml:space="preserve"> </w:t>
      </w:r>
      <w:r w:rsidRPr="00A56C4A">
        <w:rPr>
          <w:sz w:val="22"/>
          <w:szCs w:val="22"/>
        </w:rPr>
        <w:t>Es objeto del presente procedimiento la resolución del recurso especial en materia de contratación interpuesto por la</w:t>
      </w:r>
      <w:r w:rsidR="00327156">
        <w:rPr>
          <w:sz w:val="22"/>
          <w:szCs w:val="22"/>
        </w:rPr>
        <w:t>s personas r</w:t>
      </w:r>
      <w:r>
        <w:rPr>
          <w:sz w:val="22"/>
          <w:szCs w:val="22"/>
        </w:rPr>
        <w:t>ecurrente</w:t>
      </w:r>
      <w:r w:rsidR="00327156">
        <w:rPr>
          <w:sz w:val="22"/>
          <w:szCs w:val="22"/>
        </w:rPr>
        <w:t>s identificadas en el encabezamiento</w:t>
      </w:r>
      <w:r w:rsidRPr="00A56C4A">
        <w:rPr>
          <w:sz w:val="22"/>
          <w:szCs w:val="22"/>
        </w:rPr>
        <w:t xml:space="preserve"> contra </w:t>
      </w:r>
      <w:r>
        <w:rPr>
          <w:sz w:val="22"/>
          <w:szCs w:val="22"/>
        </w:rPr>
        <w:t xml:space="preserve">el Acuerdo del Consejo de Administración del Instituto Foral de Bienestar Social de </w:t>
      </w:r>
      <w:r w:rsidR="005B3E34">
        <w:rPr>
          <w:sz w:val="22"/>
          <w:szCs w:val="22"/>
        </w:rPr>
        <w:t>Á</w:t>
      </w:r>
      <w:r>
        <w:rPr>
          <w:sz w:val="22"/>
          <w:szCs w:val="22"/>
        </w:rPr>
        <w:t>lava</w:t>
      </w:r>
      <w:r w:rsidR="00327156">
        <w:rPr>
          <w:sz w:val="22"/>
          <w:szCs w:val="22"/>
        </w:rPr>
        <w:t xml:space="preserve"> de </w:t>
      </w:r>
      <w:r w:rsidR="00327156">
        <w:rPr>
          <w:sz w:val="22"/>
        </w:rPr>
        <w:t>19 de junio de 2025, de “Adjudicación del expediente de contratación de los servicios profesionales para el asesoramiento y la defensa jurídica y judicial del Área del Menor y Familia”</w:t>
      </w:r>
      <w:r>
        <w:rPr>
          <w:sz w:val="22"/>
          <w:szCs w:val="22"/>
        </w:rPr>
        <w:t>.</w:t>
      </w:r>
    </w:p>
    <w:p w14:paraId="23EF61AF" w14:textId="19D5D999" w:rsidR="00871AA1" w:rsidRPr="00A56C4A" w:rsidRDefault="00793F97" w:rsidP="00871AA1">
      <w:pPr>
        <w:spacing w:before="120" w:after="120"/>
        <w:jc w:val="both"/>
        <w:rPr>
          <w:sz w:val="22"/>
          <w:szCs w:val="22"/>
        </w:rPr>
      </w:pPr>
      <w:r>
        <w:rPr>
          <w:sz w:val="22"/>
          <w:szCs w:val="22"/>
        </w:rPr>
        <w:t xml:space="preserve">Teniendo en </w:t>
      </w:r>
      <w:r w:rsidRPr="00130EBE">
        <w:rPr>
          <w:sz w:val="22"/>
          <w:szCs w:val="22"/>
        </w:rPr>
        <w:t xml:space="preserve">cuenta </w:t>
      </w:r>
      <w:r w:rsidR="00107CAE" w:rsidRPr="00130EBE">
        <w:rPr>
          <w:sz w:val="22"/>
          <w:szCs w:val="22"/>
        </w:rPr>
        <w:t xml:space="preserve">lo anterior y </w:t>
      </w:r>
      <w:r w:rsidRPr="00130EBE">
        <w:rPr>
          <w:sz w:val="22"/>
          <w:szCs w:val="22"/>
        </w:rPr>
        <w:t xml:space="preserve">que el valor estimado del contrato es </w:t>
      </w:r>
      <w:r w:rsidR="006D2A28">
        <w:rPr>
          <w:sz w:val="22"/>
          <w:szCs w:val="22"/>
        </w:rPr>
        <w:t xml:space="preserve">de </w:t>
      </w:r>
      <w:r w:rsidR="00637780">
        <w:rPr>
          <w:sz w:val="22"/>
          <w:szCs w:val="22"/>
        </w:rPr>
        <w:t>500.000</w:t>
      </w:r>
      <w:r w:rsidR="00107CAE" w:rsidRPr="00130EBE">
        <w:rPr>
          <w:sz w:val="22"/>
          <w:szCs w:val="22"/>
        </w:rPr>
        <w:t xml:space="preserve"> euros, </w:t>
      </w:r>
      <w:r w:rsidR="00BF5872" w:rsidRPr="00130EBE">
        <w:rPr>
          <w:sz w:val="22"/>
          <w:szCs w:val="22"/>
        </w:rPr>
        <w:t xml:space="preserve">se concluye, </w:t>
      </w:r>
      <w:r w:rsidR="00107CAE" w:rsidRPr="00130EBE">
        <w:rPr>
          <w:sz w:val="22"/>
          <w:szCs w:val="22"/>
        </w:rPr>
        <w:t xml:space="preserve">conforme a lo previsto en el </w:t>
      </w:r>
      <w:r w:rsidR="00871AA1" w:rsidRPr="00130EBE">
        <w:rPr>
          <w:sz w:val="22"/>
          <w:szCs w:val="22"/>
        </w:rPr>
        <w:t>art. 44 de la LCSP</w:t>
      </w:r>
      <w:r w:rsidR="00BF5872" w:rsidRPr="00130EBE">
        <w:rPr>
          <w:sz w:val="22"/>
          <w:szCs w:val="22"/>
        </w:rPr>
        <w:t>,</w:t>
      </w:r>
      <w:r w:rsidR="00871AA1" w:rsidRPr="00130EBE">
        <w:rPr>
          <w:sz w:val="22"/>
          <w:szCs w:val="22"/>
        </w:rPr>
        <w:t xml:space="preserve"> </w:t>
      </w:r>
      <w:r w:rsidR="00BF5872" w:rsidRPr="00130EBE">
        <w:rPr>
          <w:sz w:val="22"/>
          <w:szCs w:val="22"/>
        </w:rPr>
        <w:t xml:space="preserve">que </w:t>
      </w:r>
      <w:r w:rsidR="00871AA1" w:rsidRPr="00130EBE">
        <w:rPr>
          <w:sz w:val="22"/>
          <w:szCs w:val="22"/>
        </w:rPr>
        <w:t>el</w:t>
      </w:r>
      <w:r w:rsidR="00871AA1">
        <w:rPr>
          <w:sz w:val="22"/>
          <w:szCs w:val="22"/>
        </w:rPr>
        <w:t xml:space="preserve"> acto</w:t>
      </w:r>
      <w:r w:rsidR="00871AA1" w:rsidRPr="00A56C4A">
        <w:rPr>
          <w:sz w:val="22"/>
          <w:szCs w:val="22"/>
        </w:rPr>
        <w:t xml:space="preserve"> es susceptible de</w:t>
      </w:r>
      <w:r w:rsidR="00871AA1">
        <w:rPr>
          <w:sz w:val="22"/>
          <w:szCs w:val="22"/>
        </w:rPr>
        <w:t xml:space="preserve"> </w:t>
      </w:r>
      <w:r w:rsidR="00107CAE">
        <w:rPr>
          <w:sz w:val="22"/>
          <w:szCs w:val="22"/>
        </w:rPr>
        <w:t>impugnación</w:t>
      </w:r>
      <w:r w:rsidR="00871AA1">
        <w:rPr>
          <w:sz w:val="22"/>
          <w:szCs w:val="22"/>
        </w:rPr>
        <w:t xml:space="preserve"> mediante</w:t>
      </w:r>
      <w:r w:rsidR="00871AA1" w:rsidRPr="00A56C4A">
        <w:rPr>
          <w:sz w:val="22"/>
          <w:szCs w:val="22"/>
        </w:rPr>
        <w:t xml:space="preserve"> recurso especial</w:t>
      </w:r>
      <w:r w:rsidR="00871AA1">
        <w:rPr>
          <w:sz w:val="22"/>
          <w:szCs w:val="22"/>
        </w:rPr>
        <w:t xml:space="preserve"> en materia de contratación.</w:t>
      </w:r>
    </w:p>
    <w:p w14:paraId="31833FEE" w14:textId="77777777" w:rsidR="00871AA1" w:rsidRDefault="00871AA1" w:rsidP="00871AA1">
      <w:pPr>
        <w:jc w:val="both"/>
        <w:rPr>
          <w:b/>
          <w:sz w:val="22"/>
          <w:szCs w:val="22"/>
        </w:rPr>
      </w:pPr>
    </w:p>
    <w:p w14:paraId="133860A2" w14:textId="54E98D04" w:rsidR="00871AA1" w:rsidRDefault="00871AA1" w:rsidP="00871AA1">
      <w:pPr>
        <w:jc w:val="both"/>
        <w:rPr>
          <w:sz w:val="22"/>
        </w:rPr>
      </w:pPr>
      <w:r>
        <w:rPr>
          <w:b/>
          <w:sz w:val="22"/>
          <w:szCs w:val="22"/>
        </w:rPr>
        <w:t>SEGUNDO.</w:t>
      </w:r>
      <w:r w:rsidR="00B31F05">
        <w:rPr>
          <w:b/>
          <w:sz w:val="22"/>
          <w:szCs w:val="22"/>
        </w:rPr>
        <w:t>-</w:t>
      </w:r>
      <w:r>
        <w:rPr>
          <w:sz w:val="22"/>
          <w:szCs w:val="22"/>
        </w:rPr>
        <w:t xml:space="preserve"> </w:t>
      </w:r>
      <w:r w:rsidRPr="00A56C4A">
        <w:rPr>
          <w:sz w:val="22"/>
          <w:szCs w:val="22"/>
        </w:rPr>
        <w:t>La competencia para resolver el recurso especial corresponde a este Órgano conforme a lo establecido en el art. 46.5 LCSP, y en el Decreto Foral 44/2010, de 28 de septiembre, del Consejo de Gobierno Foral,</w:t>
      </w:r>
      <w:r w:rsidRPr="00C320DC">
        <w:t xml:space="preserve"> </w:t>
      </w:r>
      <w:r w:rsidRPr="00C320DC">
        <w:rPr>
          <w:sz w:val="22"/>
          <w:szCs w:val="22"/>
        </w:rPr>
        <w:t>que aprueba la creación del Órgano Administrativo Foral de Recursos Contractuales</w:t>
      </w:r>
      <w:r>
        <w:rPr>
          <w:sz w:val="22"/>
          <w:szCs w:val="22"/>
        </w:rPr>
        <w:t>,</w:t>
      </w:r>
      <w:r w:rsidRPr="00A56C4A">
        <w:rPr>
          <w:sz w:val="22"/>
          <w:szCs w:val="22"/>
        </w:rPr>
        <w:t xml:space="preserv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74DFF227" w14:textId="77777777" w:rsidR="00871AA1" w:rsidRDefault="00871AA1" w:rsidP="00871AA1">
      <w:pPr>
        <w:jc w:val="both"/>
        <w:rPr>
          <w:i/>
          <w:sz w:val="22"/>
          <w:szCs w:val="22"/>
        </w:rPr>
      </w:pPr>
    </w:p>
    <w:p w14:paraId="4E59B110" w14:textId="1F5E5194" w:rsidR="00871AA1" w:rsidRDefault="00871AA1" w:rsidP="00871AA1">
      <w:pPr>
        <w:spacing w:after="360"/>
        <w:jc w:val="both"/>
        <w:rPr>
          <w:sz w:val="22"/>
          <w:szCs w:val="22"/>
        </w:rPr>
      </w:pPr>
      <w:proofErr w:type="gramStart"/>
      <w:r>
        <w:rPr>
          <w:b/>
          <w:sz w:val="22"/>
        </w:rPr>
        <w:t>TERCERO.-</w:t>
      </w:r>
      <w:proofErr w:type="gramEnd"/>
      <w:r w:rsidRPr="005B514E">
        <w:rPr>
          <w:sz w:val="22"/>
          <w:szCs w:val="22"/>
        </w:rPr>
        <w:t xml:space="preserve"> </w:t>
      </w:r>
      <w:r w:rsidRPr="00A56C4A">
        <w:rPr>
          <w:sz w:val="22"/>
          <w:szCs w:val="22"/>
        </w:rPr>
        <w:t xml:space="preserve">El recurso se ha interpuesto dentro del plazo de quince días hábiles establecido en el artículo 50.1 </w:t>
      </w:r>
      <w:r>
        <w:rPr>
          <w:sz w:val="22"/>
          <w:szCs w:val="22"/>
        </w:rPr>
        <w:t>d</w:t>
      </w:r>
      <w:r w:rsidRPr="00A56C4A">
        <w:rPr>
          <w:sz w:val="22"/>
          <w:szCs w:val="22"/>
        </w:rPr>
        <w:t xml:space="preserve">) de la LCSP, a contar a partir del día siguiente a aquel en que se haya </w:t>
      </w:r>
      <w:r>
        <w:rPr>
          <w:sz w:val="22"/>
          <w:szCs w:val="22"/>
        </w:rPr>
        <w:t>notificado la adjudicación</w:t>
      </w:r>
      <w:r w:rsidRPr="00A56C4A">
        <w:rPr>
          <w:sz w:val="22"/>
          <w:szCs w:val="22"/>
        </w:rPr>
        <w:t xml:space="preserve">. </w:t>
      </w:r>
    </w:p>
    <w:p w14:paraId="61EA860E" w14:textId="56498736" w:rsidR="00871AA1" w:rsidRDefault="00871AA1" w:rsidP="00871AA1">
      <w:pPr>
        <w:spacing w:after="360"/>
        <w:jc w:val="both"/>
        <w:rPr>
          <w:sz w:val="22"/>
          <w:szCs w:val="22"/>
        </w:rPr>
      </w:pPr>
      <w:proofErr w:type="gramStart"/>
      <w:r>
        <w:rPr>
          <w:b/>
          <w:bCs/>
          <w:sz w:val="22"/>
          <w:szCs w:val="22"/>
        </w:rPr>
        <w:lastRenderedPageBreak/>
        <w:t>CUARTO</w:t>
      </w:r>
      <w:r w:rsidRPr="00A56C4A">
        <w:rPr>
          <w:sz w:val="22"/>
          <w:szCs w:val="22"/>
        </w:rPr>
        <w:t>.-</w:t>
      </w:r>
      <w:proofErr w:type="gramEnd"/>
      <w:r w:rsidRPr="00A56C4A">
        <w:rPr>
          <w:sz w:val="22"/>
          <w:szCs w:val="22"/>
        </w:rPr>
        <w:t xml:space="preserve"> La</w:t>
      </w:r>
      <w:r w:rsidR="00637780">
        <w:rPr>
          <w:sz w:val="22"/>
          <w:szCs w:val="22"/>
        </w:rPr>
        <w:t>s</w:t>
      </w:r>
      <w:r w:rsidRPr="00A56C4A">
        <w:rPr>
          <w:sz w:val="22"/>
          <w:szCs w:val="22"/>
        </w:rPr>
        <w:t xml:space="preserve"> </w:t>
      </w:r>
      <w:r w:rsidR="00637780">
        <w:rPr>
          <w:sz w:val="22"/>
          <w:szCs w:val="22"/>
        </w:rPr>
        <w:t xml:space="preserve">personas </w:t>
      </w:r>
      <w:r w:rsidRPr="00A56C4A">
        <w:rPr>
          <w:sz w:val="22"/>
          <w:szCs w:val="22"/>
        </w:rPr>
        <w:t>reclamante</w:t>
      </w:r>
      <w:r w:rsidR="00637780">
        <w:rPr>
          <w:sz w:val="22"/>
          <w:szCs w:val="22"/>
        </w:rPr>
        <w:t>s</w:t>
      </w:r>
      <w:r w:rsidRPr="00A56C4A">
        <w:rPr>
          <w:sz w:val="22"/>
          <w:szCs w:val="22"/>
        </w:rPr>
        <w:t xml:space="preserve"> ostenta</w:t>
      </w:r>
      <w:r w:rsidR="00637780">
        <w:rPr>
          <w:sz w:val="22"/>
          <w:szCs w:val="22"/>
        </w:rPr>
        <w:t>n</w:t>
      </w:r>
      <w:r w:rsidRPr="00A56C4A">
        <w:rPr>
          <w:sz w:val="22"/>
          <w:szCs w:val="22"/>
        </w:rPr>
        <w:t xml:space="preserve"> legitimación de acuerdo con el artículo 48 de la LCSP, que señala en su párrafo primero que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66A7FAFB" w14:textId="4AC1FB86" w:rsidR="00781F2C" w:rsidRPr="007836B7" w:rsidRDefault="00871AA1" w:rsidP="002B638E">
      <w:pPr>
        <w:jc w:val="both"/>
        <w:rPr>
          <w:sz w:val="22"/>
          <w:szCs w:val="22"/>
        </w:rPr>
      </w:pPr>
      <w:r w:rsidRPr="000B2D47">
        <w:rPr>
          <w:b/>
          <w:bCs/>
          <w:sz w:val="22"/>
          <w:szCs w:val="22"/>
        </w:rPr>
        <w:t>QUINTO.</w:t>
      </w:r>
      <w:r w:rsidR="00B31F05">
        <w:rPr>
          <w:b/>
          <w:bCs/>
          <w:sz w:val="22"/>
          <w:szCs w:val="22"/>
        </w:rPr>
        <w:t>-</w:t>
      </w:r>
      <w:r>
        <w:rPr>
          <w:b/>
          <w:bCs/>
          <w:sz w:val="22"/>
          <w:szCs w:val="22"/>
        </w:rPr>
        <w:t xml:space="preserve"> </w:t>
      </w:r>
      <w:r w:rsidR="006D2A28" w:rsidRPr="007836B7">
        <w:rPr>
          <w:sz w:val="22"/>
          <w:szCs w:val="22"/>
        </w:rPr>
        <w:t>Las recurrentes funda</w:t>
      </w:r>
      <w:r w:rsidR="007836B7">
        <w:rPr>
          <w:sz w:val="22"/>
          <w:szCs w:val="22"/>
        </w:rPr>
        <w:t>n</w:t>
      </w:r>
      <w:r w:rsidR="006D2A28" w:rsidRPr="007836B7">
        <w:rPr>
          <w:sz w:val="22"/>
          <w:szCs w:val="22"/>
        </w:rPr>
        <w:t xml:space="preserve"> sus pretensiones</w:t>
      </w:r>
      <w:r w:rsidR="007836B7">
        <w:rPr>
          <w:sz w:val="22"/>
          <w:szCs w:val="22"/>
        </w:rPr>
        <w:t xml:space="preserve">, </w:t>
      </w:r>
      <w:r w:rsidR="00EE769D">
        <w:rPr>
          <w:sz w:val="22"/>
          <w:szCs w:val="22"/>
        </w:rPr>
        <w:t>por un lado</w:t>
      </w:r>
      <w:r w:rsidR="007836B7">
        <w:rPr>
          <w:sz w:val="22"/>
          <w:szCs w:val="22"/>
        </w:rPr>
        <w:t>, en la infracción procedimental en que ha incurrido, a su juicio, el órgano de contratación, consistente en el requerimiento de acreditación de la experiencia profesional exigida por los pliegos del contrato con anterioridad de la elevación de la propuesta de adjudicación, con vulneración de lo establecido en los artículos 140 y 150 de la Ley 9/2017, de 8 de noviembre, de Contratos del Sector Público</w:t>
      </w:r>
      <w:r w:rsidR="0072223F">
        <w:rPr>
          <w:sz w:val="22"/>
          <w:szCs w:val="22"/>
        </w:rPr>
        <w:t xml:space="preserve"> (LCSP)</w:t>
      </w:r>
      <w:r w:rsidR="007836B7">
        <w:rPr>
          <w:sz w:val="22"/>
          <w:szCs w:val="22"/>
        </w:rPr>
        <w:t>, y en las cláusulas 8.1 y 8.2 del pliego de cláusulas administrativas particulares.</w:t>
      </w:r>
    </w:p>
    <w:p w14:paraId="2105F460" w14:textId="77777777" w:rsidR="00781F2C" w:rsidRPr="007836B7" w:rsidRDefault="00781F2C" w:rsidP="002B638E">
      <w:pPr>
        <w:jc w:val="both"/>
        <w:rPr>
          <w:sz w:val="22"/>
          <w:szCs w:val="22"/>
        </w:rPr>
      </w:pPr>
    </w:p>
    <w:p w14:paraId="5A1F682F" w14:textId="1532F110" w:rsidR="00781F2C" w:rsidRDefault="00EE769D" w:rsidP="002B638E">
      <w:pPr>
        <w:jc w:val="both"/>
        <w:rPr>
          <w:sz w:val="22"/>
          <w:szCs w:val="22"/>
        </w:rPr>
      </w:pPr>
      <w:r>
        <w:rPr>
          <w:sz w:val="22"/>
          <w:szCs w:val="22"/>
        </w:rPr>
        <w:t xml:space="preserve">Adicionalmente, </w:t>
      </w:r>
      <w:r w:rsidR="002F306F">
        <w:rPr>
          <w:sz w:val="22"/>
          <w:szCs w:val="22"/>
        </w:rPr>
        <w:t xml:space="preserve">las recurrentes alegan que la exclusión de su oferta vinculada a una supuesta infracción de la normativa de datos personales no hace una correcta aplicación de esta misma normativa, </w:t>
      </w:r>
      <w:r>
        <w:rPr>
          <w:sz w:val="22"/>
          <w:szCs w:val="22"/>
        </w:rPr>
        <w:t xml:space="preserve">puesto que, entre otras consideraciones, los datos personales </w:t>
      </w:r>
      <w:r w:rsidR="00567783">
        <w:rPr>
          <w:sz w:val="22"/>
          <w:szCs w:val="22"/>
        </w:rPr>
        <w:t xml:space="preserve">que pudieron haber sido </w:t>
      </w:r>
      <w:r>
        <w:rPr>
          <w:sz w:val="22"/>
          <w:szCs w:val="22"/>
        </w:rPr>
        <w:t>indebidamente tratados (</w:t>
      </w:r>
      <w:r w:rsidR="00567783">
        <w:rPr>
          <w:sz w:val="22"/>
          <w:szCs w:val="22"/>
        </w:rPr>
        <w:t>datos que</w:t>
      </w:r>
      <w:r>
        <w:rPr>
          <w:sz w:val="22"/>
          <w:szCs w:val="22"/>
        </w:rPr>
        <w:t xml:space="preserve"> el órgano de contratación no identifica, según las recurrentes) figuran en sentencias sometidas al principio de publicidad procesal, </w:t>
      </w:r>
      <w:r w:rsidR="00567783">
        <w:rPr>
          <w:sz w:val="22"/>
          <w:szCs w:val="22"/>
        </w:rPr>
        <w:t xml:space="preserve">y su exclusión </w:t>
      </w:r>
      <w:r w:rsidR="002F306F">
        <w:rPr>
          <w:sz w:val="22"/>
          <w:szCs w:val="22"/>
        </w:rPr>
        <w:t>carece de motivación y es desproporcionada, teniendo en cuenta la posibilidad de subsanación de un posible defecto en esta materia.</w:t>
      </w:r>
    </w:p>
    <w:p w14:paraId="3B23784C" w14:textId="77777777" w:rsidR="00CC5BF0" w:rsidRDefault="00CC5BF0" w:rsidP="002B638E">
      <w:pPr>
        <w:jc w:val="both"/>
        <w:rPr>
          <w:sz w:val="22"/>
          <w:szCs w:val="22"/>
        </w:rPr>
      </w:pPr>
    </w:p>
    <w:p w14:paraId="2FA84E44" w14:textId="4D8C9E38" w:rsidR="00CC5BF0" w:rsidRDefault="00CC5BF0" w:rsidP="002B638E">
      <w:pPr>
        <w:jc w:val="both"/>
        <w:rPr>
          <w:sz w:val="22"/>
          <w:szCs w:val="22"/>
        </w:rPr>
      </w:pPr>
      <w:r>
        <w:rPr>
          <w:sz w:val="22"/>
          <w:szCs w:val="22"/>
        </w:rPr>
        <w:t>Se invoca también como causa de nulidad la denegación por parte del órgano de contratación del acceso al expediente en las condiciones establecidas en la normativa de aplicación</w:t>
      </w:r>
    </w:p>
    <w:p w14:paraId="1419343C" w14:textId="77777777" w:rsidR="00620015" w:rsidRDefault="00620015" w:rsidP="002B638E">
      <w:pPr>
        <w:jc w:val="both"/>
        <w:rPr>
          <w:sz w:val="22"/>
          <w:szCs w:val="22"/>
        </w:rPr>
      </w:pPr>
    </w:p>
    <w:p w14:paraId="7B0C8460" w14:textId="10F6AEE5" w:rsidR="00EE769D" w:rsidRPr="007836B7" w:rsidRDefault="00EE769D" w:rsidP="002B638E">
      <w:pPr>
        <w:jc w:val="both"/>
        <w:rPr>
          <w:sz w:val="22"/>
          <w:szCs w:val="22"/>
        </w:rPr>
      </w:pPr>
      <w:r>
        <w:rPr>
          <w:sz w:val="22"/>
          <w:szCs w:val="22"/>
        </w:rPr>
        <w:t xml:space="preserve">El recurso considera, </w:t>
      </w:r>
      <w:r w:rsidR="00CC5BF0">
        <w:rPr>
          <w:sz w:val="22"/>
          <w:szCs w:val="22"/>
        </w:rPr>
        <w:t>finalmente</w:t>
      </w:r>
      <w:r>
        <w:rPr>
          <w:sz w:val="22"/>
          <w:szCs w:val="22"/>
        </w:rPr>
        <w:t xml:space="preserve">, que la resolución impugnada incurre en causa de nulidad al existir indicios </w:t>
      </w:r>
      <w:r w:rsidR="005F07DC">
        <w:rPr>
          <w:sz w:val="22"/>
          <w:szCs w:val="22"/>
        </w:rPr>
        <w:t>de que el mismo es constitutivo de infracción penal.</w:t>
      </w:r>
    </w:p>
    <w:p w14:paraId="2C38E09E" w14:textId="77777777" w:rsidR="00871AA1" w:rsidRDefault="00871AA1" w:rsidP="00871AA1">
      <w:pPr>
        <w:jc w:val="both"/>
        <w:rPr>
          <w:sz w:val="22"/>
          <w:szCs w:val="22"/>
        </w:rPr>
      </w:pPr>
    </w:p>
    <w:p w14:paraId="0D6EE0CC" w14:textId="38030347" w:rsidR="00F03D5D" w:rsidRDefault="00871AA1" w:rsidP="00871AA1">
      <w:pPr>
        <w:jc w:val="both"/>
        <w:rPr>
          <w:sz w:val="22"/>
          <w:szCs w:val="22"/>
        </w:rPr>
      </w:pPr>
      <w:r w:rsidRPr="0072297F">
        <w:rPr>
          <w:b/>
          <w:bCs/>
          <w:sz w:val="22"/>
          <w:szCs w:val="22"/>
        </w:rPr>
        <w:t>SEXTO.</w:t>
      </w:r>
      <w:r>
        <w:rPr>
          <w:b/>
          <w:bCs/>
          <w:sz w:val="22"/>
          <w:szCs w:val="22"/>
        </w:rPr>
        <w:t xml:space="preserve">– </w:t>
      </w:r>
      <w:r w:rsidR="006621E9" w:rsidRPr="006621E9">
        <w:rPr>
          <w:sz w:val="22"/>
          <w:szCs w:val="22"/>
        </w:rPr>
        <w:t>Por su parte,</w:t>
      </w:r>
      <w:r w:rsidR="006621E9">
        <w:rPr>
          <w:b/>
          <w:bCs/>
          <w:sz w:val="22"/>
          <w:szCs w:val="22"/>
        </w:rPr>
        <w:t xml:space="preserve"> </w:t>
      </w:r>
      <w:r w:rsidR="00B47BEB">
        <w:rPr>
          <w:sz w:val="22"/>
          <w:szCs w:val="22"/>
        </w:rPr>
        <w:t>el informe del Área de Contratación y Régimen Jurídico del IFBS</w:t>
      </w:r>
      <w:r w:rsidR="002C3784">
        <w:rPr>
          <w:sz w:val="22"/>
          <w:szCs w:val="22"/>
        </w:rPr>
        <w:t xml:space="preserve"> de </w:t>
      </w:r>
      <w:r w:rsidR="006621E9">
        <w:rPr>
          <w:sz w:val="22"/>
          <w:szCs w:val="22"/>
        </w:rPr>
        <w:t>16</w:t>
      </w:r>
      <w:r w:rsidR="002C3784">
        <w:rPr>
          <w:sz w:val="22"/>
          <w:szCs w:val="22"/>
        </w:rPr>
        <w:t xml:space="preserve"> de </w:t>
      </w:r>
      <w:r w:rsidR="006621E9">
        <w:rPr>
          <w:sz w:val="22"/>
          <w:szCs w:val="22"/>
        </w:rPr>
        <w:t>julio</w:t>
      </w:r>
      <w:r w:rsidR="002C3784">
        <w:rPr>
          <w:sz w:val="22"/>
          <w:szCs w:val="22"/>
        </w:rPr>
        <w:t xml:space="preserve"> de 202</w:t>
      </w:r>
      <w:r w:rsidR="006621E9">
        <w:rPr>
          <w:sz w:val="22"/>
          <w:szCs w:val="22"/>
        </w:rPr>
        <w:t xml:space="preserve">5 entiende, en lo que respecta a la infracción de las normas de procedimiento alegada en el escrito de recurso especial, que el requerimiento dirigido a las recurrentes el día 6 de marzo de 2025 no tenía por objeto la comprobación de la capacidad de obrar ni de la solvencia técnica ni económica de las licitadoras, </w:t>
      </w:r>
      <w:r w:rsidR="0072223F">
        <w:rPr>
          <w:sz w:val="22"/>
          <w:szCs w:val="22"/>
        </w:rPr>
        <w:t>puntos a los que se refiere, según el informe, el artículo 150.2 LCSP</w:t>
      </w:r>
      <w:r w:rsidR="00F03D5D">
        <w:rPr>
          <w:sz w:val="22"/>
          <w:szCs w:val="22"/>
        </w:rPr>
        <w:t xml:space="preserve">, </w:t>
      </w:r>
      <w:r w:rsidR="006621E9">
        <w:rPr>
          <w:sz w:val="22"/>
          <w:szCs w:val="22"/>
        </w:rPr>
        <w:t xml:space="preserve">sino </w:t>
      </w:r>
      <w:r w:rsidR="0072223F">
        <w:rPr>
          <w:sz w:val="22"/>
          <w:szCs w:val="22"/>
        </w:rPr>
        <w:t>los requisitos mínimos que</w:t>
      </w:r>
      <w:r w:rsidR="00BA32A5">
        <w:rPr>
          <w:sz w:val="22"/>
          <w:szCs w:val="22"/>
        </w:rPr>
        <w:t>,</w:t>
      </w:r>
      <w:r w:rsidR="0072223F">
        <w:rPr>
          <w:sz w:val="22"/>
          <w:szCs w:val="22"/>
        </w:rPr>
        <w:t xml:space="preserve"> en cuanto a “medios humanos”</w:t>
      </w:r>
      <w:r w:rsidR="00BA32A5">
        <w:rPr>
          <w:sz w:val="22"/>
          <w:szCs w:val="22"/>
        </w:rPr>
        <w:t>,</w:t>
      </w:r>
      <w:r w:rsidR="0072223F">
        <w:rPr>
          <w:sz w:val="22"/>
          <w:szCs w:val="22"/>
        </w:rPr>
        <w:t xml:space="preserve"> exige el punto 3.1 del Pliego de Prescripciones Técnicas (</w:t>
      </w:r>
      <w:r w:rsidR="001F40C0">
        <w:rPr>
          <w:sz w:val="22"/>
          <w:szCs w:val="22"/>
        </w:rPr>
        <w:t xml:space="preserve">que los servicios profesionales objeto del contrato sean prestados por al menos dos abogadas/os en ejercicio con experiencia profesional mínima de 3 años en el ámbito de menores de edad en </w:t>
      </w:r>
      <w:r w:rsidR="0072223F">
        <w:rPr>
          <w:sz w:val="22"/>
          <w:szCs w:val="22"/>
        </w:rPr>
        <w:t xml:space="preserve">las </w:t>
      </w:r>
      <w:r w:rsidR="001F40C0">
        <w:rPr>
          <w:sz w:val="22"/>
          <w:szCs w:val="22"/>
        </w:rPr>
        <w:t xml:space="preserve">situaciones </w:t>
      </w:r>
      <w:r w:rsidR="0072223F">
        <w:rPr>
          <w:sz w:val="22"/>
          <w:szCs w:val="22"/>
        </w:rPr>
        <w:t>que define el pliego)</w:t>
      </w:r>
      <w:r w:rsidR="001F40C0">
        <w:rPr>
          <w:sz w:val="22"/>
          <w:szCs w:val="22"/>
        </w:rPr>
        <w:t xml:space="preserve">. </w:t>
      </w:r>
      <w:r w:rsidR="00F03D5D">
        <w:rPr>
          <w:sz w:val="22"/>
          <w:szCs w:val="22"/>
        </w:rPr>
        <w:t xml:space="preserve">Argumenta que el requerimiento vino motivado </w:t>
      </w:r>
      <w:r w:rsidR="00632FD0">
        <w:rPr>
          <w:sz w:val="22"/>
          <w:szCs w:val="22"/>
        </w:rPr>
        <w:t xml:space="preserve">como consecuencia de la acreditación </w:t>
      </w:r>
      <w:r w:rsidR="00111DF5">
        <w:rPr>
          <w:sz w:val="22"/>
          <w:szCs w:val="22"/>
        </w:rPr>
        <w:t>insuficiente de la experiencia profesional superior al mínimo de tres años, configurada por los pliegos como criterio de adjudicación evaluable por fórmulas</w:t>
      </w:r>
      <w:r w:rsidR="00F03D5D">
        <w:rPr>
          <w:sz w:val="22"/>
          <w:szCs w:val="22"/>
        </w:rPr>
        <w:t>.</w:t>
      </w:r>
    </w:p>
    <w:p w14:paraId="4198039A" w14:textId="77777777" w:rsidR="00620015" w:rsidRDefault="00620015" w:rsidP="00871AA1">
      <w:pPr>
        <w:jc w:val="both"/>
        <w:rPr>
          <w:sz w:val="22"/>
          <w:szCs w:val="22"/>
        </w:rPr>
      </w:pPr>
    </w:p>
    <w:p w14:paraId="460B2CC4" w14:textId="78DDC450" w:rsidR="00620015" w:rsidRDefault="00620015" w:rsidP="00871AA1">
      <w:pPr>
        <w:jc w:val="both"/>
        <w:rPr>
          <w:sz w:val="22"/>
          <w:szCs w:val="22"/>
        </w:rPr>
      </w:pPr>
      <w:r>
        <w:rPr>
          <w:sz w:val="22"/>
          <w:szCs w:val="22"/>
        </w:rPr>
        <w:t xml:space="preserve">Argumenta </w:t>
      </w:r>
      <w:r w:rsidR="00BA32A5">
        <w:rPr>
          <w:sz w:val="22"/>
          <w:szCs w:val="22"/>
        </w:rPr>
        <w:t xml:space="preserve">también </w:t>
      </w:r>
      <w:r>
        <w:rPr>
          <w:sz w:val="22"/>
          <w:szCs w:val="22"/>
        </w:rPr>
        <w:t>sobre las limitaciones de acceso al expediente</w:t>
      </w:r>
      <w:r w:rsidR="00BA32A5">
        <w:rPr>
          <w:sz w:val="22"/>
          <w:szCs w:val="22"/>
        </w:rPr>
        <w:t xml:space="preserve"> alegadas por las recurrentes</w:t>
      </w:r>
      <w:r>
        <w:rPr>
          <w:sz w:val="22"/>
          <w:szCs w:val="22"/>
        </w:rPr>
        <w:t>.</w:t>
      </w:r>
    </w:p>
    <w:p w14:paraId="2B58A370" w14:textId="77777777" w:rsidR="00620015" w:rsidRDefault="00620015" w:rsidP="00871AA1">
      <w:pPr>
        <w:jc w:val="both"/>
        <w:rPr>
          <w:sz w:val="22"/>
          <w:szCs w:val="22"/>
        </w:rPr>
      </w:pPr>
    </w:p>
    <w:p w14:paraId="6C0BD953" w14:textId="1603D42C" w:rsidR="00620015" w:rsidRDefault="00BA32A5" w:rsidP="00871AA1">
      <w:pPr>
        <w:jc w:val="both"/>
        <w:rPr>
          <w:sz w:val="22"/>
          <w:szCs w:val="22"/>
        </w:rPr>
      </w:pPr>
      <w:r>
        <w:rPr>
          <w:sz w:val="22"/>
          <w:szCs w:val="22"/>
        </w:rPr>
        <w:t>Justifica, finalmente, la aplicación de la normativa de protección de datos como causa de exclusión de las licitadoras en que éstas debieron haber anonimizado</w:t>
      </w:r>
      <w:r w:rsidR="006D27BE">
        <w:rPr>
          <w:sz w:val="22"/>
          <w:szCs w:val="22"/>
        </w:rPr>
        <w:t xml:space="preserve"> los documentas aportados en respuesta al requerimiento de aclaración indicado, considerando ésta como defecto no subsanable.</w:t>
      </w:r>
    </w:p>
    <w:p w14:paraId="6D144256" w14:textId="77777777" w:rsidR="00F03D5D" w:rsidRDefault="00F03D5D" w:rsidP="00871AA1">
      <w:pPr>
        <w:jc w:val="both"/>
        <w:rPr>
          <w:sz w:val="22"/>
          <w:szCs w:val="22"/>
        </w:rPr>
      </w:pPr>
    </w:p>
    <w:p w14:paraId="3D10D83D" w14:textId="37910CBB" w:rsidR="00567783" w:rsidRDefault="0091039F" w:rsidP="00871AA1">
      <w:pPr>
        <w:jc w:val="both"/>
        <w:rPr>
          <w:bCs/>
          <w:sz w:val="22"/>
          <w:szCs w:val="22"/>
        </w:rPr>
      </w:pPr>
      <w:r>
        <w:rPr>
          <w:b/>
          <w:sz w:val="22"/>
          <w:szCs w:val="22"/>
        </w:rPr>
        <w:lastRenderedPageBreak/>
        <w:t>S</w:t>
      </w:r>
      <w:r w:rsidR="00E6665E">
        <w:rPr>
          <w:b/>
          <w:sz w:val="22"/>
          <w:szCs w:val="22"/>
        </w:rPr>
        <w:t>É</w:t>
      </w:r>
      <w:r>
        <w:rPr>
          <w:b/>
          <w:sz w:val="22"/>
          <w:szCs w:val="22"/>
        </w:rPr>
        <w:t>PTIMO</w:t>
      </w:r>
      <w:r w:rsidR="00871AA1" w:rsidRPr="0072297F">
        <w:rPr>
          <w:b/>
          <w:sz w:val="22"/>
          <w:szCs w:val="22"/>
        </w:rPr>
        <w:t>.–</w:t>
      </w:r>
      <w:r w:rsidR="00E32D3D">
        <w:rPr>
          <w:b/>
          <w:sz w:val="22"/>
          <w:szCs w:val="22"/>
        </w:rPr>
        <w:t xml:space="preserve"> </w:t>
      </w:r>
      <w:r w:rsidR="00567783" w:rsidRPr="00567783">
        <w:rPr>
          <w:bCs/>
          <w:sz w:val="22"/>
          <w:szCs w:val="22"/>
        </w:rPr>
        <w:t xml:space="preserve">En relación con la primera de las cuestiones planteadas en el escrito de recurso especial, </w:t>
      </w:r>
      <w:r w:rsidR="00F14838">
        <w:rPr>
          <w:bCs/>
          <w:sz w:val="22"/>
          <w:szCs w:val="22"/>
        </w:rPr>
        <w:t xml:space="preserve">el artículo 150.2 LCSP establece el cauce incidental ordinario para la acreditación por parte de la empresa, entre otros puntos, tanto del requisito previo de solvencia profesional, como de los medios comprometidos para su adscripción </w:t>
      </w:r>
      <w:r w:rsidR="00DF2235">
        <w:rPr>
          <w:bCs/>
          <w:sz w:val="22"/>
          <w:szCs w:val="22"/>
        </w:rPr>
        <w:t>a la</w:t>
      </w:r>
      <w:r w:rsidR="00F14838">
        <w:rPr>
          <w:bCs/>
          <w:sz w:val="22"/>
          <w:szCs w:val="22"/>
        </w:rPr>
        <w:t xml:space="preserve"> ejecución </w:t>
      </w:r>
      <w:r w:rsidR="00DF2235">
        <w:rPr>
          <w:bCs/>
          <w:sz w:val="22"/>
          <w:szCs w:val="22"/>
        </w:rPr>
        <w:t xml:space="preserve">del contrato </w:t>
      </w:r>
      <w:r w:rsidR="00F14838">
        <w:rPr>
          <w:bCs/>
          <w:sz w:val="22"/>
          <w:szCs w:val="22"/>
        </w:rPr>
        <w:t>a que se refiere el artículo 76.2 de la misma LCSP</w:t>
      </w:r>
      <w:r w:rsidR="00DF2235">
        <w:rPr>
          <w:bCs/>
          <w:sz w:val="22"/>
          <w:szCs w:val="22"/>
        </w:rPr>
        <w:t>: requerimiento dirigido a la empresa licitadora mejor clasificada con posterioridad a la propuesta de adjudicación efectuada por la mesa de contratación por plazo de 10 días (artículo 150.2 LCSP).</w:t>
      </w:r>
    </w:p>
    <w:p w14:paraId="09F52FF1" w14:textId="77777777" w:rsidR="00DF2235" w:rsidRDefault="00DF2235" w:rsidP="00871AA1">
      <w:pPr>
        <w:jc w:val="both"/>
        <w:rPr>
          <w:bCs/>
          <w:sz w:val="22"/>
          <w:szCs w:val="22"/>
        </w:rPr>
      </w:pPr>
    </w:p>
    <w:p w14:paraId="23A553F4" w14:textId="7EAE63BB" w:rsidR="00DF2235" w:rsidRDefault="00DF2235" w:rsidP="00871AA1">
      <w:pPr>
        <w:jc w:val="both"/>
        <w:rPr>
          <w:bCs/>
          <w:sz w:val="22"/>
          <w:szCs w:val="22"/>
        </w:rPr>
      </w:pPr>
      <w:r>
        <w:rPr>
          <w:bCs/>
          <w:sz w:val="22"/>
          <w:szCs w:val="22"/>
        </w:rPr>
        <w:t xml:space="preserve">No es, sin embargo, el anterior, el único trámite establecido en la Ley con </w:t>
      </w:r>
      <w:r w:rsidR="00360492">
        <w:rPr>
          <w:bCs/>
          <w:sz w:val="22"/>
          <w:szCs w:val="22"/>
        </w:rPr>
        <w:t>un objeto semejante, pues el apartado 3 del artículo 140 LCSP establece que “</w:t>
      </w:r>
      <w:r w:rsidR="00360492" w:rsidRPr="00360492">
        <w:rPr>
          <w:bCs/>
          <w:sz w:val="22"/>
          <w:szCs w:val="22"/>
        </w:rPr>
        <w:t>El órgano o la mesa de contratación podrán pedir a los candidatos o licitadores que presenten la totalidad o una parte de los documentos justificativos, cuando consideren que existen dudas razonables sobre la vigencia o fiabilidad de la declaración</w:t>
      </w:r>
      <w:r w:rsidR="00E03718">
        <w:rPr>
          <w:bCs/>
          <w:sz w:val="22"/>
          <w:szCs w:val="22"/>
        </w:rPr>
        <w:t xml:space="preserve"> [en referencia </w:t>
      </w:r>
      <w:r w:rsidR="00E03718" w:rsidRPr="00E03718">
        <w:rPr>
          <w:bCs/>
          <w:sz w:val="22"/>
          <w:szCs w:val="22"/>
        </w:rPr>
        <w:t xml:space="preserve">declaración responsable </w:t>
      </w:r>
      <w:r w:rsidR="00E03718">
        <w:rPr>
          <w:bCs/>
          <w:sz w:val="22"/>
          <w:szCs w:val="22"/>
        </w:rPr>
        <w:t xml:space="preserve">de cumplimiento de requisitos previos prevista en el apartado 1 del mismo artículo 140 LCSP] </w:t>
      </w:r>
      <w:r w:rsidR="00E03718" w:rsidRPr="00E03718">
        <w:rPr>
          <w:bCs/>
          <w:sz w:val="22"/>
          <w:szCs w:val="22"/>
        </w:rPr>
        <w:t>que se ajustará al formulario de documento europeo único de contratación</w:t>
      </w:r>
      <w:r w:rsidR="00360492" w:rsidRPr="00360492">
        <w:rPr>
          <w:bCs/>
          <w:sz w:val="22"/>
          <w:szCs w:val="22"/>
        </w:rPr>
        <w:t>, cuando resulte necesario para el buen desarrollo del procedimiento y, en todo caso, antes de adjudicar el contrato</w:t>
      </w:r>
      <w:r w:rsidR="00360492">
        <w:rPr>
          <w:bCs/>
          <w:sz w:val="22"/>
          <w:szCs w:val="22"/>
        </w:rPr>
        <w:t xml:space="preserve">”. Trámite </w:t>
      </w:r>
      <w:r w:rsidR="00E03718">
        <w:rPr>
          <w:bCs/>
          <w:sz w:val="22"/>
          <w:szCs w:val="22"/>
        </w:rPr>
        <w:t xml:space="preserve">de verificación, </w:t>
      </w:r>
      <w:r w:rsidR="00360492">
        <w:rPr>
          <w:bCs/>
          <w:sz w:val="22"/>
          <w:szCs w:val="22"/>
        </w:rPr>
        <w:t>éste</w:t>
      </w:r>
      <w:r w:rsidR="00E03718">
        <w:rPr>
          <w:bCs/>
          <w:sz w:val="22"/>
          <w:szCs w:val="22"/>
        </w:rPr>
        <w:t>,</w:t>
      </w:r>
      <w:r w:rsidR="00360492">
        <w:rPr>
          <w:bCs/>
          <w:sz w:val="22"/>
          <w:szCs w:val="22"/>
        </w:rPr>
        <w:t xml:space="preserve"> </w:t>
      </w:r>
      <w:r w:rsidR="006D27BE">
        <w:rPr>
          <w:bCs/>
          <w:sz w:val="22"/>
          <w:szCs w:val="22"/>
        </w:rPr>
        <w:t>previo y distinto</w:t>
      </w:r>
      <w:r w:rsidR="00360492">
        <w:rPr>
          <w:bCs/>
          <w:sz w:val="22"/>
          <w:szCs w:val="22"/>
        </w:rPr>
        <w:t>, por tanto, al establecido en el artículo 150.2 LCSP.</w:t>
      </w:r>
    </w:p>
    <w:p w14:paraId="318ADF54" w14:textId="77777777" w:rsidR="00360492" w:rsidRDefault="00360492" w:rsidP="00871AA1">
      <w:pPr>
        <w:jc w:val="both"/>
        <w:rPr>
          <w:bCs/>
          <w:sz w:val="22"/>
          <w:szCs w:val="22"/>
        </w:rPr>
      </w:pPr>
    </w:p>
    <w:p w14:paraId="0711A254" w14:textId="7C4C496A" w:rsidR="00360492" w:rsidRDefault="00360492" w:rsidP="00871AA1">
      <w:pPr>
        <w:jc w:val="both"/>
        <w:rPr>
          <w:bCs/>
          <w:sz w:val="22"/>
          <w:szCs w:val="22"/>
        </w:rPr>
      </w:pPr>
      <w:r>
        <w:rPr>
          <w:bCs/>
          <w:sz w:val="22"/>
          <w:szCs w:val="22"/>
        </w:rPr>
        <w:t xml:space="preserve">Ahora bien, el incidente </w:t>
      </w:r>
      <w:r w:rsidR="006D27BE">
        <w:rPr>
          <w:bCs/>
          <w:sz w:val="22"/>
          <w:szCs w:val="22"/>
        </w:rPr>
        <w:t>del artículo 140 LCSP</w:t>
      </w:r>
      <w:r>
        <w:rPr>
          <w:bCs/>
          <w:sz w:val="22"/>
          <w:szCs w:val="22"/>
        </w:rPr>
        <w:t xml:space="preserve"> tiene por objeto la acreditación, digamos, anticipada de los requisitos previos de capacidad, solvencia y ausencia de prohibiciones de contratar, entre otros. No tiene por objeto, en cambio, la </w:t>
      </w:r>
      <w:r w:rsidR="006D27BE">
        <w:rPr>
          <w:bCs/>
          <w:sz w:val="22"/>
          <w:szCs w:val="22"/>
        </w:rPr>
        <w:t>comprobación</w:t>
      </w:r>
      <w:r>
        <w:rPr>
          <w:bCs/>
          <w:sz w:val="22"/>
          <w:szCs w:val="22"/>
        </w:rPr>
        <w:t xml:space="preserve"> de que el empresario dispone efectivamente de los medios que, en caso de resultar adjudicatario, se ha obligado a adscribir a la ejecución del contrato del artículo </w:t>
      </w:r>
      <w:r w:rsidR="00E03718">
        <w:rPr>
          <w:bCs/>
          <w:sz w:val="22"/>
          <w:szCs w:val="22"/>
        </w:rPr>
        <w:t>7</w:t>
      </w:r>
      <w:r>
        <w:rPr>
          <w:bCs/>
          <w:sz w:val="22"/>
          <w:szCs w:val="22"/>
        </w:rPr>
        <w:t>6.2 LCSP, entre otras cosas, porque</w:t>
      </w:r>
      <w:r w:rsidR="00E03718">
        <w:rPr>
          <w:bCs/>
          <w:sz w:val="22"/>
          <w:szCs w:val="22"/>
        </w:rPr>
        <w:t xml:space="preserve"> no es este un requisito previo, sino posterior a la licitación</w:t>
      </w:r>
      <w:r>
        <w:rPr>
          <w:bCs/>
          <w:sz w:val="22"/>
          <w:szCs w:val="22"/>
        </w:rPr>
        <w:t xml:space="preserve">, </w:t>
      </w:r>
      <w:r w:rsidR="00E03718">
        <w:rPr>
          <w:bCs/>
          <w:sz w:val="22"/>
          <w:szCs w:val="22"/>
        </w:rPr>
        <w:t xml:space="preserve">siendo </w:t>
      </w:r>
      <w:r>
        <w:rPr>
          <w:bCs/>
          <w:sz w:val="22"/>
          <w:szCs w:val="22"/>
        </w:rPr>
        <w:t>el momento idóneo para la verificación del compromiso de adscripción el inmediatamente anterior a la adjudicación del contrato.</w:t>
      </w:r>
    </w:p>
    <w:p w14:paraId="7B252206" w14:textId="77777777" w:rsidR="00360492" w:rsidRDefault="00360492" w:rsidP="00871AA1">
      <w:pPr>
        <w:jc w:val="both"/>
        <w:rPr>
          <w:bCs/>
          <w:sz w:val="22"/>
          <w:szCs w:val="22"/>
        </w:rPr>
      </w:pPr>
    </w:p>
    <w:p w14:paraId="75EA143A" w14:textId="7AD9BB0A" w:rsidR="00360492" w:rsidRDefault="00360492" w:rsidP="00871AA1">
      <w:pPr>
        <w:jc w:val="both"/>
        <w:rPr>
          <w:bCs/>
          <w:sz w:val="22"/>
          <w:szCs w:val="22"/>
        </w:rPr>
      </w:pPr>
      <w:r>
        <w:rPr>
          <w:bCs/>
          <w:sz w:val="22"/>
          <w:szCs w:val="22"/>
        </w:rPr>
        <w:t xml:space="preserve">En nuestro caso, el </w:t>
      </w:r>
      <w:r w:rsidR="006D4F3E">
        <w:rPr>
          <w:bCs/>
          <w:sz w:val="22"/>
          <w:szCs w:val="22"/>
        </w:rPr>
        <w:t xml:space="preserve">que el Área de Contratación y Régimen Jurídico del IFBS denomina en su informe de 16 de julio de 2025, “requisito mínimo a cumplir relativo a los recursos humanos a adscribir al contrato” (dos abogadas/os en ejercicio debidamente colegiadas/os y con experiencia profesional mínima de 3 años en el ámbito objeto del contrato), exigido por el punto 3.1 del Pliego de Prescripciones Técnicas y cuya acreditación está en el fondo del presente recurso especial, no puede en ningún caso ser considerado como </w:t>
      </w:r>
      <w:r w:rsidR="00E03718">
        <w:rPr>
          <w:bCs/>
          <w:sz w:val="22"/>
          <w:szCs w:val="22"/>
        </w:rPr>
        <w:t xml:space="preserve">requisito previo, en tanto que no es un </w:t>
      </w:r>
      <w:r w:rsidR="006D4F3E">
        <w:rPr>
          <w:bCs/>
          <w:sz w:val="22"/>
          <w:szCs w:val="22"/>
        </w:rPr>
        <w:t>elemento integrante de la solvencia profesional, como reconoce el mismo informe del Área</w:t>
      </w:r>
      <w:r w:rsidR="00063F15">
        <w:rPr>
          <w:bCs/>
          <w:sz w:val="22"/>
          <w:szCs w:val="22"/>
        </w:rPr>
        <w:t xml:space="preserve"> de Contratación y Régimen Jurídico referenciado (págs. 3 y 4) y evidencia el punto F) del Cuadro de Características.</w:t>
      </w:r>
    </w:p>
    <w:p w14:paraId="0FDEEE6E" w14:textId="77777777" w:rsidR="00063F15" w:rsidRDefault="00063F15" w:rsidP="00871AA1">
      <w:pPr>
        <w:jc w:val="both"/>
        <w:rPr>
          <w:bCs/>
          <w:sz w:val="22"/>
          <w:szCs w:val="22"/>
        </w:rPr>
      </w:pPr>
    </w:p>
    <w:p w14:paraId="67E945ED" w14:textId="7E3DEFEB" w:rsidR="00063F15" w:rsidRPr="00567783" w:rsidRDefault="00063F15" w:rsidP="00871AA1">
      <w:pPr>
        <w:jc w:val="both"/>
        <w:rPr>
          <w:bCs/>
          <w:sz w:val="22"/>
          <w:szCs w:val="22"/>
        </w:rPr>
      </w:pPr>
      <w:r>
        <w:rPr>
          <w:bCs/>
          <w:sz w:val="22"/>
          <w:szCs w:val="22"/>
        </w:rPr>
        <w:t>Así las cosas, el requisito técnico que exige el punto 3.1 del pliego técnico, a la luz de lo establecido en el artículo 76.2 LCSP no puede ser considerado sino como medios personales que el empresario</w:t>
      </w:r>
      <w:r w:rsidR="00F67D38">
        <w:rPr>
          <w:bCs/>
          <w:sz w:val="22"/>
          <w:szCs w:val="22"/>
        </w:rPr>
        <w:t xml:space="preserve"> se compromete a adscribir a la ejecución, caso de resultar adjudicatario, siendo el cauce incidental apropiado para su acreditación el </w:t>
      </w:r>
      <w:r w:rsidR="00816BD3">
        <w:rPr>
          <w:bCs/>
          <w:sz w:val="22"/>
          <w:szCs w:val="22"/>
        </w:rPr>
        <w:t>inmediatamente anterior a la adjudicación que prevé</w:t>
      </w:r>
      <w:r w:rsidR="00F67D38">
        <w:rPr>
          <w:bCs/>
          <w:sz w:val="22"/>
          <w:szCs w:val="22"/>
        </w:rPr>
        <w:t xml:space="preserve"> el artículo 150.2</w:t>
      </w:r>
      <w:r w:rsidR="00816BD3">
        <w:rPr>
          <w:bCs/>
          <w:sz w:val="22"/>
          <w:szCs w:val="22"/>
        </w:rPr>
        <w:t>,</w:t>
      </w:r>
      <w:r w:rsidR="00F67D38">
        <w:rPr>
          <w:bCs/>
          <w:sz w:val="22"/>
          <w:szCs w:val="22"/>
        </w:rPr>
        <w:t xml:space="preserve"> no el del artículo 140.3 LCSP.</w:t>
      </w:r>
    </w:p>
    <w:p w14:paraId="78CCD9BA" w14:textId="44C520FE" w:rsidR="00567783" w:rsidRDefault="00567783" w:rsidP="00871AA1">
      <w:pPr>
        <w:jc w:val="both"/>
        <w:rPr>
          <w:bCs/>
          <w:sz w:val="22"/>
          <w:szCs w:val="22"/>
        </w:rPr>
      </w:pPr>
    </w:p>
    <w:p w14:paraId="61D3AB32" w14:textId="15FC3A53" w:rsidR="001B01A5" w:rsidRDefault="00816BD3" w:rsidP="00871AA1">
      <w:pPr>
        <w:jc w:val="both"/>
        <w:rPr>
          <w:bCs/>
          <w:sz w:val="22"/>
          <w:szCs w:val="22"/>
        </w:rPr>
      </w:pPr>
      <w:r>
        <w:rPr>
          <w:bCs/>
          <w:sz w:val="22"/>
          <w:szCs w:val="22"/>
        </w:rPr>
        <w:t>Según lo examinado, el órgano de contratación ha incurrido en un</w:t>
      </w:r>
      <w:r w:rsidR="001B01A5">
        <w:rPr>
          <w:bCs/>
          <w:sz w:val="22"/>
          <w:szCs w:val="22"/>
        </w:rPr>
        <w:t>a</w:t>
      </w:r>
      <w:r>
        <w:rPr>
          <w:bCs/>
          <w:sz w:val="22"/>
          <w:szCs w:val="22"/>
        </w:rPr>
        <w:t xml:space="preserve"> infracción de tipo procedimental cuya trascendencia, sin embargo, </w:t>
      </w:r>
      <w:r w:rsidR="006D27BE">
        <w:rPr>
          <w:bCs/>
          <w:sz w:val="22"/>
          <w:szCs w:val="22"/>
        </w:rPr>
        <w:t>no puede</w:t>
      </w:r>
      <w:r>
        <w:rPr>
          <w:bCs/>
          <w:sz w:val="22"/>
          <w:szCs w:val="22"/>
        </w:rPr>
        <w:t xml:space="preserve"> ser calificada como una </w:t>
      </w:r>
      <w:r w:rsidR="001B01A5">
        <w:rPr>
          <w:bCs/>
          <w:sz w:val="22"/>
          <w:szCs w:val="22"/>
        </w:rPr>
        <w:t>“</w:t>
      </w:r>
      <w:r>
        <w:rPr>
          <w:bCs/>
          <w:sz w:val="22"/>
          <w:szCs w:val="22"/>
        </w:rPr>
        <w:t>subversión del orden procedimental establecido en la L</w:t>
      </w:r>
      <w:r w:rsidR="001B01A5">
        <w:rPr>
          <w:bCs/>
          <w:sz w:val="22"/>
          <w:szCs w:val="22"/>
        </w:rPr>
        <w:t xml:space="preserve">ey de Contratos del Sector Público” que pudiera “conllevar un ilícito penal”, como hace el escrito de recurso especial en términos ciertamente hiperbólicos. Por el contrario, no habiendo sido siquiera alegada, en relación con este punto, indefensión por parte de las recurrentes, la infracción procedimental expuesta </w:t>
      </w:r>
      <w:r w:rsidR="006D27BE">
        <w:rPr>
          <w:bCs/>
          <w:sz w:val="22"/>
          <w:szCs w:val="22"/>
        </w:rPr>
        <w:t xml:space="preserve">bien </w:t>
      </w:r>
      <w:r w:rsidR="001B01A5">
        <w:rPr>
          <w:bCs/>
          <w:sz w:val="22"/>
          <w:szCs w:val="22"/>
        </w:rPr>
        <w:t xml:space="preserve">podría ser considerada como irregularidad no invalidante conforme a lo establecido en el artículo 18.2 de la </w:t>
      </w:r>
      <w:r w:rsidR="001B01A5">
        <w:rPr>
          <w:bCs/>
          <w:sz w:val="22"/>
          <w:szCs w:val="22"/>
        </w:rPr>
        <w:lastRenderedPageBreak/>
        <w:t>Ley 39/2015, de 1 de octubre, del Procedimiento Administrativo Común de las Administraciones Públicas</w:t>
      </w:r>
      <w:r w:rsidR="00F865DE">
        <w:rPr>
          <w:bCs/>
          <w:sz w:val="22"/>
          <w:szCs w:val="22"/>
        </w:rPr>
        <w:t xml:space="preserve"> (LPAC)</w:t>
      </w:r>
      <w:r w:rsidR="001B01A5">
        <w:rPr>
          <w:bCs/>
          <w:sz w:val="22"/>
          <w:szCs w:val="22"/>
        </w:rPr>
        <w:t>, como irregularidad no invalidante.</w:t>
      </w:r>
    </w:p>
    <w:p w14:paraId="24BF7BB0" w14:textId="77777777" w:rsidR="001B01A5" w:rsidRDefault="001B01A5" w:rsidP="00871AA1">
      <w:pPr>
        <w:jc w:val="both"/>
        <w:rPr>
          <w:bCs/>
          <w:sz w:val="22"/>
          <w:szCs w:val="22"/>
        </w:rPr>
      </w:pPr>
    </w:p>
    <w:p w14:paraId="71EBF521" w14:textId="77C21F27" w:rsidR="00816BD3" w:rsidRDefault="001B01A5" w:rsidP="00871AA1">
      <w:pPr>
        <w:jc w:val="both"/>
        <w:rPr>
          <w:bCs/>
          <w:sz w:val="22"/>
          <w:szCs w:val="22"/>
        </w:rPr>
      </w:pPr>
      <w:r>
        <w:rPr>
          <w:bCs/>
          <w:sz w:val="22"/>
          <w:szCs w:val="22"/>
        </w:rPr>
        <w:t xml:space="preserve">No obstante, </w:t>
      </w:r>
      <w:r w:rsidR="00DE1A30">
        <w:rPr>
          <w:bCs/>
          <w:sz w:val="22"/>
          <w:szCs w:val="22"/>
        </w:rPr>
        <w:t xml:space="preserve">lo dicho en este punto será tenido en cuenta para determinar el alcance de la presente resolución, teniendo en cuenta el sentido del fallo de </w:t>
      </w:r>
      <w:proofErr w:type="gramStart"/>
      <w:r w:rsidR="00DE1A30">
        <w:rPr>
          <w:bCs/>
          <w:sz w:val="22"/>
          <w:szCs w:val="22"/>
        </w:rPr>
        <w:t>la misma</w:t>
      </w:r>
      <w:proofErr w:type="gramEnd"/>
      <w:r w:rsidR="00DE1A30">
        <w:rPr>
          <w:bCs/>
          <w:sz w:val="22"/>
          <w:szCs w:val="22"/>
        </w:rPr>
        <w:t xml:space="preserve"> </w:t>
      </w:r>
      <w:r w:rsidR="006D27BE">
        <w:rPr>
          <w:bCs/>
          <w:sz w:val="22"/>
          <w:szCs w:val="22"/>
        </w:rPr>
        <w:t>de acuerdo con</w:t>
      </w:r>
      <w:r w:rsidR="00DE1A30">
        <w:rPr>
          <w:bCs/>
          <w:sz w:val="22"/>
          <w:szCs w:val="22"/>
        </w:rPr>
        <w:t xml:space="preserve"> lo que se dirá seguidamente.</w:t>
      </w:r>
    </w:p>
    <w:p w14:paraId="7C2631B9" w14:textId="77777777" w:rsidR="00DE1A30" w:rsidRDefault="00DE1A30" w:rsidP="00871AA1">
      <w:pPr>
        <w:jc w:val="both"/>
        <w:rPr>
          <w:bCs/>
          <w:sz w:val="22"/>
          <w:szCs w:val="22"/>
        </w:rPr>
      </w:pPr>
    </w:p>
    <w:p w14:paraId="3F1CE0C0" w14:textId="580FC182" w:rsidR="00DE1A30" w:rsidRDefault="00DE1A30" w:rsidP="00871AA1">
      <w:pPr>
        <w:jc w:val="both"/>
        <w:rPr>
          <w:bCs/>
          <w:sz w:val="22"/>
          <w:szCs w:val="22"/>
        </w:rPr>
      </w:pPr>
      <w:proofErr w:type="gramStart"/>
      <w:r w:rsidRPr="00DE1A30">
        <w:rPr>
          <w:b/>
          <w:sz w:val="22"/>
          <w:szCs w:val="22"/>
        </w:rPr>
        <w:t>OCTAVO.-</w:t>
      </w:r>
      <w:proofErr w:type="gramEnd"/>
      <w:r>
        <w:rPr>
          <w:bCs/>
          <w:sz w:val="22"/>
          <w:szCs w:val="22"/>
        </w:rPr>
        <w:t xml:space="preserve"> </w:t>
      </w:r>
      <w:r w:rsidR="00EE18FD">
        <w:rPr>
          <w:bCs/>
          <w:sz w:val="22"/>
          <w:szCs w:val="22"/>
        </w:rPr>
        <w:t>El</w:t>
      </w:r>
      <w:r w:rsidR="003E0B42">
        <w:rPr>
          <w:bCs/>
          <w:sz w:val="22"/>
          <w:szCs w:val="22"/>
        </w:rPr>
        <w:t xml:space="preserve"> segundo de los motivos en que se funda</w:t>
      </w:r>
      <w:r>
        <w:rPr>
          <w:bCs/>
          <w:sz w:val="22"/>
          <w:szCs w:val="22"/>
        </w:rPr>
        <w:t xml:space="preserve"> el escrito de recurso</w:t>
      </w:r>
      <w:r w:rsidR="00EE18FD">
        <w:rPr>
          <w:bCs/>
          <w:sz w:val="22"/>
          <w:szCs w:val="22"/>
        </w:rPr>
        <w:t xml:space="preserve"> versa sobre</w:t>
      </w:r>
      <w:r w:rsidR="008A323C">
        <w:rPr>
          <w:bCs/>
          <w:sz w:val="22"/>
          <w:szCs w:val="22"/>
        </w:rPr>
        <w:t xml:space="preserve"> </w:t>
      </w:r>
      <w:r w:rsidR="003E0B42">
        <w:rPr>
          <w:bCs/>
          <w:sz w:val="22"/>
          <w:szCs w:val="22"/>
        </w:rPr>
        <w:t>la</w:t>
      </w:r>
      <w:r>
        <w:rPr>
          <w:bCs/>
          <w:sz w:val="22"/>
          <w:szCs w:val="22"/>
        </w:rPr>
        <w:t xml:space="preserve"> “indebida aplicación de la normativa de protección de datos como causa de exclusión”.</w:t>
      </w:r>
    </w:p>
    <w:p w14:paraId="07534A53" w14:textId="77777777" w:rsidR="00976EE8" w:rsidRDefault="00976EE8" w:rsidP="00871AA1">
      <w:pPr>
        <w:jc w:val="both"/>
        <w:rPr>
          <w:bCs/>
          <w:sz w:val="22"/>
          <w:szCs w:val="22"/>
        </w:rPr>
      </w:pPr>
    </w:p>
    <w:p w14:paraId="203DFD28" w14:textId="6F7F7F53" w:rsidR="00976EE8" w:rsidRDefault="00A4296E" w:rsidP="00871AA1">
      <w:pPr>
        <w:jc w:val="both"/>
        <w:rPr>
          <w:bCs/>
          <w:sz w:val="22"/>
          <w:szCs w:val="22"/>
        </w:rPr>
      </w:pPr>
      <w:r>
        <w:rPr>
          <w:bCs/>
          <w:sz w:val="22"/>
          <w:szCs w:val="22"/>
        </w:rPr>
        <w:t>Hay que precisar</w:t>
      </w:r>
      <w:r w:rsidR="00EE18FD">
        <w:rPr>
          <w:bCs/>
          <w:sz w:val="22"/>
          <w:szCs w:val="22"/>
        </w:rPr>
        <w:t>,</w:t>
      </w:r>
      <w:r>
        <w:rPr>
          <w:bCs/>
          <w:sz w:val="22"/>
          <w:szCs w:val="22"/>
        </w:rPr>
        <w:t xml:space="preserve"> a</w:t>
      </w:r>
      <w:r w:rsidR="00976EE8">
        <w:rPr>
          <w:bCs/>
          <w:sz w:val="22"/>
          <w:szCs w:val="22"/>
        </w:rPr>
        <w:t>ntes de examinar el fondo de la cuestión</w:t>
      </w:r>
      <w:r>
        <w:rPr>
          <w:bCs/>
          <w:sz w:val="22"/>
          <w:szCs w:val="22"/>
        </w:rPr>
        <w:t xml:space="preserve"> </w:t>
      </w:r>
      <w:r w:rsidR="00976EE8">
        <w:rPr>
          <w:bCs/>
          <w:sz w:val="22"/>
          <w:szCs w:val="22"/>
        </w:rPr>
        <w:t>que</w:t>
      </w:r>
      <w:r>
        <w:rPr>
          <w:bCs/>
          <w:sz w:val="22"/>
          <w:szCs w:val="22"/>
        </w:rPr>
        <w:t xml:space="preserve">, atendiendo a la literalidad del Acuerdo de 19 de junio de 2025 del Consejo de Administración del IFBS, impugnado en el presente recurso, </w:t>
      </w:r>
      <w:r w:rsidR="00976EE8">
        <w:rPr>
          <w:bCs/>
          <w:sz w:val="22"/>
          <w:szCs w:val="22"/>
        </w:rPr>
        <w:t xml:space="preserve">la exclusión de la licitadora recurrente no se ha acordado de manera directa e inmediata </w:t>
      </w:r>
      <w:r w:rsidR="00482E5D">
        <w:rPr>
          <w:bCs/>
          <w:sz w:val="22"/>
          <w:szCs w:val="22"/>
        </w:rPr>
        <w:t>con causa en</w:t>
      </w:r>
      <w:r w:rsidR="00976EE8">
        <w:rPr>
          <w:bCs/>
          <w:sz w:val="22"/>
          <w:szCs w:val="22"/>
        </w:rPr>
        <w:t xml:space="preserve"> una supuesta infracción de la normativa de protección de datos, sino “por no haber acreditado la licitadora la capacidad técnica requerida en el PPT apartado 3.1 medios Humanos”, como expresa la resolución administrativa de adjudicación impugnada</w:t>
      </w:r>
      <w:r>
        <w:rPr>
          <w:bCs/>
          <w:sz w:val="22"/>
          <w:szCs w:val="22"/>
        </w:rPr>
        <w:t xml:space="preserve"> en el punto primero de la parte dispositiva</w:t>
      </w:r>
      <w:r w:rsidR="00B6260E">
        <w:rPr>
          <w:bCs/>
          <w:sz w:val="22"/>
          <w:szCs w:val="22"/>
        </w:rPr>
        <w:t>, es decir, por falta de prueba de la concurrencia del requisito de experiencia ya mencionado. La supuesta infracción de la normativa de protección de datos ha sido tomada en consideración como causa de inadmisión de la documentación acreditativa del requisito técnico exigido por los pliegos.</w:t>
      </w:r>
    </w:p>
    <w:p w14:paraId="051914C1" w14:textId="77777777" w:rsidR="00A4296E" w:rsidRDefault="00A4296E" w:rsidP="00871AA1">
      <w:pPr>
        <w:jc w:val="both"/>
        <w:rPr>
          <w:bCs/>
          <w:sz w:val="22"/>
          <w:szCs w:val="22"/>
        </w:rPr>
      </w:pPr>
    </w:p>
    <w:p w14:paraId="6470F416" w14:textId="546097C7" w:rsidR="00E131CB" w:rsidRDefault="00EE18FD" w:rsidP="00871AA1">
      <w:pPr>
        <w:jc w:val="both"/>
        <w:rPr>
          <w:bCs/>
          <w:sz w:val="22"/>
          <w:szCs w:val="22"/>
        </w:rPr>
      </w:pPr>
      <w:r>
        <w:rPr>
          <w:bCs/>
          <w:sz w:val="22"/>
          <w:szCs w:val="22"/>
        </w:rPr>
        <w:t xml:space="preserve">El </w:t>
      </w:r>
      <w:r w:rsidR="00E131CB">
        <w:rPr>
          <w:bCs/>
          <w:sz w:val="22"/>
          <w:szCs w:val="22"/>
        </w:rPr>
        <w:t xml:space="preserve">órgano de contratación achaca a las recurrentes la aportación indebida e injustificada </w:t>
      </w:r>
      <w:r w:rsidR="002D07A0">
        <w:rPr>
          <w:bCs/>
          <w:sz w:val="22"/>
          <w:szCs w:val="22"/>
        </w:rPr>
        <w:t xml:space="preserve">al procedimiento de licitación </w:t>
      </w:r>
      <w:r w:rsidR="00E131CB">
        <w:rPr>
          <w:bCs/>
          <w:sz w:val="22"/>
          <w:szCs w:val="22"/>
        </w:rPr>
        <w:t>de datos personales</w:t>
      </w:r>
      <w:r w:rsidR="002D07A0">
        <w:rPr>
          <w:bCs/>
          <w:sz w:val="22"/>
          <w:szCs w:val="22"/>
        </w:rPr>
        <w:t>,</w:t>
      </w:r>
      <w:r w:rsidR="00E131CB">
        <w:rPr>
          <w:bCs/>
          <w:sz w:val="22"/>
          <w:szCs w:val="22"/>
        </w:rPr>
        <w:t xml:space="preserve"> a la luz de la normativa de aplicación, principalmente, el Reglamento </w:t>
      </w:r>
      <w:r w:rsidR="00E131CB" w:rsidRPr="00E131CB">
        <w:rPr>
          <w:bCs/>
          <w:sz w:val="22"/>
          <w:szCs w:val="22"/>
        </w:rPr>
        <w:t>(UE) 2016/679</w:t>
      </w:r>
      <w:r w:rsidR="00E131CB">
        <w:rPr>
          <w:bCs/>
          <w:sz w:val="22"/>
          <w:szCs w:val="22"/>
        </w:rPr>
        <w:t xml:space="preserve">, </w:t>
      </w:r>
      <w:r w:rsidR="00E131CB" w:rsidRPr="00E131CB">
        <w:rPr>
          <w:bCs/>
          <w:sz w:val="22"/>
          <w:szCs w:val="22"/>
        </w:rPr>
        <w:t>de 27 de abril de 2016</w:t>
      </w:r>
      <w:r w:rsidR="00E131CB">
        <w:rPr>
          <w:bCs/>
          <w:sz w:val="22"/>
          <w:szCs w:val="22"/>
        </w:rPr>
        <w:t>,</w:t>
      </w:r>
      <w:r w:rsidR="00E131CB" w:rsidRPr="00E131CB">
        <w:rPr>
          <w:bCs/>
          <w:sz w:val="22"/>
          <w:szCs w:val="22"/>
        </w:rPr>
        <w:t xml:space="preserve"> relativo a la protección de las personas físicas en lo que respecta al tratamiento de datos personales y a la libre circulación de estos datos</w:t>
      </w:r>
      <w:r w:rsidR="002D07A0">
        <w:rPr>
          <w:bCs/>
          <w:sz w:val="22"/>
          <w:szCs w:val="22"/>
        </w:rPr>
        <w:t xml:space="preserve"> (RGPD)</w:t>
      </w:r>
      <w:r w:rsidR="00E131CB">
        <w:rPr>
          <w:bCs/>
          <w:sz w:val="22"/>
          <w:szCs w:val="22"/>
        </w:rPr>
        <w:t>.</w:t>
      </w:r>
      <w:r w:rsidR="00940BFA">
        <w:rPr>
          <w:bCs/>
          <w:sz w:val="22"/>
          <w:szCs w:val="22"/>
        </w:rPr>
        <w:t xml:space="preserve"> Considera el órgano de contratación que ¨La presentación de documentación con datos personales sensibles y no anonimizados, sin una base legitimadora válida para la finalidad de la licitación, constituye un defecto insubsanable que afecta a la licitud del tratamiento”.</w:t>
      </w:r>
    </w:p>
    <w:p w14:paraId="7C3CF8C0" w14:textId="77777777" w:rsidR="00940BFA" w:rsidRDefault="00940BFA" w:rsidP="00871AA1">
      <w:pPr>
        <w:jc w:val="both"/>
        <w:rPr>
          <w:bCs/>
          <w:sz w:val="22"/>
          <w:szCs w:val="22"/>
        </w:rPr>
      </w:pPr>
    </w:p>
    <w:p w14:paraId="4208DD2E" w14:textId="77D7065B" w:rsidR="00940BFA" w:rsidRDefault="002D07A0" w:rsidP="00871AA1">
      <w:pPr>
        <w:jc w:val="both"/>
        <w:rPr>
          <w:bCs/>
          <w:sz w:val="22"/>
          <w:szCs w:val="22"/>
        </w:rPr>
      </w:pPr>
      <w:r>
        <w:rPr>
          <w:bCs/>
          <w:sz w:val="22"/>
          <w:szCs w:val="22"/>
        </w:rPr>
        <w:t>Y antes de examinar la normativa de aplicación debemos</w:t>
      </w:r>
      <w:r w:rsidR="00940BFA">
        <w:rPr>
          <w:bCs/>
          <w:sz w:val="22"/>
          <w:szCs w:val="22"/>
        </w:rPr>
        <w:t xml:space="preserve"> advertir </w:t>
      </w:r>
      <w:r w:rsidR="00EE18FD">
        <w:rPr>
          <w:bCs/>
          <w:sz w:val="22"/>
          <w:szCs w:val="22"/>
        </w:rPr>
        <w:t xml:space="preserve">desde este momento </w:t>
      </w:r>
      <w:r w:rsidR="00940BFA">
        <w:rPr>
          <w:bCs/>
          <w:sz w:val="22"/>
          <w:szCs w:val="22"/>
        </w:rPr>
        <w:t xml:space="preserve">que la </w:t>
      </w:r>
      <w:r>
        <w:rPr>
          <w:bCs/>
          <w:sz w:val="22"/>
          <w:szCs w:val="22"/>
        </w:rPr>
        <w:t>cuestión planteada</w:t>
      </w:r>
      <w:r w:rsidR="00940BFA">
        <w:rPr>
          <w:bCs/>
          <w:sz w:val="22"/>
          <w:szCs w:val="22"/>
        </w:rPr>
        <w:t xml:space="preserve"> </w:t>
      </w:r>
      <w:r w:rsidR="00500E57">
        <w:rPr>
          <w:bCs/>
          <w:sz w:val="22"/>
          <w:szCs w:val="22"/>
        </w:rPr>
        <w:t>encierra</w:t>
      </w:r>
      <w:r w:rsidR="00940BFA">
        <w:rPr>
          <w:bCs/>
          <w:sz w:val="22"/>
          <w:szCs w:val="22"/>
        </w:rPr>
        <w:t xml:space="preserve"> un conflicto de intereses y de derechos constitucionalmente protegidos: por un lado</w:t>
      </w:r>
      <w:r>
        <w:rPr>
          <w:bCs/>
          <w:sz w:val="22"/>
          <w:szCs w:val="22"/>
        </w:rPr>
        <w:t>,</w:t>
      </w:r>
      <w:r w:rsidR="00940BFA">
        <w:rPr>
          <w:bCs/>
          <w:sz w:val="22"/>
          <w:szCs w:val="22"/>
        </w:rPr>
        <w:t xml:space="preserve"> el derecho a la intimidad personal (</w:t>
      </w:r>
      <w:proofErr w:type="spellStart"/>
      <w:r w:rsidR="00940BFA">
        <w:rPr>
          <w:bCs/>
          <w:sz w:val="22"/>
          <w:szCs w:val="22"/>
        </w:rPr>
        <w:t>articulo</w:t>
      </w:r>
      <w:proofErr w:type="spellEnd"/>
      <w:r w:rsidR="00940BFA">
        <w:rPr>
          <w:bCs/>
          <w:sz w:val="22"/>
          <w:szCs w:val="22"/>
        </w:rPr>
        <w:t xml:space="preserve"> 18 de la Constitución Española) que fundamenta la protección de los datos personales</w:t>
      </w:r>
      <w:r>
        <w:rPr>
          <w:bCs/>
          <w:sz w:val="22"/>
          <w:szCs w:val="22"/>
        </w:rPr>
        <w:t>, en este caso, de terceros ajenos al procedimiento</w:t>
      </w:r>
      <w:r w:rsidR="00940BFA">
        <w:rPr>
          <w:bCs/>
          <w:sz w:val="22"/>
          <w:szCs w:val="22"/>
        </w:rPr>
        <w:t>. Por otro lado, el derecho a la tutela efectiva de los derechos e intereses legítimos, a la interdicción de la indefensión y a utilizar los medios de prueba pertinentes para la propia defensa (artículo 24 de la Constitución Española)</w:t>
      </w:r>
      <w:r>
        <w:rPr>
          <w:bCs/>
          <w:sz w:val="22"/>
          <w:szCs w:val="22"/>
        </w:rPr>
        <w:t xml:space="preserve"> que corresponde a las recurrentes como parte interesada en el procedimiento administrativo de licitación contractual con objeto de acreditar los hechos de su interés y que convienen a su propio derecho.</w:t>
      </w:r>
    </w:p>
    <w:p w14:paraId="428754E0" w14:textId="77777777" w:rsidR="004357A6" w:rsidRDefault="004357A6" w:rsidP="00871AA1">
      <w:pPr>
        <w:jc w:val="both"/>
        <w:rPr>
          <w:bCs/>
          <w:sz w:val="22"/>
          <w:szCs w:val="22"/>
        </w:rPr>
      </w:pPr>
    </w:p>
    <w:p w14:paraId="703F8367" w14:textId="7D3F259A" w:rsidR="002D07A0" w:rsidRDefault="00EE18FD" w:rsidP="00871AA1">
      <w:pPr>
        <w:jc w:val="both"/>
        <w:rPr>
          <w:bCs/>
          <w:sz w:val="22"/>
          <w:szCs w:val="22"/>
        </w:rPr>
      </w:pPr>
      <w:r>
        <w:rPr>
          <w:bCs/>
          <w:sz w:val="22"/>
          <w:szCs w:val="22"/>
        </w:rPr>
        <w:t>Explicitado lo anterior,</w:t>
      </w:r>
      <w:r w:rsidR="00500E57">
        <w:rPr>
          <w:bCs/>
          <w:sz w:val="22"/>
          <w:szCs w:val="22"/>
        </w:rPr>
        <w:t xml:space="preserve"> e</w:t>
      </w:r>
      <w:r w:rsidR="002D07A0">
        <w:rPr>
          <w:bCs/>
          <w:sz w:val="22"/>
          <w:szCs w:val="22"/>
        </w:rPr>
        <w:t>l artículo 5 RGPD establece que los datos personales deben ser tratados de manera lícita</w:t>
      </w:r>
      <w:r w:rsidR="00500E57">
        <w:rPr>
          <w:bCs/>
          <w:sz w:val="22"/>
          <w:szCs w:val="22"/>
        </w:rPr>
        <w:t>, especificando el artículo 6 RGPD que es lícito el tratamiento “</w:t>
      </w:r>
      <w:r w:rsidR="00500E57" w:rsidRPr="00500E57">
        <w:rPr>
          <w:bCs/>
          <w:sz w:val="22"/>
          <w:szCs w:val="22"/>
        </w:rPr>
        <w:t>necesario para la satisfacción de intereses legítimos perseguidos por el responsable del tratamiento</w:t>
      </w:r>
      <w:r w:rsidR="00500E57">
        <w:rPr>
          <w:bCs/>
          <w:sz w:val="22"/>
          <w:szCs w:val="22"/>
        </w:rPr>
        <w:t>”, añadiendo el precepto que “</w:t>
      </w:r>
      <w:r w:rsidR="00500E57" w:rsidRPr="00500E57">
        <w:rPr>
          <w:bCs/>
          <w:sz w:val="22"/>
          <w:szCs w:val="22"/>
        </w:rPr>
        <w:t>siempre que sobre dichos intereses no prevalezcan los intereses o los derechos y libertades fundamentales del interesado que requieran la protección de datos personales, en particular cuando el interesado sea un niño</w:t>
      </w:r>
      <w:r w:rsidR="00500E57">
        <w:rPr>
          <w:bCs/>
          <w:sz w:val="22"/>
          <w:szCs w:val="22"/>
        </w:rPr>
        <w:t>”. Y considerando “</w:t>
      </w:r>
      <w:r w:rsidR="00500E57" w:rsidRPr="00500E57">
        <w:rPr>
          <w:bCs/>
          <w:sz w:val="22"/>
          <w:szCs w:val="22"/>
        </w:rPr>
        <w:t xml:space="preserve">la existencia de garantías adecuadas, que podrán incluir el cifrado o la </w:t>
      </w:r>
      <w:proofErr w:type="spellStart"/>
      <w:r w:rsidR="00500E57" w:rsidRPr="00500E57">
        <w:rPr>
          <w:bCs/>
          <w:sz w:val="22"/>
          <w:szCs w:val="22"/>
        </w:rPr>
        <w:t>seudonimización</w:t>
      </w:r>
      <w:proofErr w:type="spellEnd"/>
      <w:r w:rsidR="00500E57">
        <w:rPr>
          <w:bCs/>
          <w:sz w:val="22"/>
          <w:szCs w:val="22"/>
        </w:rPr>
        <w:t>”</w:t>
      </w:r>
      <w:r w:rsidR="00F53DF0">
        <w:rPr>
          <w:bCs/>
          <w:sz w:val="22"/>
          <w:szCs w:val="22"/>
        </w:rPr>
        <w:t xml:space="preserve"> (artículo 6.4)</w:t>
      </w:r>
      <w:r w:rsidR="00500E57">
        <w:rPr>
          <w:bCs/>
          <w:sz w:val="22"/>
          <w:szCs w:val="22"/>
        </w:rPr>
        <w:t>.</w:t>
      </w:r>
    </w:p>
    <w:p w14:paraId="4D166122" w14:textId="77777777" w:rsidR="00EB18E0" w:rsidRDefault="00EB18E0" w:rsidP="00871AA1">
      <w:pPr>
        <w:jc w:val="both"/>
        <w:rPr>
          <w:bCs/>
          <w:sz w:val="22"/>
          <w:szCs w:val="22"/>
        </w:rPr>
      </w:pPr>
    </w:p>
    <w:p w14:paraId="0940939C" w14:textId="3F42609F" w:rsidR="00EB18E0" w:rsidRDefault="00EB18E0" w:rsidP="00871AA1">
      <w:pPr>
        <w:jc w:val="both"/>
        <w:rPr>
          <w:bCs/>
          <w:sz w:val="22"/>
          <w:szCs w:val="22"/>
        </w:rPr>
      </w:pPr>
      <w:r>
        <w:rPr>
          <w:bCs/>
          <w:sz w:val="22"/>
          <w:szCs w:val="22"/>
        </w:rPr>
        <w:lastRenderedPageBreak/>
        <w:t xml:space="preserve">Por otro lado, </w:t>
      </w:r>
      <w:r w:rsidR="00EE18FD">
        <w:rPr>
          <w:bCs/>
          <w:sz w:val="22"/>
          <w:szCs w:val="22"/>
        </w:rPr>
        <w:t xml:space="preserve">ha de traerse a colación </w:t>
      </w:r>
      <w:r>
        <w:rPr>
          <w:bCs/>
          <w:sz w:val="22"/>
          <w:szCs w:val="22"/>
        </w:rPr>
        <w:t>la sentencia del Tribunal de Justicia de la Unión Europea de 27 de septiembre de 2017 (asunto C-73/16)</w:t>
      </w:r>
      <w:r w:rsidR="00EE18FD">
        <w:rPr>
          <w:bCs/>
          <w:sz w:val="22"/>
          <w:szCs w:val="22"/>
        </w:rPr>
        <w:t>,</w:t>
      </w:r>
      <w:r>
        <w:rPr>
          <w:bCs/>
          <w:sz w:val="22"/>
          <w:szCs w:val="22"/>
        </w:rPr>
        <w:t xml:space="preserve"> </w:t>
      </w:r>
      <w:r w:rsidR="00EE18FD">
        <w:rPr>
          <w:bCs/>
          <w:sz w:val="22"/>
          <w:szCs w:val="22"/>
        </w:rPr>
        <w:t xml:space="preserve">que </w:t>
      </w:r>
      <w:r>
        <w:rPr>
          <w:bCs/>
          <w:sz w:val="22"/>
          <w:szCs w:val="22"/>
        </w:rPr>
        <w:t>consideró que la inadmisión de un medio de prueba en el proceso era incompatible con el derecho a la tutela judicial efectiva consagrado en el artículo 47 de la Carta de los Derechos Fundamentales de la Unión Europea, a menos que tal inadmisión “respete tanto el contenido esencial del derecho a la tutela judicial efectiva como el principio de proporcionalidad”</w:t>
      </w:r>
      <w:r w:rsidR="00EE18FD">
        <w:rPr>
          <w:bCs/>
          <w:sz w:val="22"/>
          <w:szCs w:val="22"/>
        </w:rPr>
        <w:t>, en un caso de colisión entre el anterior derecho y la normativa europea sobre protección de datos personales</w:t>
      </w:r>
      <w:r w:rsidR="00EE18FD">
        <w:rPr>
          <w:rStyle w:val="Refdenotaalpie"/>
          <w:bCs/>
          <w:sz w:val="22"/>
          <w:szCs w:val="22"/>
        </w:rPr>
        <w:footnoteReference w:id="1"/>
      </w:r>
      <w:r>
        <w:rPr>
          <w:bCs/>
          <w:sz w:val="22"/>
          <w:szCs w:val="22"/>
        </w:rPr>
        <w:t xml:space="preserve"> </w:t>
      </w:r>
      <w:r w:rsidR="005C6FE4">
        <w:rPr>
          <w:bCs/>
          <w:sz w:val="22"/>
          <w:szCs w:val="22"/>
        </w:rPr>
        <w:t>(parágrafos 77 a 98</w:t>
      </w:r>
      <w:r w:rsidR="00EE18FD">
        <w:rPr>
          <w:bCs/>
          <w:sz w:val="22"/>
          <w:szCs w:val="22"/>
        </w:rPr>
        <w:t xml:space="preserve"> de la sentencia</w:t>
      </w:r>
      <w:r w:rsidR="005C6FE4">
        <w:rPr>
          <w:bCs/>
          <w:sz w:val="22"/>
          <w:szCs w:val="22"/>
        </w:rPr>
        <w:t>)</w:t>
      </w:r>
      <w:r w:rsidR="00EE18FD">
        <w:rPr>
          <w:bCs/>
          <w:sz w:val="22"/>
          <w:szCs w:val="22"/>
        </w:rPr>
        <w:t>.</w:t>
      </w:r>
    </w:p>
    <w:p w14:paraId="2EB3DD66" w14:textId="77777777" w:rsidR="004357A6" w:rsidRPr="004357A6" w:rsidRDefault="004357A6" w:rsidP="004357A6">
      <w:pPr>
        <w:jc w:val="both"/>
        <w:rPr>
          <w:bCs/>
          <w:sz w:val="22"/>
          <w:szCs w:val="22"/>
        </w:rPr>
      </w:pPr>
    </w:p>
    <w:p w14:paraId="11D84473" w14:textId="31C9B93A" w:rsidR="004357A6" w:rsidRPr="00F357AE" w:rsidRDefault="00F357AE" w:rsidP="004357A6">
      <w:pPr>
        <w:jc w:val="both"/>
        <w:rPr>
          <w:sz w:val="22"/>
          <w:szCs w:val="22"/>
        </w:rPr>
      </w:pPr>
      <w:r>
        <w:rPr>
          <w:sz w:val="22"/>
          <w:szCs w:val="22"/>
        </w:rPr>
        <w:t>Adicionalmente, c</w:t>
      </w:r>
      <w:r w:rsidR="004357A6" w:rsidRPr="00F357AE">
        <w:rPr>
          <w:sz w:val="22"/>
          <w:szCs w:val="22"/>
        </w:rPr>
        <w:t xml:space="preserve">omo ha expresado la Sala </w:t>
      </w:r>
      <w:r w:rsidR="00FB1841">
        <w:rPr>
          <w:sz w:val="22"/>
          <w:szCs w:val="22"/>
        </w:rPr>
        <w:t xml:space="preserve">de lo </w:t>
      </w:r>
      <w:r w:rsidR="004357A6" w:rsidRPr="00F357AE">
        <w:rPr>
          <w:sz w:val="22"/>
          <w:szCs w:val="22"/>
        </w:rPr>
        <w:t>Contencioso-Administrativ</w:t>
      </w:r>
      <w:r w:rsidR="00FB1841">
        <w:rPr>
          <w:sz w:val="22"/>
          <w:szCs w:val="22"/>
        </w:rPr>
        <w:t>o</w:t>
      </w:r>
      <w:r w:rsidR="004357A6" w:rsidRPr="00F357AE">
        <w:rPr>
          <w:sz w:val="22"/>
          <w:szCs w:val="22"/>
        </w:rPr>
        <w:t xml:space="preserve"> de la Audiencia Nacional, Sección Primera, en sentencia de 26 de noviembre</w:t>
      </w:r>
      <w:r w:rsidR="00FB1841">
        <w:rPr>
          <w:sz w:val="22"/>
          <w:szCs w:val="22"/>
        </w:rPr>
        <w:t xml:space="preserve"> de 2008 (R. 285/2006)</w:t>
      </w:r>
      <w:r w:rsidR="004357A6" w:rsidRPr="00F357AE">
        <w:rPr>
          <w:sz w:val="22"/>
          <w:szCs w:val="22"/>
        </w:rPr>
        <w:t>, resolviendo sobre una presunta vulneración de la Ley Orgánica de Protección de Datos Personales, con cita de otras muchas:</w:t>
      </w:r>
    </w:p>
    <w:p w14:paraId="7F7BDBBB" w14:textId="77777777" w:rsidR="004357A6" w:rsidRPr="00F357AE" w:rsidRDefault="004357A6" w:rsidP="004357A6">
      <w:pPr>
        <w:jc w:val="both"/>
        <w:rPr>
          <w:sz w:val="22"/>
          <w:szCs w:val="22"/>
        </w:rPr>
      </w:pPr>
    </w:p>
    <w:p w14:paraId="70DEEAFE" w14:textId="417AA318" w:rsidR="00F357AE" w:rsidRPr="00F357AE" w:rsidRDefault="00F357AE" w:rsidP="00F357AE">
      <w:pPr>
        <w:ind w:left="567"/>
        <w:jc w:val="both"/>
        <w:rPr>
          <w:sz w:val="22"/>
          <w:szCs w:val="22"/>
        </w:rPr>
      </w:pPr>
      <w:r w:rsidRPr="00F357AE">
        <w:rPr>
          <w:sz w:val="22"/>
          <w:szCs w:val="22"/>
        </w:rPr>
        <w:t>En coherencia con la citada configuración y finalidad de este derecho fundamental a la protección de los datos, los límites al mismo han de venir de la mano del ejercicio de los demás derechos fundamentales o del reconocimiento de bienes constitucionalmente protegidos, debiendo estarse a la regulación legal en cada caso, mediante una interpretación proporcionada en relación con los bienes jurídicos a salvaguardar.</w:t>
      </w:r>
    </w:p>
    <w:p w14:paraId="5E75AF28" w14:textId="77777777" w:rsidR="00F357AE" w:rsidRPr="00F357AE" w:rsidRDefault="00F357AE" w:rsidP="00F357AE">
      <w:pPr>
        <w:ind w:left="567"/>
        <w:jc w:val="both"/>
        <w:rPr>
          <w:sz w:val="22"/>
          <w:szCs w:val="22"/>
        </w:rPr>
      </w:pPr>
    </w:p>
    <w:p w14:paraId="32EA0A29" w14:textId="3CB09349" w:rsidR="00F357AE" w:rsidRPr="00F357AE" w:rsidRDefault="00F357AE" w:rsidP="00F357AE">
      <w:pPr>
        <w:ind w:left="567"/>
        <w:jc w:val="both"/>
        <w:rPr>
          <w:sz w:val="22"/>
          <w:szCs w:val="22"/>
        </w:rPr>
      </w:pPr>
      <w:r w:rsidRPr="00F357AE">
        <w:rPr>
          <w:sz w:val="22"/>
          <w:szCs w:val="22"/>
        </w:rPr>
        <w:t>En el caso que examinamos la colisión que parece producirse entre los derechos fundamentales relativos a la protección de los datos (</w:t>
      </w:r>
      <w:r>
        <w:rPr>
          <w:sz w:val="22"/>
          <w:szCs w:val="22"/>
        </w:rPr>
        <w:t>artículo 18.4 de la CE)</w:t>
      </w:r>
      <w:r w:rsidRPr="00F357AE">
        <w:rPr>
          <w:sz w:val="22"/>
          <w:szCs w:val="22"/>
        </w:rPr>
        <w:t xml:space="preserve"> y el derecho a la tutela judicial efectiva (</w:t>
      </w:r>
      <w:r>
        <w:rPr>
          <w:sz w:val="22"/>
          <w:szCs w:val="22"/>
        </w:rPr>
        <w:t>artículo 24.2 de la CE)</w:t>
      </w:r>
      <w:r w:rsidRPr="00F357AE">
        <w:rPr>
          <w:sz w:val="22"/>
          <w:szCs w:val="22"/>
        </w:rPr>
        <w:t xml:space="preserve"> justifica que se considera que la utilización de datos para la defensa de los intereses de los recurrentes en un juicio sobre reclamación de cantidad no sea </w:t>
      </w:r>
      <w:proofErr w:type="gramStart"/>
      <w:r w:rsidRPr="00F357AE">
        <w:rPr>
          <w:sz w:val="22"/>
          <w:szCs w:val="22"/>
        </w:rPr>
        <w:t>contrario</w:t>
      </w:r>
      <w:proofErr w:type="gramEnd"/>
      <w:r w:rsidRPr="00F357AE">
        <w:rPr>
          <w:sz w:val="22"/>
          <w:szCs w:val="22"/>
        </w:rPr>
        <w:t xml:space="preserve"> a los principios sobre protección de datos.</w:t>
      </w:r>
    </w:p>
    <w:p w14:paraId="5B0FE802" w14:textId="77777777" w:rsidR="00F357AE" w:rsidRPr="00F357AE" w:rsidRDefault="00F357AE" w:rsidP="00F357AE">
      <w:pPr>
        <w:ind w:left="567"/>
        <w:jc w:val="both"/>
        <w:rPr>
          <w:sz w:val="22"/>
          <w:szCs w:val="22"/>
        </w:rPr>
      </w:pPr>
    </w:p>
    <w:p w14:paraId="57949259" w14:textId="461208C9" w:rsidR="00F357AE" w:rsidRPr="00F357AE" w:rsidRDefault="00F357AE" w:rsidP="00F357AE">
      <w:pPr>
        <w:ind w:left="567"/>
        <w:jc w:val="both"/>
        <w:rPr>
          <w:sz w:val="22"/>
          <w:szCs w:val="22"/>
        </w:rPr>
      </w:pPr>
      <w:r w:rsidRPr="00F357AE">
        <w:rPr>
          <w:sz w:val="22"/>
          <w:szCs w:val="22"/>
        </w:rPr>
        <w:t>Esta Sala en la sentencia correspondiente al recurso 312/2004 al valorar la cuestión relativa a la aportación en un pleito de datos de los que se disponía de modo ajeno al propio pleito afirmó que "A lo dicho hasta ahora debe unirse lo que resulta del</w:t>
      </w:r>
      <w:r>
        <w:rPr>
          <w:sz w:val="22"/>
          <w:szCs w:val="22"/>
        </w:rPr>
        <w:t xml:space="preserve"> artículo 24 de la Constitución </w:t>
      </w:r>
      <w:r w:rsidRPr="00F357AE">
        <w:rPr>
          <w:sz w:val="22"/>
          <w:szCs w:val="22"/>
        </w:rPr>
        <w:t xml:space="preserve">cuando establece que "Todas las personas tienen derecho a obtener la tutela efectiva de los jueces y tribunales en el ejercicio de sus derechos e intereses legítimos, sin que, en ningún caso, pueda producirse indefensión". En aplicación de las garantías recogidas en este precepto, resulta que </w:t>
      </w:r>
      <w:r>
        <w:rPr>
          <w:sz w:val="22"/>
          <w:szCs w:val="22"/>
        </w:rPr>
        <w:t xml:space="preserve">[…] </w:t>
      </w:r>
      <w:r w:rsidRPr="00F357AE">
        <w:rPr>
          <w:sz w:val="22"/>
          <w:szCs w:val="22"/>
        </w:rPr>
        <w:t>mutualidad de seguros y reaseguros debe utilizar en apoyo y defensa de sus intereses cuanta información y documentación disponga sin que para ello necesite del consentimiento de [...] como titular de los datos personales.</w:t>
      </w:r>
    </w:p>
    <w:p w14:paraId="52A282C7" w14:textId="77777777" w:rsidR="00F53DF0" w:rsidRPr="004357A6" w:rsidRDefault="00F53DF0" w:rsidP="004357A6">
      <w:pPr>
        <w:jc w:val="both"/>
        <w:rPr>
          <w:bCs/>
          <w:sz w:val="22"/>
          <w:szCs w:val="22"/>
        </w:rPr>
      </w:pPr>
    </w:p>
    <w:p w14:paraId="29EB89AB" w14:textId="1D199A44" w:rsidR="00F53DF0" w:rsidRDefault="00F53DF0" w:rsidP="00871AA1">
      <w:pPr>
        <w:jc w:val="both"/>
        <w:rPr>
          <w:bCs/>
          <w:sz w:val="22"/>
          <w:szCs w:val="22"/>
        </w:rPr>
      </w:pPr>
      <w:r>
        <w:rPr>
          <w:bCs/>
          <w:sz w:val="22"/>
          <w:szCs w:val="22"/>
        </w:rPr>
        <w:t xml:space="preserve">Lo dicho hasta aquí </w:t>
      </w:r>
      <w:r w:rsidR="00EE18FD">
        <w:rPr>
          <w:bCs/>
          <w:sz w:val="22"/>
          <w:szCs w:val="22"/>
        </w:rPr>
        <w:t>pone de manifiesto la necesidad de</w:t>
      </w:r>
      <w:r>
        <w:rPr>
          <w:bCs/>
          <w:sz w:val="22"/>
          <w:szCs w:val="22"/>
        </w:rPr>
        <w:t xml:space="preserve"> examinar </w:t>
      </w:r>
      <w:r w:rsidR="00EE18FD">
        <w:rPr>
          <w:bCs/>
          <w:sz w:val="22"/>
          <w:szCs w:val="22"/>
        </w:rPr>
        <w:t>la cuestión planteada</w:t>
      </w:r>
      <w:r w:rsidR="005C6FE4">
        <w:rPr>
          <w:bCs/>
          <w:sz w:val="22"/>
          <w:szCs w:val="22"/>
        </w:rPr>
        <w:t>, no</w:t>
      </w:r>
      <w:r>
        <w:rPr>
          <w:bCs/>
          <w:sz w:val="22"/>
          <w:szCs w:val="22"/>
        </w:rPr>
        <w:t xml:space="preserve"> desde </w:t>
      </w:r>
      <w:r w:rsidR="005C6FE4">
        <w:rPr>
          <w:bCs/>
          <w:sz w:val="22"/>
          <w:szCs w:val="22"/>
        </w:rPr>
        <w:t>un punto de vista</w:t>
      </w:r>
      <w:r>
        <w:rPr>
          <w:bCs/>
          <w:sz w:val="22"/>
          <w:szCs w:val="22"/>
        </w:rPr>
        <w:t xml:space="preserve"> unilateral</w:t>
      </w:r>
      <w:r w:rsidR="005C6FE4">
        <w:rPr>
          <w:bCs/>
          <w:sz w:val="22"/>
          <w:szCs w:val="22"/>
        </w:rPr>
        <w:t xml:space="preserve">, sino </w:t>
      </w:r>
      <w:r w:rsidR="00775906">
        <w:rPr>
          <w:bCs/>
          <w:sz w:val="22"/>
          <w:szCs w:val="22"/>
        </w:rPr>
        <w:t xml:space="preserve">general, es decir, </w:t>
      </w:r>
      <w:r w:rsidR="005C6FE4">
        <w:rPr>
          <w:bCs/>
          <w:sz w:val="22"/>
          <w:szCs w:val="22"/>
        </w:rPr>
        <w:t>ponderando</w:t>
      </w:r>
      <w:r>
        <w:rPr>
          <w:bCs/>
          <w:sz w:val="22"/>
          <w:szCs w:val="22"/>
        </w:rPr>
        <w:t xml:space="preserve"> la totalidad de los intereses en concurso</w:t>
      </w:r>
      <w:r w:rsidR="00785D97">
        <w:rPr>
          <w:bCs/>
          <w:sz w:val="22"/>
          <w:szCs w:val="22"/>
        </w:rPr>
        <w:t>.</w:t>
      </w:r>
    </w:p>
    <w:p w14:paraId="1789BEA8" w14:textId="77777777" w:rsidR="00785D97" w:rsidRDefault="00785D97" w:rsidP="00871AA1">
      <w:pPr>
        <w:jc w:val="both"/>
        <w:rPr>
          <w:bCs/>
          <w:sz w:val="22"/>
          <w:szCs w:val="22"/>
        </w:rPr>
      </w:pPr>
    </w:p>
    <w:p w14:paraId="39C07DBA" w14:textId="07787231" w:rsidR="00A4296E" w:rsidRDefault="00A37E97" w:rsidP="00871AA1">
      <w:pPr>
        <w:jc w:val="both"/>
        <w:rPr>
          <w:bCs/>
          <w:sz w:val="22"/>
          <w:szCs w:val="22"/>
        </w:rPr>
      </w:pPr>
      <w:r>
        <w:rPr>
          <w:bCs/>
          <w:sz w:val="22"/>
          <w:szCs w:val="22"/>
        </w:rPr>
        <w:t>Y</w:t>
      </w:r>
      <w:r w:rsidR="00F53DF0">
        <w:rPr>
          <w:bCs/>
          <w:sz w:val="22"/>
          <w:szCs w:val="22"/>
        </w:rPr>
        <w:t xml:space="preserve"> </w:t>
      </w:r>
      <w:r w:rsidR="005C6FE4">
        <w:rPr>
          <w:bCs/>
          <w:sz w:val="22"/>
          <w:szCs w:val="22"/>
        </w:rPr>
        <w:t xml:space="preserve">antes de nada </w:t>
      </w:r>
      <w:r w:rsidR="00F53DF0">
        <w:rPr>
          <w:bCs/>
          <w:sz w:val="22"/>
          <w:szCs w:val="22"/>
        </w:rPr>
        <w:t xml:space="preserve">debemos advertir que, comoquiera que el órgano de contratación, inadmitiendo la documentación presentada por las </w:t>
      </w:r>
      <w:r w:rsidR="00785D97">
        <w:rPr>
          <w:bCs/>
          <w:sz w:val="22"/>
          <w:szCs w:val="22"/>
        </w:rPr>
        <w:t>hoy</w:t>
      </w:r>
      <w:r w:rsidR="00F53DF0">
        <w:rPr>
          <w:bCs/>
          <w:sz w:val="22"/>
          <w:szCs w:val="22"/>
        </w:rPr>
        <w:t xml:space="preserve"> recurrentes, no incorporó la misma al expediente administrativo, </w:t>
      </w:r>
      <w:r w:rsidR="008A253A">
        <w:rPr>
          <w:bCs/>
          <w:sz w:val="22"/>
          <w:szCs w:val="22"/>
        </w:rPr>
        <w:t>no resulta posible</w:t>
      </w:r>
      <w:r w:rsidR="00E131CB">
        <w:rPr>
          <w:bCs/>
          <w:sz w:val="22"/>
          <w:szCs w:val="22"/>
        </w:rPr>
        <w:t xml:space="preserve"> examinar acabadamente </w:t>
      </w:r>
      <w:r w:rsidR="00785D97">
        <w:rPr>
          <w:bCs/>
          <w:sz w:val="22"/>
          <w:szCs w:val="22"/>
        </w:rPr>
        <w:t xml:space="preserve">ahora </w:t>
      </w:r>
      <w:r w:rsidR="00E131CB">
        <w:rPr>
          <w:bCs/>
          <w:sz w:val="22"/>
          <w:szCs w:val="22"/>
        </w:rPr>
        <w:t xml:space="preserve">el alcance </w:t>
      </w:r>
      <w:r w:rsidR="00785D97">
        <w:rPr>
          <w:bCs/>
          <w:sz w:val="22"/>
          <w:szCs w:val="22"/>
        </w:rPr>
        <w:t>concreto</w:t>
      </w:r>
      <w:r w:rsidR="00F53DF0">
        <w:rPr>
          <w:bCs/>
          <w:sz w:val="22"/>
          <w:szCs w:val="22"/>
        </w:rPr>
        <w:t xml:space="preserve"> del tratamiento indebido</w:t>
      </w:r>
      <w:r w:rsidR="00E131CB">
        <w:rPr>
          <w:bCs/>
          <w:sz w:val="22"/>
          <w:szCs w:val="22"/>
        </w:rPr>
        <w:t xml:space="preserve"> en que supuestamente incurrieron la</w:t>
      </w:r>
      <w:r w:rsidR="00785D97">
        <w:rPr>
          <w:bCs/>
          <w:sz w:val="22"/>
          <w:szCs w:val="22"/>
        </w:rPr>
        <w:t>s licitadoras</w:t>
      </w:r>
      <w:r w:rsidR="00E131CB">
        <w:rPr>
          <w:bCs/>
          <w:sz w:val="22"/>
          <w:szCs w:val="22"/>
        </w:rPr>
        <w:t>, según el órgano de contratación, circunstancia que</w:t>
      </w:r>
      <w:r w:rsidR="00F53DF0">
        <w:rPr>
          <w:bCs/>
          <w:sz w:val="22"/>
          <w:szCs w:val="22"/>
        </w:rPr>
        <w:t>, por otra parte,</w:t>
      </w:r>
      <w:r w:rsidR="00E131CB">
        <w:rPr>
          <w:bCs/>
          <w:sz w:val="22"/>
          <w:szCs w:val="22"/>
        </w:rPr>
        <w:t xml:space="preserve"> no puede perjudicar a las reclamantes.</w:t>
      </w:r>
    </w:p>
    <w:p w14:paraId="79EBD862" w14:textId="77777777" w:rsidR="00785D97" w:rsidRDefault="00785D97" w:rsidP="00871AA1">
      <w:pPr>
        <w:jc w:val="both"/>
        <w:rPr>
          <w:bCs/>
          <w:sz w:val="22"/>
          <w:szCs w:val="22"/>
        </w:rPr>
      </w:pPr>
    </w:p>
    <w:p w14:paraId="0EC233A4" w14:textId="0932BE16" w:rsidR="00785D97" w:rsidRDefault="00785D97" w:rsidP="00871AA1">
      <w:pPr>
        <w:jc w:val="both"/>
        <w:rPr>
          <w:bCs/>
          <w:sz w:val="22"/>
          <w:szCs w:val="22"/>
        </w:rPr>
      </w:pPr>
      <w:r>
        <w:rPr>
          <w:bCs/>
          <w:sz w:val="22"/>
          <w:szCs w:val="22"/>
        </w:rPr>
        <w:lastRenderedPageBreak/>
        <w:t>Con todo, el informe del órgano de contratación presentado en este recurso especial</w:t>
      </w:r>
      <w:r w:rsidR="005C6FE4">
        <w:rPr>
          <w:bCs/>
          <w:sz w:val="22"/>
          <w:szCs w:val="22"/>
        </w:rPr>
        <w:t xml:space="preserve"> permite deducir que la inadmisión de la documentación presentada por la recurrente no se hubiera producido si esta se hubiera presentado anonimizada.</w:t>
      </w:r>
    </w:p>
    <w:p w14:paraId="42D6E7E4" w14:textId="77777777" w:rsidR="005C6FE4" w:rsidRDefault="005C6FE4" w:rsidP="00871AA1">
      <w:pPr>
        <w:jc w:val="both"/>
        <w:rPr>
          <w:bCs/>
          <w:sz w:val="22"/>
          <w:szCs w:val="22"/>
        </w:rPr>
      </w:pPr>
    </w:p>
    <w:p w14:paraId="746F29E4" w14:textId="34048613" w:rsidR="005C6FE4" w:rsidRDefault="0026398F" w:rsidP="00871AA1">
      <w:pPr>
        <w:jc w:val="both"/>
        <w:rPr>
          <w:bCs/>
          <w:sz w:val="22"/>
          <w:szCs w:val="22"/>
        </w:rPr>
      </w:pPr>
      <w:r>
        <w:rPr>
          <w:bCs/>
          <w:sz w:val="22"/>
          <w:szCs w:val="22"/>
        </w:rPr>
        <w:t xml:space="preserve">Dicho lo anterior y aplicando los criterios legales expuestos anteriormente y </w:t>
      </w:r>
      <w:r w:rsidR="00565CC4">
        <w:rPr>
          <w:bCs/>
          <w:sz w:val="22"/>
          <w:szCs w:val="22"/>
        </w:rPr>
        <w:t xml:space="preserve">haciendo uso de </w:t>
      </w:r>
      <w:r>
        <w:rPr>
          <w:bCs/>
          <w:sz w:val="22"/>
          <w:szCs w:val="22"/>
        </w:rPr>
        <w:t xml:space="preserve">la ineludible ponderación y equilibrio de los derechos </w:t>
      </w:r>
      <w:r w:rsidR="00565CC4">
        <w:rPr>
          <w:bCs/>
          <w:sz w:val="22"/>
          <w:szCs w:val="22"/>
        </w:rPr>
        <w:t xml:space="preserve">e intereses </w:t>
      </w:r>
      <w:r>
        <w:rPr>
          <w:bCs/>
          <w:sz w:val="22"/>
          <w:szCs w:val="22"/>
        </w:rPr>
        <w:t>en conflicto</w:t>
      </w:r>
      <w:r w:rsidR="00F357AE">
        <w:rPr>
          <w:bCs/>
          <w:sz w:val="22"/>
          <w:szCs w:val="22"/>
        </w:rPr>
        <w:t xml:space="preserve">, </w:t>
      </w:r>
      <w:r>
        <w:rPr>
          <w:bCs/>
          <w:sz w:val="22"/>
          <w:szCs w:val="22"/>
        </w:rPr>
        <w:t>se deduce</w:t>
      </w:r>
      <w:r w:rsidR="00F357AE">
        <w:rPr>
          <w:bCs/>
          <w:sz w:val="22"/>
          <w:szCs w:val="22"/>
        </w:rPr>
        <w:t xml:space="preserve"> que la inadmisión de la documentación</w:t>
      </w:r>
      <w:r>
        <w:rPr>
          <w:bCs/>
          <w:sz w:val="22"/>
          <w:szCs w:val="22"/>
        </w:rPr>
        <w:t xml:space="preserve"> aportada al procedimiento por las recurrentes, presuponiendo su utilidad y pertinencia (no cuestionadas por el órgano de contratación) sólo era compatible con el derecho de defensa de las licitadoras, en su vertiente de derecho a la prueba, en el supuesto de que la aportación de la misma documentación convenientemente anonimizada fuera susceptible de producir plena eficacia probatoria y siempre que se hubiera dado oportunidad a las mismas recurrentes de subsanar el defecto, anonimizando la documentación presentada.</w:t>
      </w:r>
    </w:p>
    <w:p w14:paraId="55ADB50A" w14:textId="77777777" w:rsidR="0026398F" w:rsidRDefault="0026398F" w:rsidP="00871AA1">
      <w:pPr>
        <w:jc w:val="both"/>
        <w:rPr>
          <w:bCs/>
          <w:sz w:val="22"/>
          <w:szCs w:val="22"/>
        </w:rPr>
      </w:pPr>
    </w:p>
    <w:p w14:paraId="22C86084" w14:textId="6F98BC6D" w:rsidR="0026398F" w:rsidRDefault="002D19D8" w:rsidP="00871AA1">
      <w:pPr>
        <w:jc w:val="both"/>
        <w:rPr>
          <w:bCs/>
          <w:sz w:val="22"/>
          <w:szCs w:val="22"/>
        </w:rPr>
      </w:pPr>
      <w:r>
        <w:rPr>
          <w:bCs/>
          <w:sz w:val="22"/>
          <w:szCs w:val="22"/>
        </w:rPr>
        <w:t>L</w:t>
      </w:r>
      <w:r w:rsidR="00775906">
        <w:rPr>
          <w:bCs/>
          <w:sz w:val="22"/>
          <w:szCs w:val="22"/>
        </w:rPr>
        <w:t>a argumentación qu</w:t>
      </w:r>
      <w:r>
        <w:rPr>
          <w:bCs/>
          <w:sz w:val="22"/>
          <w:szCs w:val="22"/>
        </w:rPr>
        <w:t>e emplea el órgano de contratación para calificar como “defecto insubsanable” l</w:t>
      </w:r>
      <w:r w:rsidR="0026398F">
        <w:rPr>
          <w:bCs/>
          <w:sz w:val="22"/>
          <w:szCs w:val="22"/>
        </w:rPr>
        <w:t xml:space="preserve">a presentación de documentación con datos personales no anonimizados </w:t>
      </w:r>
      <w:r w:rsidR="0083595A">
        <w:rPr>
          <w:bCs/>
          <w:sz w:val="22"/>
          <w:szCs w:val="22"/>
        </w:rPr>
        <w:t>contenida en</w:t>
      </w:r>
      <w:r w:rsidR="00775906">
        <w:rPr>
          <w:bCs/>
          <w:sz w:val="22"/>
          <w:szCs w:val="22"/>
        </w:rPr>
        <w:t xml:space="preserve"> el informe del Área de Contratación y Régimen Jurídico de 14 de abril de 2025 que sirvió de fundamento a la exclusión de las licitadoras no </w:t>
      </w:r>
      <w:r w:rsidR="0083595A">
        <w:rPr>
          <w:bCs/>
          <w:sz w:val="22"/>
          <w:szCs w:val="22"/>
        </w:rPr>
        <w:t>resulta convincente</w:t>
      </w:r>
      <w:r w:rsidR="00C6399D">
        <w:rPr>
          <w:bCs/>
          <w:sz w:val="22"/>
          <w:szCs w:val="22"/>
        </w:rPr>
        <w:t>. En efecto, tanto la</w:t>
      </w:r>
      <w:r w:rsidR="00775906">
        <w:rPr>
          <w:bCs/>
          <w:sz w:val="22"/>
          <w:szCs w:val="22"/>
        </w:rPr>
        <w:t xml:space="preserve"> resolución 043/2025, </w:t>
      </w:r>
      <w:r w:rsidR="0083595A">
        <w:rPr>
          <w:bCs/>
          <w:sz w:val="22"/>
          <w:szCs w:val="22"/>
        </w:rPr>
        <w:t xml:space="preserve">de 30 de enero, </w:t>
      </w:r>
      <w:r w:rsidR="00775906">
        <w:rPr>
          <w:bCs/>
          <w:sz w:val="22"/>
          <w:szCs w:val="22"/>
        </w:rPr>
        <w:t xml:space="preserve">del Tribunal </w:t>
      </w:r>
      <w:r w:rsidR="0083595A">
        <w:rPr>
          <w:bCs/>
          <w:sz w:val="22"/>
          <w:szCs w:val="22"/>
        </w:rPr>
        <w:t>A</w:t>
      </w:r>
      <w:r w:rsidR="00775906">
        <w:rPr>
          <w:bCs/>
          <w:sz w:val="22"/>
          <w:szCs w:val="22"/>
        </w:rPr>
        <w:t>dministrativo de la Comunidad Autónoma de Madrid</w:t>
      </w:r>
      <w:r w:rsidR="00C6399D">
        <w:rPr>
          <w:bCs/>
          <w:sz w:val="22"/>
          <w:szCs w:val="22"/>
        </w:rPr>
        <w:t>, como el Acuerdo 22/2020, de 12 de marzo</w:t>
      </w:r>
      <w:r w:rsidR="0083595A">
        <w:rPr>
          <w:bCs/>
          <w:sz w:val="22"/>
          <w:szCs w:val="22"/>
        </w:rPr>
        <w:t>, del Tribunal Administrativo</w:t>
      </w:r>
      <w:r w:rsidR="00184BD2">
        <w:rPr>
          <w:bCs/>
          <w:sz w:val="22"/>
          <w:szCs w:val="22"/>
        </w:rPr>
        <w:t xml:space="preserve"> </w:t>
      </w:r>
      <w:r w:rsidR="0083595A">
        <w:rPr>
          <w:bCs/>
          <w:sz w:val="22"/>
          <w:szCs w:val="22"/>
        </w:rPr>
        <w:t xml:space="preserve">de Contratos Públicos de Navarra, </w:t>
      </w:r>
      <w:r w:rsidR="00184BD2">
        <w:rPr>
          <w:bCs/>
          <w:sz w:val="22"/>
          <w:szCs w:val="22"/>
        </w:rPr>
        <w:t xml:space="preserve">que </w:t>
      </w:r>
      <w:r w:rsidR="0083595A">
        <w:rPr>
          <w:bCs/>
          <w:sz w:val="22"/>
          <w:szCs w:val="22"/>
        </w:rPr>
        <w:t>se citan, confirman</w:t>
      </w:r>
      <w:r w:rsidR="00184BD2">
        <w:rPr>
          <w:bCs/>
          <w:sz w:val="22"/>
          <w:szCs w:val="22"/>
        </w:rPr>
        <w:t xml:space="preserve"> la denegación de un tratamiento de datos (acceso y consulta) para la defensa de las pretensiones </w:t>
      </w:r>
      <w:r w:rsidR="0083595A">
        <w:rPr>
          <w:bCs/>
          <w:sz w:val="22"/>
          <w:szCs w:val="22"/>
        </w:rPr>
        <w:t xml:space="preserve">(prueba) </w:t>
      </w:r>
      <w:r w:rsidR="00184BD2">
        <w:rPr>
          <w:bCs/>
          <w:sz w:val="22"/>
          <w:szCs w:val="22"/>
        </w:rPr>
        <w:t>de un interesado en el procedimiento de licitación por resultar innecesario tal tratamiento</w:t>
      </w:r>
      <w:r w:rsidR="0083595A">
        <w:rPr>
          <w:bCs/>
          <w:sz w:val="22"/>
          <w:szCs w:val="22"/>
        </w:rPr>
        <w:t xml:space="preserve"> para ese objeto</w:t>
      </w:r>
      <w:r w:rsidR="00A37E97">
        <w:rPr>
          <w:bCs/>
          <w:sz w:val="22"/>
          <w:szCs w:val="22"/>
        </w:rPr>
        <w:t>, caso distinto al planteado aquí</w:t>
      </w:r>
      <w:r w:rsidR="00184BD2">
        <w:rPr>
          <w:bCs/>
          <w:sz w:val="22"/>
          <w:szCs w:val="22"/>
        </w:rPr>
        <w:t xml:space="preserve">. </w:t>
      </w:r>
      <w:r w:rsidR="0083595A">
        <w:rPr>
          <w:bCs/>
          <w:sz w:val="22"/>
          <w:szCs w:val="22"/>
        </w:rPr>
        <w:t>Es más</w:t>
      </w:r>
      <w:r w:rsidR="00184BD2">
        <w:rPr>
          <w:bCs/>
          <w:sz w:val="22"/>
          <w:szCs w:val="22"/>
        </w:rPr>
        <w:t xml:space="preserve">, la sentencia del TSJ de Madrid 75/2024, de 26 de enero, que se </w:t>
      </w:r>
      <w:r w:rsidR="0083595A">
        <w:rPr>
          <w:bCs/>
          <w:sz w:val="22"/>
          <w:szCs w:val="22"/>
        </w:rPr>
        <w:t>invoca en el mismo informe</w:t>
      </w:r>
      <w:r w:rsidR="00A37E97">
        <w:rPr>
          <w:bCs/>
          <w:sz w:val="22"/>
          <w:szCs w:val="22"/>
        </w:rPr>
        <w:t>,</w:t>
      </w:r>
      <w:r w:rsidR="00C6399D">
        <w:rPr>
          <w:bCs/>
          <w:sz w:val="22"/>
          <w:szCs w:val="22"/>
        </w:rPr>
        <w:t xml:space="preserve"> abona la solución contraria </w:t>
      </w:r>
      <w:r w:rsidR="0083595A">
        <w:rPr>
          <w:bCs/>
          <w:sz w:val="22"/>
          <w:szCs w:val="22"/>
        </w:rPr>
        <w:t xml:space="preserve">a la pretendida, pues </w:t>
      </w:r>
      <w:r w:rsidR="00184BD2">
        <w:rPr>
          <w:bCs/>
          <w:sz w:val="22"/>
          <w:szCs w:val="22"/>
        </w:rPr>
        <w:t>prioriza el derecho a la tutela judicial efectiva y el derecho de defensa sobre la protección de datos personales de tercero</w:t>
      </w:r>
      <w:r w:rsidR="0083595A">
        <w:rPr>
          <w:bCs/>
          <w:sz w:val="22"/>
          <w:szCs w:val="22"/>
        </w:rPr>
        <w:t xml:space="preserve"> y </w:t>
      </w:r>
      <w:r w:rsidR="00184BD2">
        <w:rPr>
          <w:bCs/>
          <w:sz w:val="22"/>
          <w:szCs w:val="22"/>
        </w:rPr>
        <w:t>anula una inadmisión de prueba acordada por el tribunal de instancia</w:t>
      </w:r>
      <w:r w:rsidR="00C6399D">
        <w:rPr>
          <w:bCs/>
          <w:sz w:val="22"/>
          <w:szCs w:val="22"/>
        </w:rPr>
        <w:t>, con la siguiente motivación (FJ 4):</w:t>
      </w:r>
    </w:p>
    <w:p w14:paraId="1C29A4D5" w14:textId="77777777" w:rsidR="00C6399D" w:rsidRPr="00C6399D" w:rsidRDefault="00C6399D" w:rsidP="00C6399D">
      <w:pPr>
        <w:jc w:val="both"/>
        <w:rPr>
          <w:bCs/>
          <w:i/>
          <w:iCs/>
          <w:sz w:val="22"/>
          <w:szCs w:val="22"/>
        </w:rPr>
      </w:pPr>
    </w:p>
    <w:p w14:paraId="06BAC7DF" w14:textId="710FDD4F" w:rsidR="00C6399D" w:rsidRPr="00C6399D" w:rsidRDefault="00C6399D" w:rsidP="00C6399D">
      <w:pPr>
        <w:ind w:left="567"/>
        <w:jc w:val="both"/>
        <w:rPr>
          <w:color w:val="333333"/>
          <w:sz w:val="22"/>
          <w:szCs w:val="22"/>
        </w:rPr>
      </w:pPr>
      <w:r w:rsidRPr="00C6399D">
        <w:rPr>
          <w:color w:val="333333"/>
          <w:sz w:val="22"/>
          <w:szCs w:val="22"/>
        </w:rPr>
        <w:t>A tales efectos, y como se ha defendido a novel doctrinal (Delgado Martin) la aportación de un dato personal al proceso judicial con finalidad de prueba solamente puede producirse si existe una base jurídica que lo legitime (licitud del tratamiento). Con carácter general, dicha licitud existirá en los supuestos previstos en el</w:t>
      </w:r>
      <w:r>
        <w:rPr>
          <w:color w:val="333333"/>
          <w:sz w:val="22"/>
          <w:szCs w:val="22"/>
        </w:rPr>
        <w:t xml:space="preserve"> </w:t>
      </w:r>
      <w:r w:rsidRPr="0083595A">
        <w:rPr>
          <w:sz w:val="22"/>
          <w:szCs w:val="22"/>
        </w:rPr>
        <w:t>artículo 6.1 RGPD):</w:t>
      </w:r>
      <w:r w:rsidRPr="00C6399D">
        <w:rPr>
          <w:color w:val="333333"/>
          <w:sz w:val="22"/>
          <w:szCs w:val="22"/>
        </w:rPr>
        <w:t xml:space="preserve"> consentimiento del interesado; tratamiento necesario para la ejecución de un contrato en el que el interesado es parte; tratamiento necesario para el cumplimiento de una obligación legal aplicable al responsable del tratamiento; tratamiento necesario para proteger intereses vitales del interesado o de otra persona física; tratamiento necesario para el cumplimiento de una misión realizada en interés público o en el ejercicio de poderes públicos conferidos al responsable del tratamiento; y tratamiento necesario para la satisfacción de intereses legítimos perseguidos por el responsable del tratamiento o por un tercero.</w:t>
      </w:r>
    </w:p>
    <w:p w14:paraId="0C914F2F" w14:textId="77777777" w:rsidR="00C6399D" w:rsidRPr="00C6399D" w:rsidRDefault="00C6399D" w:rsidP="00C6399D">
      <w:pPr>
        <w:ind w:left="567"/>
        <w:jc w:val="both"/>
        <w:rPr>
          <w:i/>
          <w:iCs/>
          <w:color w:val="333333"/>
          <w:sz w:val="22"/>
          <w:szCs w:val="22"/>
        </w:rPr>
      </w:pPr>
    </w:p>
    <w:p w14:paraId="46925901" w14:textId="51F611F4" w:rsidR="00C6399D" w:rsidRPr="00C6399D" w:rsidRDefault="00C6399D" w:rsidP="00C6399D">
      <w:pPr>
        <w:ind w:left="567"/>
        <w:jc w:val="both"/>
        <w:rPr>
          <w:color w:val="333333"/>
          <w:sz w:val="22"/>
          <w:szCs w:val="22"/>
        </w:rPr>
      </w:pPr>
      <w:r w:rsidRPr="00C6399D">
        <w:rPr>
          <w:color w:val="333333"/>
          <w:sz w:val="22"/>
          <w:szCs w:val="22"/>
        </w:rPr>
        <w:t xml:space="preserve">En el caso enjuiciado tenemos </w:t>
      </w:r>
      <w:r w:rsidRPr="00C6399D">
        <w:rPr>
          <w:sz w:val="22"/>
          <w:szCs w:val="22"/>
        </w:rPr>
        <w:t>que los datos han sido aportados por la propia parte procesal y el acto de proposición como prueba tiene una base jurídica legítima: el tratamiento es necesario para la satisfacción de intereses legítimos perseguidos por el responsable del tratamiento (letra f del artículo 6 RGPD), que se concretan en el ejercicio del derecho de defensa; aunque la parte deberá haber obtenido el dato personal de forma legítima.</w:t>
      </w:r>
      <w:r w:rsidRPr="00C6399D">
        <w:rPr>
          <w:rStyle w:val="nfasis"/>
          <w:i w:val="0"/>
          <w:iCs w:val="0"/>
          <w:color w:val="333333"/>
          <w:sz w:val="22"/>
          <w:szCs w:val="22"/>
          <w:shd w:val="clear" w:color="auto" w:fill="F7F7FE"/>
        </w:rPr>
        <w:t xml:space="preserve"> </w:t>
      </w:r>
      <w:r w:rsidRPr="00C6399D">
        <w:rPr>
          <w:color w:val="333333"/>
          <w:sz w:val="22"/>
          <w:szCs w:val="22"/>
        </w:rPr>
        <w:t xml:space="preserve">Debiendo autorizarse asimismo a título excepcional el tratamiento de dichos datos personales cuando sea necesario para la formulación, el ejercicio o la defensa de reclamaciones, ya sea por un procedimiento judicial o un procedimiento administrativo o extrajudicial. Y cuando el Juez lo admite como prueba y ordena su incorporación al proceso </w:t>
      </w:r>
      <w:r w:rsidRPr="00C6399D">
        <w:rPr>
          <w:color w:val="333333"/>
          <w:sz w:val="22"/>
          <w:szCs w:val="22"/>
        </w:rPr>
        <w:lastRenderedPageBreak/>
        <w:t xml:space="preserve">por aplicación de la normativa procesal, la base legitimadora se encuentra en el ejercicio de poderes públicos conferidos al responsable del tratamiento (letra </w:t>
      </w:r>
      <w:proofErr w:type="gramStart"/>
      <w:r w:rsidRPr="00C6399D">
        <w:rPr>
          <w:color w:val="333333"/>
          <w:sz w:val="22"/>
          <w:szCs w:val="22"/>
        </w:rPr>
        <w:t>e</w:t>
      </w:r>
      <w:proofErr w:type="gramEnd"/>
      <w:r w:rsidRPr="00C6399D">
        <w:rPr>
          <w:color w:val="333333"/>
          <w:sz w:val="22"/>
          <w:szCs w:val="22"/>
        </w:rPr>
        <w:t xml:space="preserve"> del </w:t>
      </w:r>
      <w:r>
        <w:rPr>
          <w:rStyle w:val="nfasis"/>
          <w:i w:val="0"/>
          <w:iCs w:val="0"/>
          <w:color w:val="333333"/>
          <w:sz w:val="22"/>
          <w:szCs w:val="22"/>
          <w:shd w:val="clear" w:color="auto" w:fill="F7F7FE"/>
        </w:rPr>
        <w:t>artículo 6 RGPD</w:t>
      </w:r>
      <w:r w:rsidRPr="00C6399D">
        <w:rPr>
          <w:color w:val="333333"/>
          <w:sz w:val="22"/>
          <w:szCs w:val="22"/>
        </w:rPr>
        <w:t>).</w:t>
      </w:r>
    </w:p>
    <w:p w14:paraId="552618FB" w14:textId="77777777" w:rsidR="00C6399D" w:rsidRPr="00C6399D" w:rsidRDefault="00C6399D" w:rsidP="00C6399D">
      <w:pPr>
        <w:jc w:val="both"/>
        <w:rPr>
          <w:bCs/>
          <w:sz w:val="22"/>
          <w:szCs w:val="22"/>
        </w:rPr>
      </w:pPr>
    </w:p>
    <w:p w14:paraId="6011E3CB" w14:textId="20BD91F3" w:rsidR="00C6399D" w:rsidRDefault="0083595A" w:rsidP="00C6399D">
      <w:pPr>
        <w:jc w:val="both"/>
        <w:rPr>
          <w:bCs/>
          <w:sz w:val="22"/>
          <w:szCs w:val="22"/>
        </w:rPr>
      </w:pPr>
      <w:r>
        <w:rPr>
          <w:bCs/>
          <w:sz w:val="22"/>
          <w:szCs w:val="22"/>
        </w:rPr>
        <w:t xml:space="preserve">En conclusión, </w:t>
      </w:r>
      <w:r w:rsidR="009C249E">
        <w:rPr>
          <w:bCs/>
          <w:sz w:val="22"/>
          <w:szCs w:val="22"/>
        </w:rPr>
        <w:t>en lo tocante a la decisión</w:t>
      </w:r>
      <w:r>
        <w:rPr>
          <w:bCs/>
          <w:sz w:val="22"/>
          <w:szCs w:val="22"/>
        </w:rPr>
        <w:t xml:space="preserve"> sobre la admisión de la aportación documental realizada por las licitadoras, el órgano de contratación debió haber ponderado, junto con la necesaria protección de datos de terceros ajenos al procedimiento, el derecho de defensa y la tutela efectiva (derecho a la prueba) de las licitadoras ahora recurrentes</w:t>
      </w:r>
      <w:r w:rsidR="009C249E">
        <w:rPr>
          <w:bCs/>
          <w:sz w:val="22"/>
          <w:szCs w:val="22"/>
        </w:rPr>
        <w:t xml:space="preserve"> y, en caso de que la </w:t>
      </w:r>
      <w:proofErr w:type="spellStart"/>
      <w:r w:rsidR="009C249E">
        <w:rPr>
          <w:bCs/>
          <w:sz w:val="22"/>
          <w:szCs w:val="22"/>
        </w:rPr>
        <w:t>anonimización</w:t>
      </w:r>
      <w:proofErr w:type="spellEnd"/>
      <w:r w:rsidR="009C249E">
        <w:rPr>
          <w:bCs/>
          <w:sz w:val="22"/>
          <w:szCs w:val="22"/>
        </w:rPr>
        <w:t xml:space="preserve"> de los documentos aportados no hubiera supuesto una pérdida de garantías procesales para las recurrentes, como afirma el IFBS, debió haber dado a estas la oportunidad de subsanar el tramite a fin de permitir tal </w:t>
      </w:r>
      <w:proofErr w:type="spellStart"/>
      <w:r w:rsidR="009C249E">
        <w:rPr>
          <w:bCs/>
          <w:sz w:val="22"/>
          <w:szCs w:val="22"/>
        </w:rPr>
        <w:t>anonimización</w:t>
      </w:r>
      <w:proofErr w:type="spellEnd"/>
      <w:r w:rsidR="009C249E">
        <w:rPr>
          <w:bCs/>
          <w:sz w:val="22"/>
          <w:szCs w:val="22"/>
        </w:rPr>
        <w:t xml:space="preserve">, equilibrando de esta manera </w:t>
      </w:r>
      <w:r w:rsidR="00A37E97">
        <w:rPr>
          <w:bCs/>
          <w:sz w:val="22"/>
          <w:szCs w:val="22"/>
        </w:rPr>
        <w:t>la totalidad de</w:t>
      </w:r>
      <w:r w:rsidR="009C249E">
        <w:rPr>
          <w:bCs/>
          <w:sz w:val="22"/>
          <w:szCs w:val="22"/>
        </w:rPr>
        <w:t xml:space="preserve"> los intereses en conflicto.</w:t>
      </w:r>
    </w:p>
    <w:p w14:paraId="129F378E" w14:textId="77777777" w:rsidR="009C249E" w:rsidRDefault="009C249E" w:rsidP="00C6399D">
      <w:pPr>
        <w:jc w:val="both"/>
        <w:rPr>
          <w:bCs/>
          <w:sz w:val="22"/>
          <w:szCs w:val="22"/>
        </w:rPr>
      </w:pPr>
    </w:p>
    <w:p w14:paraId="347A7EAB" w14:textId="1797EC28" w:rsidR="009C249E" w:rsidRDefault="009C249E" w:rsidP="00C6399D">
      <w:pPr>
        <w:jc w:val="both"/>
        <w:rPr>
          <w:bCs/>
          <w:sz w:val="22"/>
          <w:szCs w:val="22"/>
        </w:rPr>
      </w:pPr>
      <w:r>
        <w:rPr>
          <w:bCs/>
          <w:sz w:val="22"/>
          <w:szCs w:val="22"/>
        </w:rPr>
        <w:t>Procede, en consecuencia, estimar el recurso especial interpuesto.</w:t>
      </w:r>
    </w:p>
    <w:p w14:paraId="49DEA823" w14:textId="77777777" w:rsidR="009C249E" w:rsidRDefault="009C249E" w:rsidP="00C6399D">
      <w:pPr>
        <w:jc w:val="both"/>
        <w:rPr>
          <w:bCs/>
          <w:sz w:val="22"/>
          <w:szCs w:val="22"/>
        </w:rPr>
      </w:pPr>
    </w:p>
    <w:p w14:paraId="5CD659F6" w14:textId="063950ED" w:rsidR="009C249E" w:rsidRDefault="009C249E" w:rsidP="00C6399D">
      <w:pPr>
        <w:jc w:val="both"/>
        <w:rPr>
          <w:bCs/>
          <w:sz w:val="22"/>
          <w:szCs w:val="22"/>
        </w:rPr>
      </w:pPr>
      <w:proofErr w:type="gramStart"/>
      <w:r w:rsidRPr="00692CD8">
        <w:rPr>
          <w:b/>
          <w:sz w:val="22"/>
          <w:szCs w:val="22"/>
        </w:rPr>
        <w:t>NOVENO.-</w:t>
      </w:r>
      <w:proofErr w:type="gramEnd"/>
      <w:r>
        <w:rPr>
          <w:bCs/>
          <w:sz w:val="22"/>
          <w:szCs w:val="22"/>
        </w:rPr>
        <w:t xml:space="preserve"> Dado el sentido de la presente resolución, no </w:t>
      </w:r>
      <w:r w:rsidR="00692CD8">
        <w:rPr>
          <w:bCs/>
          <w:sz w:val="22"/>
          <w:szCs w:val="22"/>
        </w:rPr>
        <w:t>procede</w:t>
      </w:r>
      <w:r>
        <w:rPr>
          <w:bCs/>
          <w:sz w:val="22"/>
          <w:szCs w:val="22"/>
        </w:rPr>
        <w:t xml:space="preserve"> examinar las alegaciones de la</w:t>
      </w:r>
      <w:r w:rsidR="000D6904">
        <w:rPr>
          <w:bCs/>
          <w:sz w:val="22"/>
          <w:szCs w:val="22"/>
        </w:rPr>
        <w:t>s</w:t>
      </w:r>
      <w:r>
        <w:rPr>
          <w:bCs/>
          <w:sz w:val="22"/>
          <w:szCs w:val="22"/>
        </w:rPr>
        <w:t xml:space="preserve"> recurrente</w:t>
      </w:r>
      <w:r w:rsidR="000D6904">
        <w:rPr>
          <w:bCs/>
          <w:sz w:val="22"/>
          <w:szCs w:val="22"/>
        </w:rPr>
        <w:t>s</w:t>
      </w:r>
      <w:r w:rsidR="00692CD8">
        <w:rPr>
          <w:bCs/>
          <w:sz w:val="22"/>
          <w:szCs w:val="22"/>
        </w:rPr>
        <w:t xml:space="preserve"> relativas al acceso al expediente de contratación.</w:t>
      </w:r>
    </w:p>
    <w:p w14:paraId="0DFFD026" w14:textId="77777777" w:rsidR="00692CD8" w:rsidRDefault="00692CD8" w:rsidP="00C6399D">
      <w:pPr>
        <w:jc w:val="both"/>
        <w:rPr>
          <w:bCs/>
          <w:sz w:val="22"/>
          <w:szCs w:val="22"/>
        </w:rPr>
      </w:pPr>
    </w:p>
    <w:p w14:paraId="36681A3E" w14:textId="1E3ED4EC" w:rsidR="00692CD8" w:rsidRPr="00C6399D" w:rsidRDefault="00692CD8" w:rsidP="00C6399D">
      <w:pPr>
        <w:jc w:val="both"/>
        <w:rPr>
          <w:bCs/>
          <w:sz w:val="22"/>
          <w:szCs w:val="22"/>
        </w:rPr>
      </w:pPr>
      <w:proofErr w:type="gramStart"/>
      <w:r w:rsidRPr="00692CD8">
        <w:rPr>
          <w:b/>
          <w:sz w:val="22"/>
          <w:szCs w:val="22"/>
        </w:rPr>
        <w:t>DÉCIMO.-</w:t>
      </w:r>
      <w:proofErr w:type="gramEnd"/>
      <w:r>
        <w:rPr>
          <w:bCs/>
          <w:sz w:val="22"/>
          <w:szCs w:val="22"/>
        </w:rPr>
        <w:t xml:space="preserve"> Por lo demás, este Órgano Foral, al contrario de lo que afirman las recurrentes, no aprecia </w:t>
      </w:r>
      <w:r w:rsidR="00A37E97">
        <w:rPr>
          <w:bCs/>
          <w:sz w:val="22"/>
          <w:szCs w:val="22"/>
        </w:rPr>
        <w:t xml:space="preserve">la concurrencia de </w:t>
      </w:r>
      <w:r>
        <w:rPr>
          <w:bCs/>
          <w:sz w:val="22"/>
          <w:szCs w:val="22"/>
        </w:rPr>
        <w:t xml:space="preserve">indicio </w:t>
      </w:r>
      <w:r w:rsidR="00A37E97">
        <w:rPr>
          <w:bCs/>
          <w:sz w:val="22"/>
          <w:szCs w:val="22"/>
        </w:rPr>
        <w:t xml:space="preserve">alguno </w:t>
      </w:r>
      <w:r>
        <w:rPr>
          <w:bCs/>
          <w:sz w:val="22"/>
          <w:szCs w:val="22"/>
        </w:rPr>
        <w:t xml:space="preserve">que </w:t>
      </w:r>
      <w:r w:rsidR="00A37E97">
        <w:rPr>
          <w:bCs/>
          <w:sz w:val="22"/>
          <w:szCs w:val="22"/>
        </w:rPr>
        <w:t>apunte</w:t>
      </w:r>
      <w:r>
        <w:rPr>
          <w:bCs/>
          <w:sz w:val="22"/>
          <w:szCs w:val="22"/>
        </w:rPr>
        <w:t xml:space="preserve"> a la nulidad de la resolución administrativa impugnada por aplicación de lo dispuesto en el artículo 47.1.d) LPAC, que se refiere a los actos de las Administraciones Públicas “</w:t>
      </w:r>
      <w:r w:rsidRPr="00692CD8">
        <w:rPr>
          <w:bCs/>
          <w:sz w:val="22"/>
          <w:szCs w:val="22"/>
        </w:rPr>
        <w:t>que sean constitutivos de infracción penal o se dicten como consecuencia de ésta</w:t>
      </w:r>
      <w:r>
        <w:rPr>
          <w:bCs/>
          <w:sz w:val="22"/>
          <w:szCs w:val="22"/>
        </w:rPr>
        <w:t>”.</w:t>
      </w:r>
    </w:p>
    <w:p w14:paraId="0390DF7B" w14:textId="77777777" w:rsidR="00567783" w:rsidRPr="00C6399D" w:rsidRDefault="00567783" w:rsidP="00C6399D">
      <w:pPr>
        <w:jc w:val="both"/>
        <w:rPr>
          <w:bCs/>
          <w:sz w:val="22"/>
          <w:szCs w:val="22"/>
        </w:rPr>
      </w:pPr>
    </w:p>
    <w:p w14:paraId="15CF5D69" w14:textId="1367B559" w:rsidR="00150761" w:rsidRDefault="001754AC" w:rsidP="00871AA1">
      <w:pPr>
        <w:jc w:val="both"/>
        <w:rPr>
          <w:bCs/>
          <w:sz w:val="22"/>
          <w:szCs w:val="22"/>
        </w:rPr>
      </w:pPr>
      <w:r>
        <w:rPr>
          <w:bCs/>
          <w:sz w:val="22"/>
          <w:szCs w:val="22"/>
        </w:rPr>
        <w:t>En su virtud</w:t>
      </w:r>
      <w:r w:rsidR="00871AA1">
        <w:rPr>
          <w:bCs/>
          <w:sz w:val="22"/>
          <w:szCs w:val="22"/>
        </w:rPr>
        <w:t>, este Órgano Administrativo Foral de Recursos Contractuales emite la siguiente</w:t>
      </w:r>
    </w:p>
    <w:p w14:paraId="3653A68E" w14:textId="77777777" w:rsidR="00871AA1" w:rsidRDefault="00871AA1" w:rsidP="001754AC">
      <w:pPr>
        <w:pStyle w:val="Textoindependiente"/>
        <w:spacing w:before="480" w:after="480"/>
        <w:jc w:val="center"/>
        <w:rPr>
          <w:rFonts w:ascii="Times New Roman" w:hAnsi="Times New Roman"/>
          <w:b/>
          <w:sz w:val="22"/>
        </w:rPr>
      </w:pPr>
      <w:r>
        <w:rPr>
          <w:rFonts w:ascii="Times New Roman" w:hAnsi="Times New Roman"/>
          <w:b/>
          <w:sz w:val="22"/>
        </w:rPr>
        <w:t>RESOLUCIÓN</w:t>
      </w:r>
    </w:p>
    <w:p w14:paraId="07B477C2" w14:textId="47D7AF0C" w:rsidR="00692CD8" w:rsidRDefault="00871AA1" w:rsidP="00871AA1">
      <w:pPr>
        <w:pStyle w:val="CM4"/>
        <w:spacing w:after="360"/>
        <w:jc w:val="both"/>
        <w:rPr>
          <w:rFonts w:ascii="Times New Roman" w:hAnsi="Times New Roman" w:cs="Times New Roman"/>
          <w:sz w:val="22"/>
        </w:rPr>
      </w:pPr>
      <w:proofErr w:type="gramStart"/>
      <w:r>
        <w:rPr>
          <w:rFonts w:ascii="Times New Roman" w:hAnsi="Times New Roman" w:cs="Times New Roman"/>
          <w:b/>
          <w:bCs/>
          <w:sz w:val="22"/>
          <w:szCs w:val="22"/>
        </w:rPr>
        <w:t>PRIMERO.–</w:t>
      </w:r>
      <w:proofErr w:type="gramEnd"/>
      <w:r>
        <w:rPr>
          <w:rFonts w:ascii="Times New Roman" w:hAnsi="Times New Roman" w:cs="Times New Roman"/>
          <w:b/>
          <w:bCs/>
          <w:sz w:val="22"/>
          <w:szCs w:val="22"/>
        </w:rPr>
        <w:t xml:space="preserve"> </w:t>
      </w:r>
      <w:r w:rsidR="00692CD8" w:rsidRPr="00692CD8">
        <w:rPr>
          <w:rFonts w:ascii="Times New Roman" w:hAnsi="Times New Roman" w:cs="Times New Roman"/>
          <w:sz w:val="22"/>
          <w:szCs w:val="22"/>
        </w:rPr>
        <w:t xml:space="preserve">Estimar el recurso especial interpuesto por </w:t>
      </w:r>
      <w:r w:rsidR="00770E81">
        <w:rPr>
          <w:rFonts w:ascii="Times New Roman" w:hAnsi="Times New Roman" w:cs="Times New Roman"/>
          <w:sz w:val="22"/>
          <w:szCs w:val="22"/>
        </w:rPr>
        <w:t>XXXXXXXXXXXXX y XXXXXXXXXXXXX</w:t>
      </w:r>
      <w:r w:rsidR="00692CD8" w:rsidRPr="00692CD8">
        <w:rPr>
          <w:rFonts w:ascii="Times New Roman" w:hAnsi="Times New Roman" w:cs="Times New Roman"/>
          <w:sz w:val="22"/>
        </w:rPr>
        <w:t xml:space="preserve"> </w:t>
      </w:r>
      <w:r w:rsidR="00692CD8">
        <w:rPr>
          <w:rFonts w:ascii="Times New Roman" w:hAnsi="Times New Roman" w:cs="Times New Roman"/>
          <w:sz w:val="22"/>
        </w:rPr>
        <w:t>contra</w:t>
      </w:r>
      <w:r w:rsidR="00692CD8" w:rsidRPr="00692CD8">
        <w:rPr>
          <w:rFonts w:ascii="Times New Roman" w:hAnsi="Times New Roman" w:cs="Times New Roman"/>
          <w:sz w:val="22"/>
        </w:rPr>
        <w:t xml:space="preserve"> el Acuerdo de 19 de junio de 2025, del Consejo de Administración del Instituto Foral de Bienestar Social</w:t>
      </w:r>
      <w:r w:rsidR="00692CD8">
        <w:rPr>
          <w:rFonts w:ascii="Times New Roman" w:hAnsi="Times New Roman" w:cs="Times New Roman"/>
          <w:sz w:val="22"/>
          <w:szCs w:val="22"/>
        </w:rPr>
        <w:t xml:space="preserve">, </w:t>
      </w:r>
      <w:r w:rsidR="00692CD8" w:rsidRPr="00692CD8">
        <w:rPr>
          <w:rFonts w:ascii="Times New Roman" w:hAnsi="Times New Roman" w:cs="Times New Roman"/>
          <w:sz w:val="22"/>
        </w:rPr>
        <w:t>de “Adjudicación del expediente de contratación de los servicios profesionales para el asesoramiento y la defensa jurídica y judicial del Área del Menor y Familia”</w:t>
      </w:r>
      <w:r w:rsidR="00692CD8">
        <w:rPr>
          <w:rFonts w:ascii="Times New Roman" w:hAnsi="Times New Roman" w:cs="Times New Roman"/>
          <w:sz w:val="22"/>
        </w:rPr>
        <w:t xml:space="preserve"> con las siguientes consecuencias:</w:t>
      </w:r>
    </w:p>
    <w:p w14:paraId="0025A68A" w14:textId="77777777" w:rsidR="00692CD8" w:rsidRPr="00692CD8" w:rsidRDefault="00692CD8" w:rsidP="00692CD8">
      <w:pPr>
        <w:pStyle w:val="CM4"/>
        <w:numPr>
          <w:ilvl w:val="0"/>
          <w:numId w:val="4"/>
        </w:numPr>
        <w:spacing w:after="360"/>
        <w:jc w:val="both"/>
        <w:rPr>
          <w:rFonts w:ascii="Times New Roman" w:hAnsi="Times New Roman" w:cs="Times New Roman"/>
          <w:sz w:val="22"/>
          <w:szCs w:val="22"/>
        </w:rPr>
      </w:pPr>
      <w:r>
        <w:rPr>
          <w:rFonts w:ascii="Times New Roman" w:hAnsi="Times New Roman" w:cs="Times New Roman"/>
          <w:sz w:val="22"/>
        </w:rPr>
        <w:t>Declarar nula y revocar la resolución administrativa impugnada (</w:t>
      </w:r>
      <w:r w:rsidRPr="00692CD8">
        <w:rPr>
          <w:rFonts w:ascii="Times New Roman" w:hAnsi="Times New Roman" w:cs="Times New Roman"/>
          <w:sz w:val="22"/>
        </w:rPr>
        <w:t xml:space="preserve">Acuerdo de 19 de junio de 2025, del Consejo de Administración del </w:t>
      </w:r>
      <w:r>
        <w:rPr>
          <w:rFonts w:ascii="Times New Roman" w:hAnsi="Times New Roman" w:cs="Times New Roman"/>
          <w:sz w:val="22"/>
        </w:rPr>
        <w:t>IFBS).</w:t>
      </w:r>
    </w:p>
    <w:p w14:paraId="2806C218" w14:textId="6B7B21CC" w:rsidR="006819EA" w:rsidRDefault="00692CD8" w:rsidP="00692CD8">
      <w:pPr>
        <w:pStyle w:val="CM4"/>
        <w:numPr>
          <w:ilvl w:val="0"/>
          <w:numId w:val="4"/>
        </w:numPr>
        <w:spacing w:after="360"/>
        <w:jc w:val="both"/>
        <w:rPr>
          <w:rFonts w:ascii="Times New Roman" w:hAnsi="Times New Roman" w:cs="Times New Roman"/>
          <w:sz w:val="22"/>
          <w:szCs w:val="22"/>
        </w:rPr>
      </w:pPr>
      <w:r>
        <w:rPr>
          <w:rFonts w:ascii="Times New Roman" w:hAnsi="Times New Roman" w:cs="Times New Roman"/>
          <w:sz w:val="22"/>
        </w:rPr>
        <w:t>Retrot</w:t>
      </w:r>
      <w:r w:rsidR="006D27BE">
        <w:rPr>
          <w:rFonts w:ascii="Times New Roman" w:hAnsi="Times New Roman" w:cs="Times New Roman"/>
          <w:sz w:val="22"/>
        </w:rPr>
        <w:t>r</w:t>
      </w:r>
      <w:r>
        <w:rPr>
          <w:rFonts w:ascii="Times New Roman" w:hAnsi="Times New Roman" w:cs="Times New Roman"/>
          <w:sz w:val="22"/>
        </w:rPr>
        <w:t>aer las actuaciones del procedimiento administrativo de licitación</w:t>
      </w:r>
      <w:r w:rsidRPr="00692CD8">
        <w:rPr>
          <w:rFonts w:ascii="Times New Roman" w:hAnsi="Times New Roman" w:cs="Times New Roman"/>
          <w:sz w:val="22"/>
          <w:szCs w:val="22"/>
        </w:rPr>
        <w:t xml:space="preserve"> </w:t>
      </w:r>
      <w:r>
        <w:rPr>
          <w:rFonts w:ascii="Times New Roman" w:hAnsi="Times New Roman" w:cs="Times New Roman"/>
          <w:sz w:val="22"/>
          <w:szCs w:val="22"/>
        </w:rPr>
        <w:t xml:space="preserve">hasta el momento inmediatamente anterior al requerimiento </w:t>
      </w:r>
      <w:r w:rsidR="006819EA">
        <w:rPr>
          <w:rFonts w:ascii="Times New Roman" w:hAnsi="Times New Roman" w:cs="Times New Roman"/>
          <w:sz w:val="22"/>
          <w:szCs w:val="22"/>
        </w:rPr>
        <w:t>de aclaración de 5 de marzo de 2025 (pág. 143 del expediente administrativo)</w:t>
      </w:r>
      <w:r w:rsidR="00A37E97">
        <w:rPr>
          <w:rFonts w:ascii="Times New Roman" w:hAnsi="Times New Roman" w:cs="Times New Roman"/>
          <w:sz w:val="22"/>
          <w:szCs w:val="22"/>
        </w:rPr>
        <w:t>.</w:t>
      </w:r>
    </w:p>
    <w:p w14:paraId="2A3E332B" w14:textId="45123B02" w:rsidR="006819EA" w:rsidRDefault="006819EA" w:rsidP="006819EA">
      <w:pPr>
        <w:pStyle w:val="CM4"/>
        <w:spacing w:after="360"/>
        <w:ind w:left="720"/>
        <w:jc w:val="both"/>
        <w:rPr>
          <w:rFonts w:ascii="Times New Roman" w:hAnsi="Times New Roman" w:cs="Times New Roman"/>
          <w:sz w:val="22"/>
          <w:szCs w:val="22"/>
        </w:rPr>
      </w:pPr>
      <w:r>
        <w:rPr>
          <w:rFonts w:ascii="Times New Roman" w:hAnsi="Times New Roman" w:cs="Times New Roman"/>
          <w:sz w:val="22"/>
          <w:szCs w:val="22"/>
        </w:rPr>
        <w:t>El procedimiento administrativo habrá de proseguir en la forma establecida en la Ley de Contratos del Sector Público, teniendo en cuenta que la acreditación del requisito exigido por el punto 3.1 del Pliego de Prescripciones Técnicas (“3 Requisitos técnicos. 3.1 Medios humanos”</w:t>
      </w:r>
      <w:r w:rsidR="00A37E97">
        <w:rPr>
          <w:rFonts w:ascii="Times New Roman" w:hAnsi="Times New Roman" w:cs="Times New Roman"/>
          <w:sz w:val="22"/>
          <w:szCs w:val="22"/>
        </w:rPr>
        <w:t>)</w:t>
      </w:r>
      <w:r w:rsidR="002F7F99">
        <w:rPr>
          <w:rFonts w:ascii="Times New Roman" w:hAnsi="Times New Roman" w:cs="Times New Roman"/>
          <w:sz w:val="22"/>
          <w:szCs w:val="22"/>
        </w:rPr>
        <w:t>, sobre la que esta resolución no se pronuncia,</w:t>
      </w:r>
      <w:r>
        <w:rPr>
          <w:rFonts w:ascii="Times New Roman" w:hAnsi="Times New Roman" w:cs="Times New Roman"/>
          <w:sz w:val="22"/>
          <w:szCs w:val="22"/>
        </w:rPr>
        <w:t xml:space="preserve"> deberá realizarse en el curso del trámite previsto en el artículo 150.2 LCSP</w:t>
      </w:r>
      <w:r w:rsidR="008E634F">
        <w:rPr>
          <w:rFonts w:ascii="Times New Roman" w:hAnsi="Times New Roman" w:cs="Times New Roman"/>
          <w:sz w:val="22"/>
          <w:szCs w:val="22"/>
        </w:rPr>
        <w:t xml:space="preserve">, </w:t>
      </w:r>
      <w:r w:rsidR="008E634F" w:rsidRPr="008E634F">
        <w:rPr>
          <w:rFonts w:ascii="Times New Roman" w:hAnsi="Times New Roman" w:cs="Times New Roman"/>
          <w:sz w:val="22"/>
          <w:szCs w:val="22"/>
        </w:rPr>
        <w:t>de conformidad con lo previsto en el apdo. 8.2 del PCAP</w:t>
      </w:r>
      <w:r>
        <w:rPr>
          <w:rFonts w:ascii="Times New Roman" w:hAnsi="Times New Roman" w:cs="Times New Roman"/>
          <w:sz w:val="22"/>
          <w:szCs w:val="22"/>
        </w:rPr>
        <w:t>.</w:t>
      </w:r>
    </w:p>
    <w:p w14:paraId="48D5AF17" w14:textId="575692EA" w:rsidR="00871AA1" w:rsidRDefault="00731FC9" w:rsidP="00871AA1">
      <w:pPr>
        <w:pStyle w:val="CM4"/>
        <w:spacing w:after="360"/>
        <w:jc w:val="both"/>
        <w:rPr>
          <w:rFonts w:ascii="Times New Roman" w:hAnsi="Times New Roman" w:cs="Times New Roman"/>
          <w:sz w:val="22"/>
          <w:szCs w:val="22"/>
        </w:rPr>
      </w:pPr>
      <w:proofErr w:type="gramStart"/>
      <w:r w:rsidRPr="00A72479">
        <w:rPr>
          <w:rFonts w:ascii="Times New Roman" w:hAnsi="Times New Roman" w:cs="Times New Roman"/>
          <w:b/>
          <w:bCs/>
          <w:sz w:val="22"/>
          <w:szCs w:val="22"/>
        </w:rPr>
        <w:lastRenderedPageBreak/>
        <w:t>SEGUNDO.-</w:t>
      </w:r>
      <w:proofErr w:type="gramEnd"/>
      <w:r w:rsidRPr="00A72479">
        <w:rPr>
          <w:rFonts w:ascii="Times New Roman" w:hAnsi="Times New Roman" w:cs="Times New Roman"/>
          <w:sz w:val="22"/>
          <w:szCs w:val="22"/>
        </w:rPr>
        <w:t xml:space="preserve"> </w:t>
      </w:r>
      <w:r w:rsidR="00871AA1">
        <w:rPr>
          <w:rFonts w:ascii="Times New Roman" w:hAnsi="Times New Roman" w:cs="Times New Roman"/>
          <w:sz w:val="22"/>
          <w:szCs w:val="22"/>
        </w:rPr>
        <w:t xml:space="preserve">Levantar la suspensión cautelar acordada por Resolución </w:t>
      </w:r>
      <w:r w:rsidR="00A37E97">
        <w:rPr>
          <w:rFonts w:ascii="Times New Roman" w:hAnsi="Times New Roman" w:cs="Times New Roman"/>
          <w:sz w:val="22"/>
          <w:szCs w:val="22"/>
        </w:rPr>
        <w:t>26</w:t>
      </w:r>
      <w:r w:rsidR="00871AA1">
        <w:rPr>
          <w:rFonts w:ascii="Times New Roman" w:hAnsi="Times New Roman" w:cs="Times New Roman"/>
          <w:sz w:val="22"/>
          <w:szCs w:val="22"/>
        </w:rPr>
        <w:t>/202</w:t>
      </w:r>
      <w:r w:rsidR="00A37E97">
        <w:rPr>
          <w:rFonts w:ascii="Times New Roman" w:hAnsi="Times New Roman" w:cs="Times New Roman"/>
          <w:sz w:val="22"/>
          <w:szCs w:val="22"/>
        </w:rPr>
        <w:t>5</w:t>
      </w:r>
      <w:r w:rsidR="00871AA1">
        <w:rPr>
          <w:rFonts w:ascii="Times New Roman" w:hAnsi="Times New Roman" w:cs="Times New Roman"/>
          <w:sz w:val="22"/>
          <w:szCs w:val="22"/>
        </w:rPr>
        <w:t xml:space="preserve">, de </w:t>
      </w:r>
      <w:r w:rsidR="00A72479">
        <w:rPr>
          <w:rFonts w:ascii="Times New Roman" w:hAnsi="Times New Roman" w:cs="Times New Roman"/>
          <w:sz w:val="22"/>
          <w:szCs w:val="22"/>
        </w:rPr>
        <w:t>1</w:t>
      </w:r>
      <w:r w:rsidR="00871AA1">
        <w:rPr>
          <w:rFonts w:ascii="Times New Roman" w:hAnsi="Times New Roman" w:cs="Times New Roman"/>
          <w:sz w:val="22"/>
          <w:szCs w:val="22"/>
        </w:rPr>
        <w:t xml:space="preserve"> de </w:t>
      </w:r>
      <w:r w:rsidR="00A37E97">
        <w:rPr>
          <w:rFonts w:ascii="Times New Roman" w:hAnsi="Times New Roman" w:cs="Times New Roman"/>
          <w:sz w:val="22"/>
          <w:szCs w:val="22"/>
        </w:rPr>
        <w:t>agosto</w:t>
      </w:r>
      <w:r w:rsidR="00871AA1">
        <w:rPr>
          <w:rFonts w:ascii="Times New Roman" w:hAnsi="Times New Roman" w:cs="Times New Roman"/>
          <w:sz w:val="22"/>
          <w:szCs w:val="22"/>
        </w:rPr>
        <w:t>.</w:t>
      </w:r>
    </w:p>
    <w:p w14:paraId="48AAEA0F" w14:textId="6FC17E3F" w:rsidR="00871AA1" w:rsidRDefault="006819EA" w:rsidP="00871AA1">
      <w:pPr>
        <w:pStyle w:val="CM1"/>
        <w:spacing w:after="360" w:line="240" w:lineRule="auto"/>
        <w:jc w:val="both"/>
        <w:rPr>
          <w:rFonts w:ascii="Times New Roman" w:hAnsi="Times New Roman" w:cs="Times New Roman"/>
          <w:sz w:val="22"/>
          <w:szCs w:val="22"/>
        </w:rPr>
      </w:pPr>
      <w:proofErr w:type="gramStart"/>
      <w:r>
        <w:rPr>
          <w:rFonts w:ascii="Times New Roman" w:hAnsi="Times New Roman" w:cs="Times New Roman"/>
          <w:b/>
          <w:sz w:val="22"/>
          <w:szCs w:val="22"/>
        </w:rPr>
        <w:t>TERCERO.-</w:t>
      </w:r>
      <w:proofErr w:type="gramEnd"/>
      <w:r>
        <w:rPr>
          <w:rFonts w:ascii="Times New Roman" w:hAnsi="Times New Roman" w:cs="Times New Roman"/>
          <w:sz w:val="22"/>
          <w:szCs w:val="22"/>
        </w:rPr>
        <w:t xml:space="preserve"> </w:t>
      </w:r>
      <w:r w:rsidR="00A72479">
        <w:rPr>
          <w:rFonts w:ascii="Times New Roman" w:hAnsi="Times New Roman" w:cs="Times New Roman"/>
          <w:sz w:val="22"/>
          <w:szCs w:val="22"/>
        </w:rPr>
        <w:t>No</w:t>
      </w:r>
      <w:r w:rsidR="00871AA1">
        <w:rPr>
          <w:rFonts w:ascii="Times New Roman" w:hAnsi="Times New Roman" w:cs="Times New Roman"/>
          <w:sz w:val="22"/>
          <w:szCs w:val="22"/>
        </w:rPr>
        <w:t xml:space="preserve"> se aprecia la concurrencia de mala fe o temeridad en la interposición del recurso, por lo que no procede la imposición de sanción prevista en el artículo 58.2 de la LCSP.</w:t>
      </w:r>
    </w:p>
    <w:p w14:paraId="5FE22015" w14:textId="77777777" w:rsidR="00871AA1" w:rsidRPr="007F6FCB" w:rsidRDefault="00871AA1" w:rsidP="007F6FCB">
      <w:pPr>
        <w:jc w:val="both"/>
        <w:rPr>
          <w:bCs/>
          <w:sz w:val="22"/>
          <w:szCs w:val="22"/>
        </w:rPr>
      </w:pPr>
      <w:r w:rsidRPr="007F6FCB">
        <w:rPr>
          <w:bCs/>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1C104395" w14:textId="7400A50B" w:rsidR="006604C7" w:rsidRDefault="006604C7"/>
    <w:p w14:paraId="57C8915A" w14:textId="447D1B5D" w:rsidR="00D44891" w:rsidRDefault="00D44891"/>
    <w:p w14:paraId="2439745F" w14:textId="77777777" w:rsidR="00F45A0E" w:rsidRDefault="00F45A0E" w:rsidP="00F45A0E">
      <w:pPr>
        <w:rPr>
          <w:sz w:val="24"/>
          <w:szCs w:val="24"/>
        </w:rPr>
      </w:pPr>
    </w:p>
    <w:p w14:paraId="3684EA8D" w14:textId="77777777" w:rsidR="006673FE" w:rsidRDefault="006673FE" w:rsidP="00F45A0E">
      <w:pPr>
        <w:rPr>
          <w:sz w:val="24"/>
          <w:szCs w:val="24"/>
        </w:rPr>
      </w:pPr>
    </w:p>
    <w:p w14:paraId="5C2157FA" w14:textId="77777777" w:rsidR="00F45A0E" w:rsidRDefault="00F45A0E" w:rsidP="00F45A0E">
      <w:pPr>
        <w:rPr>
          <w:sz w:val="24"/>
          <w:szCs w:val="24"/>
        </w:rPr>
      </w:pPr>
    </w:p>
    <w:p w14:paraId="61E53D55" w14:textId="77777777" w:rsidR="00A323D7" w:rsidRDefault="00A323D7" w:rsidP="00F45A0E">
      <w:pPr>
        <w:rPr>
          <w:sz w:val="24"/>
          <w:szCs w:val="24"/>
        </w:rPr>
      </w:pPr>
    </w:p>
    <w:p w14:paraId="5DC0BE63" w14:textId="77777777" w:rsidR="00A323D7" w:rsidRDefault="00A323D7" w:rsidP="00F45A0E">
      <w:pPr>
        <w:rPr>
          <w:sz w:val="24"/>
          <w:szCs w:val="24"/>
        </w:rPr>
      </w:pPr>
    </w:p>
    <w:p w14:paraId="0F334D48" w14:textId="025184C8" w:rsidR="00F45A0E" w:rsidRDefault="00F45A0E" w:rsidP="00F45A0E">
      <w:pPr>
        <w:jc w:val="both"/>
        <w:rPr>
          <w:sz w:val="22"/>
          <w:szCs w:val="22"/>
        </w:rPr>
      </w:pPr>
    </w:p>
    <w:p w14:paraId="0C5F9C2A" w14:textId="77777777" w:rsidR="00F45A0E" w:rsidRDefault="00F45A0E" w:rsidP="00F45A0E">
      <w:pPr>
        <w:jc w:val="both"/>
        <w:rPr>
          <w:sz w:val="22"/>
          <w:szCs w:val="22"/>
        </w:rPr>
      </w:pPr>
    </w:p>
    <w:p w14:paraId="3E2882C5" w14:textId="77777777" w:rsidR="00F45A0E" w:rsidRDefault="00F45A0E" w:rsidP="00F45A0E">
      <w:pPr>
        <w:jc w:val="both"/>
        <w:rPr>
          <w:sz w:val="22"/>
          <w:szCs w:val="22"/>
        </w:rPr>
      </w:pPr>
    </w:p>
    <w:p w14:paraId="332DA193" w14:textId="77777777" w:rsidR="00F45A0E" w:rsidRDefault="00F45A0E" w:rsidP="00F45A0E">
      <w:pPr>
        <w:jc w:val="both"/>
        <w:rPr>
          <w:sz w:val="22"/>
          <w:szCs w:val="22"/>
        </w:rPr>
      </w:pPr>
    </w:p>
    <w:sectPr w:rsidR="00F45A0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4056" w14:textId="77777777" w:rsidR="00B67B3F" w:rsidRDefault="00F45A0E">
      <w:r>
        <w:separator/>
      </w:r>
    </w:p>
  </w:endnote>
  <w:endnote w:type="continuationSeparator" w:id="0">
    <w:p w14:paraId="3F157227" w14:textId="77777777" w:rsidR="00B67B3F" w:rsidRDefault="00F4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530770"/>
      <w:docPartObj>
        <w:docPartGallery w:val="Page Numbers (Bottom of Page)"/>
        <w:docPartUnique/>
      </w:docPartObj>
    </w:sdtPr>
    <w:sdtEndPr/>
    <w:sdtContent>
      <w:p w14:paraId="61DF0376" w14:textId="77777777" w:rsidR="00837404" w:rsidRDefault="00E359EC">
        <w:pPr>
          <w:pStyle w:val="Piedepgina"/>
          <w:jc w:val="right"/>
        </w:pPr>
        <w:r>
          <w:fldChar w:fldCharType="begin"/>
        </w:r>
        <w:r>
          <w:instrText>PAGE   \* MERGEFORMAT</w:instrText>
        </w:r>
        <w:r>
          <w:fldChar w:fldCharType="separate"/>
        </w:r>
        <w:r>
          <w:rPr>
            <w:noProof/>
          </w:rPr>
          <w:t>3</w:t>
        </w:r>
        <w:r>
          <w:fldChar w:fldCharType="end"/>
        </w:r>
      </w:p>
    </w:sdtContent>
  </w:sdt>
  <w:p w14:paraId="4394BAD5" w14:textId="77777777" w:rsidR="00837404" w:rsidRDefault="008374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7DE4" w14:textId="77777777" w:rsidR="00B67B3F" w:rsidRDefault="00F45A0E">
      <w:r>
        <w:separator/>
      </w:r>
    </w:p>
  </w:footnote>
  <w:footnote w:type="continuationSeparator" w:id="0">
    <w:p w14:paraId="1C7A6BCA" w14:textId="77777777" w:rsidR="00B67B3F" w:rsidRDefault="00F45A0E">
      <w:r>
        <w:continuationSeparator/>
      </w:r>
    </w:p>
  </w:footnote>
  <w:footnote w:id="1">
    <w:p w14:paraId="2528279A" w14:textId="619C48A6" w:rsidR="00EE18FD" w:rsidRDefault="00EE18FD" w:rsidP="00EE18FD">
      <w:pPr>
        <w:pStyle w:val="Textonotapie"/>
        <w:jc w:val="both"/>
      </w:pPr>
      <w:r>
        <w:rPr>
          <w:rStyle w:val="Refdenotaalpie"/>
        </w:rPr>
        <w:footnoteRef/>
      </w:r>
      <w:r>
        <w:t xml:space="preserve"> En el caso, la prueba inadmitida consistió en un documento que contenía datos personales del propio interesado (y de terceras personas) y que éste había obtenido sin el consentimiento, establecido legalmente, del responsable del tratamiento de tales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A5693A" w:rsidRPr="00814F6B" w14:paraId="00118F86" w14:textId="77777777" w:rsidTr="00A5693A">
      <w:tc>
        <w:tcPr>
          <w:tcW w:w="4890" w:type="dxa"/>
        </w:tcPr>
        <w:p w14:paraId="00F5AF48" w14:textId="77777777" w:rsidR="00837404" w:rsidRPr="00814F6B" w:rsidRDefault="00E359EC" w:rsidP="00A5693A">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00B4F68" wp14:editId="0CF22B8A">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6C5214FA" w14:textId="77777777" w:rsidR="00837404" w:rsidRPr="00814F6B" w:rsidRDefault="00837404" w:rsidP="00A5693A">
          <w:pPr>
            <w:tabs>
              <w:tab w:val="center" w:pos="4819"/>
              <w:tab w:val="right" w:pos="9071"/>
            </w:tabs>
            <w:ind w:left="1064"/>
            <w:rPr>
              <w:rFonts w:ascii="Arial" w:hAnsi="Arial"/>
              <w:noProof/>
              <w:sz w:val="16"/>
              <w:lang w:val="es-ES_tradnl"/>
            </w:rPr>
          </w:pPr>
        </w:p>
      </w:tc>
      <w:tc>
        <w:tcPr>
          <w:tcW w:w="4961" w:type="dxa"/>
        </w:tcPr>
        <w:p w14:paraId="23FBA107" w14:textId="77777777" w:rsidR="00837404" w:rsidRPr="00814F6B" w:rsidRDefault="00837404" w:rsidP="00A5693A">
          <w:pPr>
            <w:tabs>
              <w:tab w:val="center" w:pos="4819"/>
              <w:tab w:val="right" w:pos="9071"/>
            </w:tabs>
            <w:spacing w:after="40" w:line="240" w:lineRule="exact"/>
            <w:ind w:left="-68"/>
            <w:rPr>
              <w:rFonts w:ascii="Arial" w:hAnsi="Arial"/>
              <w:b/>
              <w:noProof/>
              <w:sz w:val="18"/>
              <w:lang w:val="es-ES_tradnl"/>
            </w:rPr>
          </w:pPr>
        </w:p>
        <w:p w14:paraId="075D3F45" w14:textId="77777777" w:rsidR="00837404" w:rsidRPr="00814F6B" w:rsidRDefault="00E359EC" w:rsidP="00A5693A">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1F50F69C" w14:textId="77777777" w:rsidR="00837404" w:rsidRPr="00814F6B" w:rsidRDefault="00E359EC" w:rsidP="00A5693A">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CBBBAC8" w14:textId="77777777" w:rsidR="00837404" w:rsidRPr="00D70071" w:rsidRDefault="00837404" w:rsidP="009C475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B7D41"/>
    <w:multiLevelType w:val="hybridMultilevel"/>
    <w:tmpl w:val="E6ECA832"/>
    <w:lvl w:ilvl="0" w:tplc="0E72A344">
      <w:start w:val="1"/>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402214EE"/>
    <w:multiLevelType w:val="hybridMultilevel"/>
    <w:tmpl w:val="E590433C"/>
    <w:lvl w:ilvl="0" w:tplc="1CF8C45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8743E3"/>
    <w:multiLevelType w:val="hybridMultilevel"/>
    <w:tmpl w:val="DFBCAAAE"/>
    <w:lvl w:ilvl="0" w:tplc="0E72A344">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37114AC"/>
    <w:multiLevelType w:val="hybridMultilevel"/>
    <w:tmpl w:val="BDA638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28336011">
    <w:abstractNumId w:val="3"/>
  </w:num>
  <w:num w:numId="2" w16cid:durableId="1108038313">
    <w:abstractNumId w:val="2"/>
  </w:num>
  <w:num w:numId="3" w16cid:durableId="890650746">
    <w:abstractNumId w:val="0"/>
  </w:num>
  <w:num w:numId="4" w16cid:durableId="126356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A1"/>
    <w:rsid w:val="0004618C"/>
    <w:rsid w:val="0004709E"/>
    <w:rsid w:val="00063F15"/>
    <w:rsid w:val="00064A8E"/>
    <w:rsid w:val="000723F4"/>
    <w:rsid w:val="00086A67"/>
    <w:rsid w:val="000C2687"/>
    <w:rsid w:val="000D6904"/>
    <w:rsid w:val="000E70E5"/>
    <w:rsid w:val="00107CAE"/>
    <w:rsid w:val="00111DF5"/>
    <w:rsid w:val="00116E31"/>
    <w:rsid w:val="00120E8E"/>
    <w:rsid w:val="001219E1"/>
    <w:rsid w:val="001255C9"/>
    <w:rsid w:val="00130EBE"/>
    <w:rsid w:val="00146227"/>
    <w:rsid w:val="00150761"/>
    <w:rsid w:val="00152063"/>
    <w:rsid w:val="001754AC"/>
    <w:rsid w:val="00184BD2"/>
    <w:rsid w:val="001870C8"/>
    <w:rsid w:val="001B01A5"/>
    <w:rsid w:val="001B2223"/>
    <w:rsid w:val="001C0E38"/>
    <w:rsid w:val="001C2C70"/>
    <w:rsid w:val="001C58E3"/>
    <w:rsid w:val="001C6DDB"/>
    <w:rsid w:val="001D2AFE"/>
    <w:rsid w:val="001D4CAB"/>
    <w:rsid w:val="001D68D5"/>
    <w:rsid w:val="001F40C0"/>
    <w:rsid w:val="0020386C"/>
    <w:rsid w:val="0020517C"/>
    <w:rsid w:val="00214D9F"/>
    <w:rsid w:val="00237B40"/>
    <w:rsid w:val="00246126"/>
    <w:rsid w:val="0025180F"/>
    <w:rsid w:val="00260EF1"/>
    <w:rsid w:val="002617DF"/>
    <w:rsid w:val="0026398F"/>
    <w:rsid w:val="002746CA"/>
    <w:rsid w:val="002757DF"/>
    <w:rsid w:val="002879FD"/>
    <w:rsid w:val="002B638E"/>
    <w:rsid w:val="002C3784"/>
    <w:rsid w:val="002D07A0"/>
    <w:rsid w:val="002D19D8"/>
    <w:rsid w:val="002F306F"/>
    <w:rsid w:val="002F7F99"/>
    <w:rsid w:val="00317EC4"/>
    <w:rsid w:val="00327156"/>
    <w:rsid w:val="0033314E"/>
    <w:rsid w:val="00354C9B"/>
    <w:rsid w:val="003565DE"/>
    <w:rsid w:val="00360492"/>
    <w:rsid w:val="00363B91"/>
    <w:rsid w:val="00374540"/>
    <w:rsid w:val="003A1E2A"/>
    <w:rsid w:val="003D3F7B"/>
    <w:rsid w:val="003E0B42"/>
    <w:rsid w:val="004068A5"/>
    <w:rsid w:val="00416709"/>
    <w:rsid w:val="00425252"/>
    <w:rsid w:val="00433C04"/>
    <w:rsid w:val="004357A6"/>
    <w:rsid w:val="00436444"/>
    <w:rsid w:val="00455380"/>
    <w:rsid w:val="00481E6A"/>
    <w:rsid w:val="00482E5D"/>
    <w:rsid w:val="00484562"/>
    <w:rsid w:val="00496E48"/>
    <w:rsid w:val="004A0075"/>
    <w:rsid w:val="004B0F2F"/>
    <w:rsid w:val="004F28D2"/>
    <w:rsid w:val="00500E57"/>
    <w:rsid w:val="005164FA"/>
    <w:rsid w:val="00540022"/>
    <w:rsid w:val="00555A7F"/>
    <w:rsid w:val="00565CC4"/>
    <w:rsid w:val="00567783"/>
    <w:rsid w:val="00572010"/>
    <w:rsid w:val="00572953"/>
    <w:rsid w:val="005A5033"/>
    <w:rsid w:val="005B30F2"/>
    <w:rsid w:val="005B3E34"/>
    <w:rsid w:val="005B6A30"/>
    <w:rsid w:val="005C6FE4"/>
    <w:rsid w:val="005D7E53"/>
    <w:rsid w:val="005E63D5"/>
    <w:rsid w:val="005F07DC"/>
    <w:rsid w:val="005F5D47"/>
    <w:rsid w:val="006170CA"/>
    <w:rsid w:val="00620015"/>
    <w:rsid w:val="0062770D"/>
    <w:rsid w:val="00632FD0"/>
    <w:rsid w:val="00637780"/>
    <w:rsid w:val="006604C7"/>
    <w:rsid w:val="006621E9"/>
    <w:rsid w:val="006673FE"/>
    <w:rsid w:val="006819EA"/>
    <w:rsid w:val="00692CD8"/>
    <w:rsid w:val="006C7B01"/>
    <w:rsid w:val="006D27BE"/>
    <w:rsid w:val="006D2A28"/>
    <w:rsid w:val="006D4F3E"/>
    <w:rsid w:val="00716203"/>
    <w:rsid w:val="0072223F"/>
    <w:rsid w:val="00722B3A"/>
    <w:rsid w:val="00722E36"/>
    <w:rsid w:val="00731FC9"/>
    <w:rsid w:val="007360FC"/>
    <w:rsid w:val="00737318"/>
    <w:rsid w:val="00744D9B"/>
    <w:rsid w:val="00746007"/>
    <w:rsid w:val="007477E4"/>
    <w:rsid w:val="00756896"/>
    <w:rsid w:val="007603D4"/>
    <w:rsid w:val="00770E81"/>
    <w:rsid w:val="00775906"/>
    <w:rsid w:val="00775AD3"/>
    <w:rsid w:val="00781F2C"/>
    <w:rsid w:val="007836B7"/>
    <w:rsid w:val="00785D97"/>
    <w:rsid w:val="00793F97"/>
    <w:rsid w:val="007A1CD8"/>
    <w:rsid w:val="007D0714"/>
    <w:rsid w:val="007E0A26"/>
    <w:rsid w:val="007F3FB3"/>
    <w:rsid w:val="007F6FCB"/>
    <w:rsid w:val="00811E19"/>
    <w:rsid w:val="00816BD3"/>
    <w:rsid w:val="0083595A"/>
    <w:rsid w:val="00837404"/>
    <w:rsid w:val="00837953"/>
    <w:rsid w:val="00850CA3"/>
    <w:rsid w:val="00856CF2"/>
    <w:rsid w:val="00871AA1"/>
    <w:rsid w:val="00872ED8"/>
    <w:rsid w:val="008A253A"/>
    <w:rsid w:val="008A323C"/>
    <w:rsid w:val="008E634F"/>
    <w:rsid w:val="008F314E"/>
    <w:rsid w:val="0091039F"/>
    <w:rsid w:val="0092049D"/>
    <w:rsid w:val="009211E4"/>
    <w:rsid w:val="009322DB"/>
    <w:rsid w:val="0094009B"/>
    <w:rsid w:val="00940BFA"/>
    <w:rsid w:val="00941296"/>
    <w:rsid w:val="00962A18"/>
    <w:rsid w:val="00970D91"/>
    <w:rsid w:val="00976EE8"/>
    <w:rsid w:val="00977447"/>
    <w:rsid w:val="009777B4"/>
    <w:rsid w:val="00982D9D"/>
    <w:rsid w:val="009B6B70"/>
    <w:rsid w:val="009C249E"/>
    <w:rsid w:val="009D4AC8"/>
    <w:rsid w:val="009E22C8"/>
    <w:rsid w:val="00A15ECA"/>
    <w:rsid w:val="00A26138"/>
    <w:rsid w:val="00A30DAE"/>
    <w:rsid w:val="00A323D7"/>
    <w:rsid w:val="00A37E97"/>
    <w:rsid w:val="00A4296E"/>
    <w:rsid w:val="00A72479"/>
    <w:rsid w:val="00A82374"/>
    <w:rsid w:val="00A85142"/>
    <w:rsid w:val="00A905BC"/>
    <w:rsid w:val="00A96547"/>
    <w:rsid w:val="00AA4E53"/>
    <w:rsid w:val="00AD0EB7"/>
    <w:rsid w:val="00AF3793"/>
    <w:rsid w:val="00AF785A"/>
    <w:rsid w:val="00B00E87"/>
    <w:rsid w:val="00B12CDA"/>
    <w:rsid w:val="00B31F05"/>
    <w:rsid w:val="00B46DE1"/>
    <w:rsid w:val="00B47BEB"/>
    <w:rsid w:val="00B6260E"/>
    <w:rsid w:val="00B67B3F"/>
    <w:rsid w:val="00BA32A5"/>
    <w:rsid w:val="00BB4B49"/>
    <w:rsid w:val="00BC5203"/>
    <w:rsid w:val="00BE0EE5"/>
    <w:rsid w:val="00BE2D5E"/>
    <w:rsid w:val="00BE56E5"/>
    <w:rsid w:val="00BF1CF8"/>
    <w:rsid w:val="00BF5872"/>
    <w:rsid w:val="00C14935"/>
    <w:rsid w:val="00C20748"/>
    <w:rsid w:val="00C60125"/>
    <w:rsid w:val="00C60511"/>
    <w:rsid w:val="00C6399D"/>
    <w:rsid w:val="00C65021"/>
    <w:rsid w:val="00C65886"/>
    <w:rsid w:val="00C91B95"/>
    <w:rsid w:val="00CA6D24"/>
    <w:rsid w:val="00CC5BF0"/>
    <w:rsid w:val="00CE5CCD"/>
    <w:rsid w:val="00CF6671"/>
    <w:rsid w:val="00D12E5C"/>
    <w:rsid w:val="00D164D1"/>
    <w:rsid w:val="00D22BE4"/>
    <w:rsid w:val="00D44891"/>
    <w:rsid w:val="00D7678C"/>
    <w:rsid w:val="00DA47D7"/>
    <w:rsid w:val="00DA51A0"/>
    <w:rsid w:val="00DA5364"/>
    <w:rsid w:val="00DC7523"/>
    <w:rsid w:val="00DD474C"/>
    <w:rsid w:val="00DE0ED4"/>
    <w:rsid w:val="00DE1A30"/>
    <w:rsid w:val="00DE2062"/>
    <w:rsid w:val="00DF2235"/>
    <w:rsid w:val="00DF6A52"/>
    <w:rsid w:val="00E03718"/>
    <w:rsid w:val="00E131CB"/>
    <w:rsid w:val="00E32D3D"/>
    <w:rsid w:val="00E359EC"/>
    <w:rsid w:val="00E36CF4"/>
    <w:rsid w:val="00E6665E"/>
    <w:rsid w:val="00E86187"/>
    <w:rsid w:val="00E972CD"/>
    <w:rsid w:val="00E979F1"/>
    <w:rsid w:val="00EA4758"/>
    <w:rsid w:val="00EB18E0"/>
    <w:rsid w:val="00EE18FD"/>
    <w:rsid w:val="00EE21BB"/>
    <w:rsid w:val="00EE769D"/>
    <w:rsid w:val="00EF6A1E"/>
    <w:rsid w:val="00F03D5D"/>
    <w:rsid w:val="00F0554A"/>
    <w:rsid w:val="00F14838"/>
    <w:rsid w:val="00F16190"/>
    <w:rsid w:val="00F31CA0"/>
    <w:rsid w:val="00F349A2"/>
    <w:rsid w:val="00F357AE"/>
    <w:rsid w:val="00F36294"/>
    <w:rsid w:val="00F445D9"/>
    <w:rsid w:val="00F45A0E"/>
    <w:rsid w:val="00F46D45"/>
    <w:rsid w:val="00F53DF0"/>
    <w:rsid w:val="00F67D38"/>
    <w:rsid w:val="00F71BE6"/>
    <w:rsid w:val="00F723D0"/>
    <w:rsid w:val="00F8209A"/>
    <w:rsid w:val="00F83BF6"/>
    <w:rsid w:val="00F865DE"/>
    <w:rsid w:val="00FA482C"/>
    <w:rsid w:val="00FB1841"/>
    <w:rsid w:val="00FE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9579"/>
  <w15:chartTrackingRefBased/>
  <w15:docId w15:val="{06B3B88E-8D8C-4254-8F2C-1502004D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A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871AA1"/>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1AA1"/>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871AA1"/>
    <w:pPr>
      <w:tabs>
        <w:tab w:val="center" w:pos="4252"/>
        <w:tab w:val="right" w:pos="8504"/>
      </w:tabs>
    </w:pPr>
  </w:style>
  <w:style w:type="character" w:customStyle="1" w:styleId="PiedepginaCar">
    <w:name w:val="Pie de página Car"/>
    <w:basedOn w:val="Fuentedeprrafopredeter"/>
    <w:link w:val="Piedepgina"/>
    <w:uiPriority w:val="99"/>
    <w:rsid w:val="00871AA1"/>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871AA1"/>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871AA1"/>
    <w:rPr>
      <w:rFonts w:ascii="Arial" w:eastAsia="Times New Roman" w:hAnsi="Arial" w:cs="Times New Roman"/>
      <w:sz w:val="26"/>
      <w:szCs w:val="20"/>
      <w:lang w:val="es-ES_tradnl" w:eastAsia="es-ES"/>
    </w:rPr>
  </w:style>
  <w:style w:type="paragraph" w:customStyle="1" w:styleId="Estilo1">
    <w:name w:val="Estilo1"/>
    <w:basedOn w:val="Normal"/>
    <w:rsid w:val="00871AA1"/>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871AA1"/>
    <w:pPr>
      <w:tabs>
        <w:tab w:val="center" w:pos="4252"/>
        <w:tab w:val="right" w:pos="8504"/>
      </w:tabs>
    </w:pPr>
  </w:style>
  <w:style w:type="character" w:customStyle="1" w:styleId="EncabezadoCar">
    <w:name w:val="Encabezado Car"/>
    <w:basedOn w:val="Fuentedeprrafopredeter"/>
    <w:link w:val="Encabezado"/>
    <w:uiPriority w:val="99"/>
    <w:rsid w:val="00871AA1"/>
    <w:rPr>
      <w:rFonts w:ascii="Times New Roman" w:eastAsia="Times New Roman" w:hAnsi="Times New Roman" w:cs="Times New Roman"/>
      <w:sz w:val="20"/>
      <w:szCs w:val="20"/>
      <w:lang w:eastAsia="es-ES"/>
    </w:rPr>
  </w:style>
  <w:style w:type="paragraph" w:customStyle="1" w:styleId="CM1">
    <w:name w:val="CM1"/>
    <w:basedOn w:val="Normal"/>
    <w:next w:val="Normal"/>
    <w:uiPriority w:val="99"/>
    <w:rsid w:val="00871AA1"/>
    <w:pPr>
      <w:autoSpaceDE w:val="0"/>
      <w:autoSpaceDN w:val="0"/>
      <w:adjustRightInd w:val="0"/>
      <w:spacing w:line="380" w:lineRule="atLeast"/>
    </w:pPr>
    <w:rPr>
      <w:rFonts w:ascii="Arial" w:eastAsiaTheme="minorHAnsi" w:hAnsi="Arial" w:cs="Arial"/>
      <w:sz w:val="24"/>
      <w:szCs w:val="24"/>
      <w:lang w:eastAsia="en-US"/>
    </w:rPr>
  </w:style>
  <w:style w:type="paragraph" w:customStyle="1" w:styleId="CM4">
    <w:name w:val="CM4"/>
    <w:basedOn w:val="Normal"/>
    <w:next w:val="Normal"/>
    <w:uiPriority w:val="99"/>
    <w:rsid w:val="00871AA1"/>
    <w:pPr>
      <w:autoSpaceDE w:val="0"/>
      <w:autoSpaceDN w:val="0"/>
      <w:adjustRightInd w:val="0"/>
    </w:pPr>
    <w:rPr>
      <w:rFonts w:ascii="Arial" w:eastAsiaTheme="minorHAnsi" w:hAnsi="Arial" w:cs="Arial"/>
      <w:sz w:val="24"/>
      <w:szCs w:val="24"/>
      <w:lang w:eastAsia="en-US"/>
    </w:rPr>
  </w:style>
  <w:style w:type="paragraph" w:styleId="Prrafodelista">
    <w:name w:val="List Paragraph"/>
    <w:basedOn w:val="Normal"/>
    <w:uiPriority w:val="34"/>
    <w:qFormat/>
    <w:rsid w:val="00BE0EE5"/>
    <w:pPr>
      <w:ind w:left="720"/>
      <w:contextualSpacing/>
    </w:pPr>
  </w:style>
  <w:style w:type="paragraph" w:customStyle="1" w:styleId="Default">
    <w:name w:val="Default"/>
    <w:rsid w:val="005B3E34"/>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5C6FE4"/>
  </w:style>
  <w:style w:type="character" w:customStyle="1" w:styleId="TextonotapieCar">
    <w:name w:val="Texto nota pie Car"/>
    <w:basedOn w:val="Fuentedeprrafopredeter"/>
    <w:link w:val="Textonotapie"/>
    <w:uiPriority w:val="99"/>
    <w:semiHidden/>
    <w:rsid w:val="005C6FE4"/>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C6FE4"/>
    <w:rPr>
      <w:vertAlign w:val="superscript"/>
    </w:rPr>
  </w:style>
  <w:style w:type="character" w:styleId="Hipervnculo">
    <w:name w:val="Hyperlink"/>
    <w:basedOn w:val="Fuentedeprrafopredeter"/>
    <w:uiPriority w:val="99"/>
    <w:unhideWhenUsed/>
    <w:rsid w:val="00F357AE"/>
    <w:rPr>
      <w:color w:val="0563C1" w:themeColor="hyperlink"/>
      <w:u w:val="single"/>
    </w:rPr>
  </w:style>
  <w:style w:type="character" w:styleId="Mencinsinresolver">
    <w:name w:val="Unresolved Mention"/>
    <w:basedOn w:val="Fuentedeprrafopredeter"/>
    <w:uiPriority w:val="99"/>
    <w:semiHidden/>
    <w:unhideWhenUsed/>
    <w:rsid w:val="00F357AE"/>
    <w:rPr>
      <w:color w:val="605E5C"/>
      <w:shd w:val="clear" w:color="auto" w:fill="E1DFDD"/>
    </w:rPr>
  </w:style>
  <w:style w:type="character" w:styleId="nfasis">
    <w:name w:val="Emphasis"/>
    <w:basedOn w:val="Fuentedeprrafopredeter"/>
    <w:qFormat/>
    <w:rsid w:val="00C639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3524">
      <w:bodyDiv w:val="1"/>
      <w:marLeft w:val="0"/>
      <w:marRight w:val="0"/>
      <w:marTop w:val="0"/>
      <w:marBottom w:val="0"/>
      <w:divBdr>
        <w:top w:val="none" w:sz="0" w:space="0" w:color="auto"/>
        <w:left w:val="none" w:sz="0" w:space="0" w:color="auto"/>
        <w:bottom w:val="none" w:sz="0" w:space="0" w:color="auto"/>
        <w:right w:val="none" w:sz="0" w:space="0" w:color="auto"/>
      </w:divBdr>
    </w:div>
    <w:div w:id="5715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24EF0-917E-4997-8388-F47E6467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4261</Words>
  <Characters>23113</Characters>
  <Application>Microsoft Office Word</Application>
  <DocSecurity>0</DocSecurity>
  <Lines>377</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5</cp:revision>
  <cp:lastPrinted>2025-11-03T08:37:00Z</cp:lastPrinted>
  <dcterms:created xsi:type="dcterms:W3CDTF">2025-11-03T08:32:00Z</dcterms:created>
  <dcterms:modified xsi:type="dcterms:W3CDTF">2025-11-03T08:38:00Z</dcterms:modified>
</cp:coreProperties>
</file>