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DFB6" w14:textId="77777777" w:rsidR="0079527A" w:rsidRDefault="0079527A" w:rsidP="0079527A"/>
    <w:p w14:paraId="66514EB6" w14:textId="77777777" w:rsidR="0079527A" w:rsidRDefault="0079527A" w:rsidP="0079527A"/>
    <w:tbl>
      <w:tblPr>
        <w:tblW w:w="9072" w:type="dxa"/>
        <w:tblLayout w:type="fixed"/>
        <w:tblCellMar>
          <w:left w:w="0" w:type="dxa"/>
          <w:right w:w="0" w:type="dxa"/>
        </w:tblCellMar>
        <w:tblLook w:val="0000" w:firstRow="0" w:lastRow="0" w:firstColumn="0" w:lastColumn="0" w:noHBand="0" w:noVBand="0"/>
      </w:tblPr>
      <w:tblGrid>
        <w:gridCol w:w="4375"/>
        <w:gridCol w:w="20"/>
        <w:gridCol w:w="4677"/>
      </w:tblGrid>
      <w:tr w:rsidR="0079527A" w14:paraId="5394C217" w14:textId="77777777" w:rsidTr="009E65CF">
        <w:trPr>
          <w:trHeight w:val="2093"/>
        </w:trPr>
        <w:tc>
          <w:tcPr>
            <w:tcW w:w="4375" w:type="dxa"/>
          </w:tcPr>
          <w:p w14:paraId="58459739" w14:textId="7A90A092" w:rsidR="0079527A" w:rsidRPr="00A060CB" w:rsidRDefault="0079527A" w:rsidP="009E65CF">
            <w:pPr>
              <w:pStyle w:val="Ttulo1"/>
              <w:spacing w:after="240"/>
              <w:jc w:val="both"/>
              <w:rPr>
                <w:rFonts w:ascii="Times New Roman" w:hAnsi="Times New Roman"/>
                <w:b/>
                <w:bCs/>
                <w:sz w:val="22"/>
              </w:rPr>
            </w:pPr>
            <w:proofErr w:type="spellStart"/>
            <w:r w:rsidRPr="00570E3B">
              <w:rPr>
                <w:rFonts w:ascii="Times New Roman" w:hAnsi="Times New Roman"/>
                <w:b/>
                <w:bCs/>
                <w:sz w:val="22"/>
              </w:rPr>
              <w:t>Erref</w:t>
            </w:r>
            <w:proofErr w:type="spellEnd"/>
            <w:r w:rsidRPr="00570E3B">
              <w:rPr>
                <w:rFonts w:ascii="Times New Roman" w:hAnsi="Times New Roman"/>
                <w:b/>
                <w:bCs/>
                <w:sz w:val="22"/>
              </w:rPr>
              <w:t>/</w:t>
            </w:r>
            <w:proofErr w:type="spellStart"/>
            <w:r w:rsidRPr="00570E3B">
              <w:rPr>
                <w:rFonts w:ascii="Times New Roman" w:hAnsi="Times New Roman"/>
                <w:b/>
                <w:bCs/>
                <w:sz w:val="22"/>
              </w:rPr>
              <w:t>Ref</w:t>
            </w:r>
            <w:proofErr w:type="spellEnd"/>
            <w:r w:rsidRPr="00570E3B">
              <w:rPr>
                <w:rFonts w:ascii="Times New Roman" w:hAnsi="Times New Roman"/>
                <w:b/>
                <w:bCs/>
                <w:sz w:val="22"/>
              </w:rPr>
              <w:t>:</w:t>
            </w:r>
            <w:r w:rsidRPr="00F965D8">
              <w:rPr>
                <w:rFonts w:ascii="Times New Roman" w:hAnsi="Times New Roman"/>
                <w:sz w:val="22"/>
              </w:rPr>
              <w:t xml:space="preserve"> </w:t>
            </w:r>
            <w:r w:rsidRPr="0079527A">
              <w:rPr>
                <w:rFonts w:ascii="Times New Roman" w:hAnsi="Times New Roman"/>
                <w:bCs/>
                <w:color w:val="auto"/>
                <w:sz w:val="22"/>
              </w:rPr>
              <w:t>Recurso</w:t>
            </w:r>
            <w:r w:rsidR="000575E4">
              <w:rPr>
                <w:rFonts w:ascii="Times New Roman" w:hAnsi="Times New Roman"/>
                <w:bCs/>
                <w:color w:val="auto"/>
                <w:sz w:val="22"/>
              </w:rPr>
              <w:t xml:space="preserve"> de reposición </w:t>
            </w:r>
            <w:r w:rsidRPr="0079527A">
              <w:rPr>
                <w:rFonts w:ascii="Times New Roman" w:hAnsi="Times New Roman"/>
                <w:bCs/>
                <w:color w:val="auto"/>
                <w:sz w:val="22"/>
              </w:rPr>
              <w:t xml:space="preserve">de </w:t>
            </w:r>
            <w:r w:rsidR="000575E4">
              <w:rPr>
                <w:rFonts w:ascii="Times New Roman" w:hAnsi="Times New Roman"/>
                <w:bCs/>
                <w:color w:val="auto"/>
                <w:sz w:val="22"/>
              </w:rPr>
              <w:t>GIROA</w:t>
            </w:r>
            <w:r w:rsidRPr="0079527A">
              <w:rPr>
                <w:rFonts w:ascii="Times New Roman" w:hAnsi="Times New Roman"/>
                <w:bCs/>
                <w:color w:val="auto"/>
                <w:sz w:val="22"/>
              </w:rPr>
              <w:t>, S.A.</w:t>
            </w:r>
            <w:r w:rsidR="000575E4">
              <w:rPr>
                <w:rFonts w:ascii="Times New Roman" w:hAnsi="Times New Roman"/>
                <w:bCs/>
                <w:color w:val="auto"/>
                <w:sz w:val="22"/>
              </w:rPr>
              <w:t>U.</w:t>
            </w:r>
            <w:r w:rsidRPr="0079527A">
              <w:rPr>
                <w:rFonts w:ascii="Times New Roman" w:hAnsi="Times New Roman"/>
                <w:bCs/>
                <w:color w:val="auto"/>
                <w:sz w:val="22"/>
              </w:rPr>
              <w:t xml:space="preserve"> contra</w:t>
            </w:r>
            <w:r w:rsidR="000575E4">
              <w:rPr>
                <w:rFonts w:ascii="Times New Roman" w:hAnsi="Times New Roman"/>
                <w:bCs/>
                <w:color w:val="auto"/>
                <w:sz w:val="22"/>
              </w:rPr>
              <w:t xml:space="preserve"> Acuerdo del Pleno municipal de  exclusión y adjudicación del contrato de instalación de caldera de biomasa y red de distribución en el centro educativo CEIP IZARRA HLHI de Urkabustaiz. </w:t>
            </w:r>
            <w:r w:rsidRPr="0079527A">
              <w:rPr>
                <w:rFonts w:ascii="Times New Roman" w:hAnsi="Times New Roman"/>
                <w:bCs/>
                <w:color w:val="auto"/>
                <w:sz w:val="22"/>
              </w:rPr>
              <w:t xml:space="preserve"> </w:t>
            </w:r>
          </w:p>
          <w:p w14:paraId="00C75042" w14:textId="63D8EAA3" w:rsidR="0079527A" w:rsidRPr="00200F29" w:rsidRDefault="0079527A" w:rsidP="009E65CF">
            <w:pPr>
              <w:rPr>
                <w:lang w:val="es-ES_tradnl"/>
              </w:rPr>
            </w:pPr>
            <w:proofErr w:type="spellStart"/>
            <w:r w:rsidRPr="00F965D8">
              <w:rPr>
                <w:b/>
                <w:bCs/>
                <w:sz w:val="22"/>
              </w:rPr>
              <w:t>Esp</w:t>
            </w:r>
            <w:proofErr w:type="spellEnd"/>
            <w:r w:rsidRPr="00F965D8">
              <w:rPr>
                <w:b/>
                <w:bCs/>
                <w:sz w:val="22"/>
              </w:rPr>
              <w:t xml:space="preserve"> </w:t>
            </w:r>
            <w:proofErr w:type="spellStart"/>
            <w:r w:rsidRPr="00F965D8">
              <w:rPr>
                <w:b/>
                <w:bCs/>
                <w:sz w:val="22"/>
              </w:rPr>
              <w:t>Zenb</w:t>
            </w:r>
            <w:proofErr w:type="spellEnd"/>
            <w:r w:rsidRPr="00F965D8">
              <w:rPr>
                <w:b/>
                <w:bCs/>
                <w:sz w:val="22"/>
              </w:rPr>
              <w:t>/</w:t>
            </w:r>
            <w:proofErr w:type="spellStart"/>
            <w:r w:rsidRPr="00F965D8">
              <w:rPr>
                <w:b/>
                <w:bCs/>
                <w:sz w:val="22"/>
              </w:rPr>
              <w:t>Nº</w:t>
            </w:r>
            <w:proofErr w:type="spellEnd"/>
            <w:r w:rsidRPr="00F965D8">
              <w:rPr>
                <w:b/>
                <w:bCs/>
                <w:sz w:val="22"/>
              </w:rPr>
              <w:t xml:space="preserve"> </w:t>
            </w:r>
            <w:proofErr w:type="spellStart"/>
            <w:r w:rsidRPr="00F965D8">
              <w:rPr>
                <w:b/>
                <w:bCs/>
                <w:sz w:val="22"/>
              </w:rPr>
              <w:t>exp</w:t>
            </w:r>
            <w:proofErr w:type="spellEnd"/>
            <w:r w:rsidRPr="00F965D8">
              <w:rPr>
                <w:b/>
                <w:bCs/>
                <w:sz w:val="22"/>
              </w:rPr>
              <w:t>:</w:t>
            </w:r>
            <w:r w:rsidRPr="00F965D8">
              <w:rPr>
                <w:sz w:val="22"/>
              </w:rPr>
              <w:t xml:space="preserve"> </w:t>
            </w:r>
            <w:r w:rsidR="000575E4">
              <w:rPr>
                <w:sz w:val="22"/>
              </w:rPr>
              <w:t>21</w:t>
            </w:r>
            <w:r w:rsidRPr="005754C1">
              <w:rPr>
                <w:sz w:val="22"/>
              </w:rPr>
              <w:t xml:space="preserve">/25 </w:t>
            </w:r>
          </w:p>
        </w:tc>
        <w:tc>
          <w:tcPr>
            <w:tcW w:w="20" w:type="dxa"/>
          </w:tcPr>
          <w:p w14:paraId="795EB2B0" w14:textId="77777777" w:rsidR="0079527A" w:rsidRDefault="0079527A" w:rsidP="009E65CF">
            <w:r>
              <w:t xml:space="preserve"> </w:t>
            </w:r>
          </w:p>
        </w:tc>
        <w:tc>
          <w:tcPr>
            <w:tcW w:w="4677" w:type="dxa"/>
          </w:tcPr>
          <w:p w14:paraId="40FA0B6A" w14:textId="77777777" w:rsidR="0079527A" w:rsidRDefault="0079527A" w:rsidP="009E65CF">
            <w:pPr>
              <w:pStyle w:val="Piedepgina"/>
              <w:tabs>
                <w:tab w:val="clear" w:pos="4252"/>
                <w:tab w:val="clear" w:pos="8504"/>
                <w:tab w:val="right" w:pos="4677"/>
              </w:tabs>
              <w:spacing w:after="240"/>
            </w:pPr>
          </w:p>
        </w:tc>
      </w:tr>
    </w:tbl>
    <w:p w14:paraId="0CE6CB5E" w14:textId="77777777" w:rsidR="0079527A" w:rsidRDefault="0079527A" w:rsidP="0079527A">
      <w:pPr>
        <w:pStyle w:val="Textoindependiente"/>
        <w:spacing w:after="480"/>
        <w:jc w:val="center"/>
        <w:rPr>
          <w:rFonts w:ascii="Times New Roman" w:hAnsi="Times New Roman"/>
          <w:b/>
          <w:sz w:val="24"/>
          <w:szCs w:val="24"/>
          <w:u w:val="single"/>
        </w:rPr>
      </w:pPr>
    </w:p>
    <w:p w14:paraId="0D1494EA" w14:textId="7A5E07D2" w:rsidR="0079527A" w:rsidRPr="000A20E7" w:rsidRDefault="0079527A" w:rsidP="0079527A">
      <w:pPr>
        <w:pStyle w:val="Textoindependiente"/>
        <w:spacing w:after="480"/>
        <w:jc w:val="center"/>
        <w:rPr>
          <w:rFonts w:ascii="Times New Roman" w:hAnsi="Times New Roman"/>
          <w:b/>
          <w:sz w:val="24"/>
          <w:szCs w:val="24"/>
          <w:u w:val="single"/>
        </w:rPr>
      </w:pPr>
      <w:r w:rsidRPr="000A20E7">
        <w:rPr>
          <w:rFonts w:ascii="Times New Roman" w:hAnsi="Times New Roman"/>
          <w:b/>
          <w:sz w:val="24"/>
          <w:szCs w:val="24"/>
          <w:u w:val="single"/>
        </w:rPr>
        <w:t>RESOLUCIÓN Nº</w:t>
      </w:r>
      <w:r w:rsidR="00C21A8F">
        <w:rPr>
          <w:rFonts w:ascii="Times New Roman" w:hAnsi="Times New Roman"/>
          <w:b/>
          <w:sz w:val="24"/>
          <w:szCs w:val="24"/>
          <w:u w:val="single"/>
        </w:rPr>
        <w:t>34</w:t>
      </w:r>
      <w:r w:rsidRPr="000A20E7">
        <w:rPr>
          <w:rFonts w:ascii="Times New Roman" w:hAnsi="Times New Roman"/>
          <w:b/>
          <w:sz w:val="24"/>
          <w:szCs w:val="24"/>
          <w:u w:val="single"/>
        </w:rPr>
        <w:t>/2025</w:t>
      </w:r>
    </w:p>
    <w:p w14:paraId="69A19E96" w14:textId="69B8A06C" w:rsidR="0079527A" w:rsidRDefault="0079527A" w:rsidP="0079527A">
      <w:pPr>
        <w:tabs>
          <w:tab w:val="left" w:pos="3261"/>
        </w:tabs>
        <w:spacing w:after="240"/>
        <w:jc w:val="both"/>
        <w:rPr>
          <w:sz w:val="22"/>
        </w:rPr>
      </w:pPr>
      <w:r>
        <w:rPr>
          <w:sz w:val="22"/>
        </w:rPr>
        <w:t>En Vitoria-Gasteiz</w:t>
      </w:r>
      <w:r w:rsidRPr="00A8518F">
        <w:rPr>
          <w:sz w:val="22"/>
        </w:rPr>
        <w:t xml:space="preserve">, </w:t>
      </w:r>
      <w:r w:rsidR="00C21A8F">
        <w:rPr>
          <w:sz w:val="22"/>
        </w:rPr>
        <w:t>a 21 de octubre de 2025.</w:t>
      </w:r>
    </w:p>
    <w:p w14:paraId="784DC891" w14:textId="5F19D2EA" w:rsidR="0079527A" w:rsidRDefault="0079527A" w:rsidP="0079527A">
      <w:pPr>
        <w:tabs>
          <w:tab w:val="left" w:pos="3261"/>
        </w:tabs>
        <w:spacing w:after="240"/>
        <w:jc w:val="both"/>
        <w:rPr>
          <w:sz w:val="22"/>
        </w:rPr>
      </w:pPr>
      <w:r w:rsidRPr="00A060CB">
        <w:rPr>
          <w:sz w:val="22"/>
        </w:rPr>
        <w:t xml:space="preserve">El Órgano Administrativo Foral de Recursos Contractuales de la Diputación Foral de Álava ha dictado la siguiente RESOLUCIÓN en relación con </w:t>
      </w:r>
      <w:r>
        <w:rPr>
          <w:sz w:val="22"/>
        </w:rPr>
        <w:t>el</w:t>
      </w:r>
      <w:r w:rsidRPr="005754C1">
        <w:rPr>
          <w:sz w:val="22"/>
        </w:rPr>
        <w:t xml:space="preserve"> </w:t>
      </w:r>
      <w:r w:rsidR="009712F3">
        <w:rPr>
          <w:sz w:val="22"/>
        </w:rPr>
        <w:t>R</w:t>
      </w:r>
      <w:r w:rsidRPr="005754C1">
        <w:rPr>
          <w:sz w:val="22"/>
        </w:rPr>
        <w:t xml:space="preserve">ecurso interpuesto por </w:t>
      </w:r>
      <w:r w:rsidR="000575E4">
        <w:rPr>
          <w:sz w:val="22"/>
        </w:rPr>
        <w:t>GIROA, S.A.U.</w:t>
      </w:r>
      <w:r w:rsidRPr="005754C1">
        <w:rPr>
          <w:sz w:val="22"/>
        </w:rPr>
        <w:t xml:space="preserve"> </w:t>
      </w:r>
      <w:r w:rsidR="000575E4" w:rsidRPr="0079527A">
        <w:rPr>
          <w:bCs/>
          <w:sz w:val="22"/>
        </w:rPr>
        <w:t>contra</w:t>
      </w:r>
      <w:r w:rsidR="000575E4">
        <w:rPr>
          <w:bCs/>
          <w:sz w:val="22"/>
        </w:rPr>
        <w:t xml:space="preserve"> Acuerdo del Pleno municipal de exclusión y adjudicación del contrato de instalación de caldera de biomasa y red de distribución en el centro educativo CEIP IZARRA HLHI de Urkabustaiz en el marco del Plan de Recuperación, Transformación y </w:t>
      </w:r>
      <w:r w:rsidR="00105AB3">
        <w:rPr>
          <w:bCs/>
          <w:sz w:val="22"/>
        </w:rPr>
        <w:t>Resiliencia</w:t>
      </w:r>
      <w:r w:rsidR="000575E4">
        <w:rPr>
          <w:bCs/>
          <w:sz w:val="22"/>
        </w:rPr>
        <w:t xml:space="preserve"> financiado por la Unión Europea-Next </w:t>
      </w:r>
      <w:proofErr w:type="spellStart"/>
      <w:r w:rsidR="000575E4">
        <w:rPr>
          <w:bCs/>
          <w:sz w:val="22"/>
        </w:rPr>
        <w:t>Generation</w:t>
      </w:r>
      <w:proofErr w:type="spellEnd"/>
      <w:r w:rsidR="000575E4">
        <w:rPr>
          <w:bCs/>
          <w:sz w:val="22"/>
        </w:rPr>
        <w:t xml:space="preserve"> UE </w:t>
      </w:r>
      <w:r w:rsidRPr="00460EC2">
        <w:rPr>
          <w:sz w:val="22"/>
        </w:rPr>
        <w:t>(</w:t>
      </w:r>
      <w:proofErr w:type="spellStart"/>
      <w:r w:rsidRPr="00460EC2">
        <w:rPr>
          <w:sz w:val="22"/>
        </w:rPr>
        <w:t>expte</w:t>
      </w:r>
      <w:proofErr w:type="spellEnd"/>
      <w:r w:rsidRPr="00460EC2">
        <w:rPr>
          <w:sz w:val="22"/>
        </w:rPr>
        <w:t xml:space="preserve"> </w:t>
      </w:r>
      <w:r w:rsidR="000575E4">
        <w:rPr>
          <w:sz w:val="22"/>
        </w:rPr>
        <w:t>31</w:t>
      </w:r>
      <w:r w:rsidRPr="00460EC2">
        <w:rPr>
          <w:sz w:val="22"/>
        </w:rPr>
        <w:t>/2</w:t>
      </w:r>
      <w:r w:rsidR="000575E4">
        <w:rPr>
          <w:sz w:val="22"/>
        </w:rPr>
        <w:t>5</w:t>
      </w:r>
      <w:r w:rsidRPr="00460EC2">
        <w:rPr>
          <w:sz w:val="22"/>
        </w:rPr>
        <w:t>).</w:t>
      </w:r>
    </w:p>
    <w:p w14:paraId="5B1447FA" w14:textId="4CE4A0DE" w:rsidR="0079527A" w:rsidRPr="003A3B91" w:rsidRDefault="0079527A" w:rsidP="0079527A">
      <w:pPr>
        <w:tabs>
          <w:tab w:val="left" w:pos="3261"/>
        </w:tabs>
        <w:spacing w:after="240"/>
        <w:jc w:val="both"/>
        <w:rPr>
          <w:sz w:val="24"/>
          <w:szCs w:val="24"/>
        </w:rPr>
      </w:pPr>
      <w:r w:rsidRPr="00750DA7">
        <w:rPr>
          <w:sz w:val="22"/>
          <w:szCs w:val="22"/>
        </w:rPr>
        <w:t>Son partes en dicho recurso:</w:t>
      </w:r>
      <w:r w:rsidRPr="00A060CB">
        <w:rPr>
          <w:sz w:val="22"/>
          <w:szCs w:val="22"/>
        </w:rPr>
        <w:t xml:space="preserve"> como recurrente, </w:t>
      </w:r>
      <w:r w:rsidR="000575E4">
        <w:rPr>
          <w:sz w:val="22"/>
          <w:szCs w:val="22"/>
        </w:rPr>
        <w:t>GIROA, S.A.U.</w:t>
      </w:r>
      <w:r w:rsidRPr="00495221">
        <w:rPr>
          <w:sz w:val="22"/>
          <w:szCs w:val="22"/>
        </w:rPr>
        <w:t>;</w:t>
      </w:r>
      <w:r w:rsidRPr="00495221">
        <w:rPr>
          <w:sz w:val="22"/>
        </w:rPr>
        <w:t xml:space="preserve"> y como parte demandada </w:t>
      </w:r>
      <w:r w:rsidR="000575E4">
        <w:rPr>
          <w:sz w:val="22"/>
        </w:rPr>
        <w:t>el Ayuntamiento de Urkabustaiz</w:t>
      </w:r>
      <w:r w:rsidR="00D670A8">
        <w:rPr>
          <w:sz w:val="22"/>
        </w:rPr>
        <w:t>.</w:t>
      </w:r>
    </w:p>
    <w:p w14:paraId="341A31D7" w14:textId="0F6B410F" w:rsidR="0079527A" w:rsidRPr="00F57C4C" w:rsidRDefault="0079527A" w:rsidP="0079527A">
      <w:pPr>
        <w:spacing w:after="240"/>
        <w:jc w:val="both"/>
        <w:rPr>
          <w:sz w:val="22"/>
        </w:rPr>
      </w:pPr>
      <w:r w:rsidRPr="00F57C4C">
        <w:rPr>
          <w:sz w:val="22"/>
        </w:rPr>
        <w:t>Vist</w:t>
      </w:r>
      <w:r>
        <w:rPr>
          <w:sz w:val="22"/>
        </w:rPr>
        <w:t>o el recurso interpuesto</w:t>
      </w:r>
      <w:r w:rsidRPr="00F57C4C">
        <w:rPr>
          <w:sz w:val="22"/>
        </w:rPr>
        <w:t>, este Órgano efectúa las siguientes consideraciones:</w:t>
      </w:r>
    </w:p>
    <w:p w14:paraId="771319DD" w14:textId="77777777" w:rsidR="00D670A8" w:rsidRDefault="00D670A8" w:rsidP="0079527A">
      <w:pPr>
        <w:spacing w:after="240"/>
        <w:jc w:val="center"/>
        <w:rPr>
          <w:b/>
          <w:sz w:val="22"/>
        </w:rPr>
      </w:pPr>
    </w:p>
    <w:p w14:paraId="76417933" w14:textId="43217F07" w:rsidR="0079527A" w:rsidRDefault="0079527A" w:rsidP="0079527A">
      <w:pPr>
        <w:spacing w:after="240"/>
        <w:jc w:val="center"/>
        <w:rPr>
          <w:b/>
          <w:sz w:val="22"/>
        </w:rPr>
      </w:pPr>
      <w:r>
        <w:rPr>
          <w:b/>
          <w:sz w:val="22"/>
        </w:rPr>
        <w:t>ANTECEDENTES DE HECHO</w:t>
      </w:r>
    </w:p>
    <w:p w14:paraId="2D413437" w14:textId="4686D449" w:rsidR="00D670A8" w:rsidRDefault="00D670A8" w:rsidP="00D670A8">
      <w:pPr>
        <w:spacing w:after="240"/>
        <w:jc w:val="both"/>
        <w:rPr>
          <w:bCs/>
          <w:sz w:val="22"/>
        </w:rPr>
      </w:pPr>
      <w:r>
        <w:rPr>
          <w:b/>
          <w:sz w:val="22"/>
        </w:rPr>
        <w:t>Primero</w:t>
      </w:r>
      <w:r w:rsidR="0079527A" w:rsidRPr="005754C1">
        <w:rPr>
          <w:b/>
          <w:sz w:val="22"/>
        </w:rPr>
        <w:t xml:space="preserve"> </w:t>
      </w:r>
      <w:r>
        <w:rPr>
          <w:b/>
          <w:sz w:val="22"/>
        </w:rPr>
        <w:t>.</w:t>
      </w:r>
      <w:r w:rsidR="0079527A" w:rsidRPr="005754C1">
        <w:rPr>
          <w:b/>
          <w:sz w:val="22"/>
        </w:rPr>
        <w:t xml:space="preserve">- </w:t>
      </w:r>
      <w:r>
        <w:rPr>
          <w:bCs/>
          <w:sz w:val="22"/>
        </w:rPr>
        <w:t xml:space="preserve">Con fecha 15 de octubre de 2025, GIROA, S.A.U. interpuso en el registro electrónico común de la Diputación Foral de Álava, para ante este Órgano Administrativo Foral de Recursos Contractuales, un recurso de </w:t>
      </w:r>
      <w:r w:rsidR="009712F3">
        <w:rPr>
          <w:bCs/>
          <w:sz w:val="22"/>
        </w:rPr>
        <w:t xml:space="preserve">potestativo de </w:t>
      </w:r>
      <w:r>
        <w:rPr>
          <w:bCs/>
          <w:sz w:val="22"/>
        </w:rPr>
        <w:t xml:space="preserve">reposición </w:t>
      </w:r>
      <w:r w:rsidRPr="0079527A">
        <w:rPr>
          <w:bCs/>
          <w:sz w:val="22"/>
        </w:rPr>
        <w:t>contra</w:t>
      </w:r>
      <w:r>
        <w:rPr>
          <w:bCs/>
          <w:sz w:val="22"/>
        </w:rPr>
        <w:t xml:space="preserve"> Acuerdo del Pleno municipal de exclusión y adjudicación del contrato de instalación de caldera de biomasa y red de distribución en el centro educativo CEIP IZARRA HLHI de Urkabustaiz en el marco del Plan de Recuperación, Transformación y </w:t>
      </w:r>
      <w:r w:rsidR="00105AB3">
        <w:rPr>
          <w:bCs/>
          <w:sz w:val="22"/>
        </w:rPr>
        <w:t>Resiliencia</w:t>
      </w:r>
      <w:r>
        <w:rPr>
          <w:bCs/>
          <w:sz w:val="22"/>
        </w:rPr>
        <w:t xml:space="preserve"> financiado por la Unión Europea-Next </w:t>
      </w:r>
      <w:proofErr w:type="spellStart"/>
      <w:r>
        <w:rPr>
          <w:bCs/>
          <w:sz w:val="22"/>
        </w:rPr>
        <w:t>Generation</w:t>
      </w:r>
      <w:proofErr w:type="spellEnd"/>
      <w:r>
        <w:rPr>
          <w:bCs/>
          <w:sz w:val="22"/>
        </w:rPr>
        <w:t xml:space="preserve"> UE, tramitado por el Ayuntamiento de Urkabustaiz. </w:t>
      </w:r>
    </w:p>
    <w:p w14:paraId="4BCA488C" w14:textId="3241A6DE" w:rsidR="00D670A8" w:rsidRDefault="00D670A8" w:rsidP="00D670A8">
      <w:pPr>
        <w:spacing w:after="240"/>
        <w:jc w:val="both"/>
        <w:rPr>
          <w:bCs/>
          <w:sz w:val="22"/>
        </w:rPr>
      </w:pPr>
      <w:r w:rsidRPr="00D670A8">
        <w:rPr>
          <w:b/>
          <w:sz w:val="22"/>
        </w:rPr>
        <w:t>Segundo. -</w:t>
      </w:r>
      <w:r>
        <w:rPr>
          <w:bCs/>
          <w:sz w:val="22"/>
        </w:rPr>
        <w:t xml:space="preserve"> En su escrito de interposición manifiesta la mercantil recurrente que </w:t>
      </w:r>
      <w:r w:rsidRPr="00D670A8">
        <w:rPr>
          <w:bCs/>
          <w:sz w:val="22"/>
        </w:rPr>
        <w:t>se interpone el presente recurso potestativo de reposición ante el Órgano</w:t>
      </w:r>
      <w:r>
        <w:rPr>
          <w:bCs/>
          <w:sz w:val="22"/>
        </w:rPr>
        <w:t xml:space="preserve"> </w:t>
      </w:r>
      <w:r w:rsidRPr="00D670A8">
        <w:rPr>
          <w:bCs/>
          <w:sz w:val="22"/>
        </w:rPr>
        <w:t>Administrativo Foral de Recursos Contractuales de Álava, al ser competente para su</w:t>
      </w:r>
      <w:r>
        <w:rPr>
          <w:bCs/>
          <w:sz w:val="22"/>
        </w:rPr>
        <w:t xml:space="preserve"> </w:t>
      </w:r>
      <w:r w:rsidRPr="00D670A8">
        <w:rPr>
          <w:bCs/>
          <w:sz w:val="22"/>
        </w:rPr>
        <w:t>resolución según se indica en la plataforma de Contratación Pública de Euskadi</w:t>
      </w:r>
      <w:r>
        <w:rPr>
          <w:bCs/>
          <w:sz w:val="22"/>
        </w:rPr>
        <w:t>.</w:t>
      </w:r>
    </w:p>
    <w:p w14:paraId="70563736" w14:textId="7B493920" w:rsidR="00D670A8" w:rsidRPr="00D670A8" w:rsidRDefault="00D670A8" w:rsidP="00D670A8">
      <w:pPr>
        <w:spacing w:after="240"/>
        <w:jc w:val="both"/>
        <w:rPr>
          <w:bCs/>
          <w:sz w:val="22"/>
        </w:rPr>
      </w:pPr>
      <w:r w:rsidRPr="00D670A8">
        <w:rPr>
          <w:bCs/>
          <w:sz w:val="22"/>
        </w:rPr>
        <w:lastRenderedPageBreak/>
        <w:t>No obstante, se anuncia igualmente la interposición del recurso frente el mismo órgano</w:t>
      </w:r>
      <w:r>
        <w:rPr>
          <w:bCs/>
          <w:sz w:val="22"/>
        </w:rPr>
        <w:t xml:space="preserve"> </w:t>
      </w:r>
      <w:r w:rsidRPr="00D670A8">
        <w:rPr>
          <w:bCs/>
          <w:sz w:val="22"/>
        </w:rPr>
        <w:t>que dictó el Acuerdo, al estar así indicado en el mismo, por lo que, debido a la</w:t>
      </w:r>
      <w:r>
        <w:rPr>
          <w:bCs/>
          <w:sz w:val="22"/>
        </w:rPr>
        <w:t xml:space="preserve"> </w:t>
      </w:r>
      <w:r w:rsidRPr="00D670A8">
        <w:rPr>
          <w:bCs/>
          <w:sz w:val="22"/>
        </w:rPr>
        <w:t>contradicción existente entre ambos, ad cautelam, se presenta recurso ante ambos</w:t>
      </w:r>
      <w:r>
        <w:rPr>
          <w:bCs/>
          <w:sz w:val="22"/>
        </w:rPr>
        <w:t xml:space="preserve"> </w:t>
      </w:r>
      <w:r w:rsidRPr="00D670A8">
        <w:rPr>
          <w:bCs/>
          <w:sz w:val="22"/>
        </w:rPr>
        <w:t>organismos, solicitando su admisibilidad ante el que proceda.</w:t>
      </w:r>
    </w:p>
    <w:p w14:paraId="15F5BC8E" w14:textId="77777777" w:rsidR="00D670A8" w:rsidRDefault="00D670A8" w:rsidP="0079527A">
      <w:pPr>
        <w:spacing w:after="240"/>
        <w:jc w:val="center"/>
        <w:rPr>
          <w:b/>
          <w:sz w:val="22"/>
        </w:rPr>
      </w:pPr>
    </w:p>
    <w:p w14:paraId="48FE9024" w14:textId="1BAB4EAB" w:rsidR="0079527A" w:rsidRDefault="0079527A" w:rsidP="0079527A">
      <w:pPr>
        <w:spacing w:after="240"/>
        <w:jc w:val="center"/>
        <w:rPr>
          <w:b/>
          <w:sz w:val="22"/>
        </w:rPr>
      </w:pPr>
      <w:r>
        <w:rPr>
          <w:b/>
          <w:sz w:val="22"/>
        </w:rPr>
        <w:t>FUNDAMENTOS DE DERECHO</w:t>
      </w:r>
    </w:p>
    <w:p w14:paraId="622DE869" w14:textId="0DBF904C" w:rsidR="006E6AD1" w:rsidRDefault="006E6AD1" w:rsidP="0079527A">
      <w:pPr>
        <w:spacing w:after="160"/>
        <w:jc w:val="both"/>
        <w:rPr>
          <w:bCs/>
          <w:sz w:val="22"/>
          <w:szCs w:val="22"/>
        </w:rPr>
      </w:pPr>
      <w:proofErr w:type="gramStart"/>
      <w:r>
        <w:rPr>
          <w:b/>
          <w:sz w:val="22"/>
          <w:szCs w:val="22"/>
        </w:rPr>
        <w:t>Ú</w:t>
      </w:r>
      <w:r w:rsidR="008941E0">
        <w:rPr>
          <w:b/>
          <w:sz w:val="22"/>
          <w:szCs w:val="22"/>
        </w:rPr>
        <w:t>nico</w:t>
      </w:r>
      <w:r w:rsidR="0079527A" w:rsidRPr="00E17A09">
        <w:rPr>
          <w:b/>
          <w:sz w:val="22"/>
          <w:szCs w:val="22"/>
        </w:rPr>
        <w:t>.-</w:t>
      </w:r>
      <w:proofErr w:type="gramEnd"/>
      <w:r w:rsidR="0079527A" w:rsidRPr="00E17A09">
        <w:rPr>
          <w:b/>
          <w:sz w:val="22"/>
          <w:szCs w:val="22"/>
        </w:rPr>
        <w:t xml:space="preserve"> </w:t>
      </w:r>
      <w:r w:rsidR="006604E2">
        <w:rPr>
          <w:bCs/>
          <w:sz w:val="22"/>
          <w:szCs w:val="22"/>
        </w:rPr>
        <w:t xml:space="preserve">Conforme al artículo 46.5 de la LCSP corresponde la resolución de los recursos especiales en materia de contratación </w:t>
      </w:r>
      <w:r>
        <w:rPr>
          <w:bCs/>
          <w:sz w:val="22"/>
          <w:szCs w:val="22"/>
        </w:rPr>
        <w:t xml:space="preserve">a los órganos o Tribunales administrativos forales de Recursos Contractuales en lo relativo a la contratación en el ámbito de los Territorios Históricos Forales. </w:t>
      </w:r>
    </w:p>
    <w:p w14:paraId="44F4FAEC" w14:textId="4D0F21D3" w:rsidR="0079527A" w:rsidRPr="00E17A09" w:rsidRDefault="006E6AD1" w:rsidP="0079527A">
      <w:pPr>
        <w:spacing w:after="160"/>
        <w:jc w:val="both"/>
        <w:rPr>
          <w:sz w:val="22"/>
          <w:szCs w:val="22"/>
        </w:rPr>
      </w:pPr>
      <w:r>
        <w:rPr>
          <w:sz w:val="22"/>
          <w:szCs w:val="22"/>
        </w:rPr>
        <w:t xml:space="preserve">En cuanto a este </w:t>
      </w:r>
      <w:r w:rsidR="006604E2">
        <w:rPr>
          <w:sz w:val="22"/>
          <w:szCs w:val="22"/>
        </w:rPr>
        <w:t>Órgano Administrativo Foral de Recursos Contractuales</w:t>
      </w:r>
      <w:r>
        <w:rPr>
          <w:sz w:val="22"/>
          <w:szCs w:val="22"/>
        </w:rPr>
        <w:t xml:space="preserve">, </w:t>
      </w:r>
      <w:r w:rsidR="0079527A" w:rsidRPr="00E17A09">
        <w:rPr>
          <w:sz w:val="22"/>
          <w:szCs w:val="22"/>
        </w:rPr>
        <w:t>el Decreto Foral del Consejo de Diputados 44/2010, de 28 de septiembre,</w:t>
      </w:r>
      <w:r>
        <w:rPr>
          <w:sz w:val="22"/>
          <w:szCs w:val="22"/>
        </w:rPr>
        <w:t xml:space="preserve"> que aprueba la creación del Órgano Administrativo Foral de Recursos Contractuales, establece, en su artículo </w:t>
      </w:r>
      <w:r w:rsidR="0079527A" w:rsidRPr="00E17A09">
        <w:rPr>
          <w:sz w:val="22"/>
          <w:szCs w:val="22"/>
        </w:rPr>
        <w:t>2.1, relativo a las competencias</w:t>
      </w:r>
      <w:r>
        <w:rPr>
          <w:sz w:val="22"/>
          <w:szCs w:val="22"/>
        </w:rPr>
        <w:t>,</w:t>
      </w:r>
      <w:r w:rsidR="0079527A" w:rsidRPr="00E17A09">
        <w:rPr>
          <w:sz w:val="22"/>
          <w:szCs w:val="22"/>
        </w:rPr>
        <w:t xml:space="preserve"> que</w:t>
      </w:r>
      <w:r>
        <w:rPr>
          <w:sz w:val="22"/>
          <w:szCs w:val="22"/>
        </w:rPr>
        <w:t>:</w:t>
      </w:r>
      <w:r w:rsidR="0079527A" w:rsidRPr="00E17A09">
        <w:rPr>
          <w:sz w:val="22"/>
          <w:szCs w:val="22"/>
        </w:rPr>
        <w:t xml:space="preserve"> “</w:t>
      </w:r>
      <w:r w:rsidR="0079527A" w:rsidRPr="00E17A09">
        <w:rPr>
          <w:i/>
          <w:iCs/>
          <w:sz w:val="22"/>
          <w:szCs w:val="22"/>
        </w:rPr>
        <w:t>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r w:rsidR="0079527A" w:rsidRPr="00E17A09">
        <w:rPr>
          <w:sz w:val="22"/>
          <w:szCs w:val="22"/>
        </w:rPr>
        <w:t>.”</w:t>
      </w:r>
    </w:p>
    <w:p w14:paraId="705C5FDC" w14:textId="743A2787" w:rsidR="006E6AD1" w:rsidRDefault="006E6AD1" w:rsidP="0079527A">
      <w:pPr>
        <w:spacing w:after="180" w:line="276" w:lineRule="auto"/>
        <w:jc w:val="both"/>
        <w:rPr>
          <w:sz w:val="22"/>
          <w:szCs w:val="22"/>
          <w:lang w:val="es-ES_tradnl"/>
        </w:rPr>
      </w:pPr>
      <w:r>
        <w:rPr>
          <w:sz w:val="22"/>
          <w:szCs w:val="22"/>
          <w:lang w:val="es-ES_tradnl"/>
        </w:rPr>
        <w:t xml:space="preserve">En consecuencia, procede </w:t>
      </w:r>
      <w:r w:rsidR="008941E0">
        <w:rPr>
          <w:sz w:val="22"/>
          <w:szCs w:val="22"/>
          <w:lang w:val="es-ES_tradnl"/>
        </w:rPr>
        <w:t>manifestar que e</w:t>
      </w:r>
      <w:r>
        <w:rPr>
          <w:sz w:val="22"/>
          <w:szCs w:val="22"/>
          <w:lang w:val="es-ES_tradnl"/>
        </w:rPr>
        <w:t>l recurso potestativo de reposición objeto de la presente</w:t>
      </w:r>
      <w:r w:rsidR="008941E0">
        <w:rPr>
          <w:sz w:val="22"/>
          <w:szCs w:val="22"/>
          <w:lang w:val="es-ES_tradnl"/>
        </w:rPr>
        <w:t xml:space="preserve"> resolución, que se </w:t>
      </w:r>
      <w:r>
        <w:rPr>
          <w:sz w:val="22"/>
          <w:szCs w:val="22"/>
          <w:lang w:val="es-ES_tradnl"/>
        </w:rPr>
        <w:t>interpone frente al Acuerdo del Pleno del Ayuntamiento de Urkabustaiz, no se encuentra dentro de</w:t>
      </w:r>
      <w:r w:rsidR="008941E0">
        <w:rPr>
          <w:sz w:val="22"/>
          <w:szCs w:val="22"/>
          <w:lang w:val="es-ES_tradnl"/>
        </w:rPr>
        <w:t>l</w:t>
      </w:r>
      <w:r>
        <w:rPr>
          <w:sz w:val="22"/>
          <w:szCs w:val="22"/>
          <w:lang w:val="es-ES_tradnl"/>
        </w:rPr>
        <w:t xml:space="preserve"> ámbito</w:t>
      </w:r>
      <w:r w:rsidR="008941E0">
        <w:rPr>
          <w:sz w:val="22"/>
          <w:szCs w:val="22"/>
          <w:lang w:val="es-ES_tradnl"/>
        </w:rPr>
        <w:t xml:space="preserve"> de competencia territorial </w:t>
      </w:r>
      <w:r>
        <w:rPr>
          <w:sz w:val="22"/>
          <w:szCs w:val="22"/>
          <w:lang w:val="es-ES_tradnl"/>
        </w:rPr>
        <w:t>expuesto ut supra</w:t>
      </w:r>
      <w:r w:rsidR="008941E0">
        <w:rPr>
          <w:sz w:val="22"/>
          <w:szCs w:val="22"/>
          <w:lang w:val="es-ES_tradnl"/>
        </w:rPr>
        <w:t xml:space="preserve">, ni del ámbito de competencia funcional de este OAFRC, al no tratarse de un recurso especial en materia de contratación sino de un recurso potestativo de reposición.   </w:t>
      </w:r>
      <w:r>
        <w:rPr>
          <w:sz w:val="22"/>
          <w:szCs w:val="22"/>
          <w:lang w:val="es-ES_tradnl"/>
        </w:rPr>
        <w:t xml:space="preserve"> </w:t>
      </w:r>
    </w:p>
    <w:p w14:paraId="477F7212" w14:textId="760B559C" w:rsidR="0079527A" w:rsidRPr="007834EF" w:rsidRDefault="006E6AD1" w:rsidP="0079527A">
      <w:pPr>
        <w:spacing w:after="180" w:line="276" w:lineRule="auto"/>
        <w:jc w:val="both"/>
        <w:rPr>
          <w:sz w:val="22"/>
          <w:szCs w:val="22"/>
          <w:lang w:val="es-ES_tradnl"/>
        </w:rPr>
      </w:pPr>
      <w:r>
        <w:rPr>
          <w:sz w:val="22"/>
          <w:szCs w:val="22"/>
          <w:lang w:val="es-ES_tradnl"/>
        </w:rPr>
        <w:t xml:space="preserve"> </w:t>
      </w:r>
      <w:r w:rsidR="0079527A" w:rsidRPr="00355A76">
        <w:rPr>
          <w:sz w:val="22"/>
          <w:szCs w:val="22"/>
          <w:lang w:val="es-ES_tradnl"/>
        </w:rPr>
        <w:t>Vistos los preceptos legales de aplicación, este Órgano Foral de Recursos</w:t>
      </w:r>
      <w:r w:rsidR="0079527A" w:rsidRPr="00CD3711">
        <w:rPr>
          <w:sz w:val="22"/>
          <w:szCs w:val="22"/>
          <w:lang w:val="es-ES_tradnl"/>
        </w:rPr>
        <w:t xml:space="preserve"> Contractuales emite la siguiente,</w:t>
      </w:r>
      <w:r w:rsidR="0079527A">
        <w:rPr>
          <w:sz w:val="22"/>
          <w:szCs w:val="22"/>
          <w:lang w:val="es-ES_tradnl"/>
        </w:rPr>
        <w:t xml:space="preserve"> </w:t>
      </w:r>
    </w:p>
    <w:p w14:paraId="060041B5" w14:textId="77777777" w:rsidR="0079527A" w:rsidRDefault="0079527A" w:rsidP="0079527A">
      <w:pPr>
        <w:pStyle w:val="Textoindependiente"/>
        <w:spacing w:after="480"/>
        <w:jc w:val="center"/>
        <w:rPr>
          <w:rFonts w:ascii="Times New Roman" w:hAnsi="Times New Roman"/>
          <w:b/>
          <w:sz w:val="22"/>
        </w:rPr>
      </w:pPr>
      <w:r>
        <w:rPr>
          <w:rFonts w:ascii="Times New Roman" w:hAnsi="Times New Roman"/>
          <w:b/>
          <w:sz w:val="22"/>
        </w:rPr>
        <w:t>RESOLUCIÓN</w:t>
      </w:r>
    </w:p>
    <w:p w14:paraId="046D6817" w14:textId="15906601" w:rsidR="008941E0" w:rsidRDefault="008941E0" w:rsidP="008941E0">
      <w:pPr>
        <w:spacing w:after="240"/>
        <w:jc w:val="both"/>
        <w:rPr>
          <w:bCs/>
          <w:sz w:val="22"/>
        </w:rPr>
      </w:pPr>
      <w:proofErr w:type="gramStart"/>
      <w:r>
        <w:rPr>
          <w:b/>
          <w:sz w:val="22"/>
          <w:szCs w:val="22"/>
        </w:rPr>
        <w:t>ÚNICO</w:t>
      </w:r>
      <w:r w:rsidR="0079527A">
        <w:rPr>
          <w:b/>
          <w:sz w:val="22"/>
          <w:szCs w:val="22"/>
        </w:rPr>
        <w:t>.-</w:t>
      </w:r>
      <w:proofErr w:type="gramEnd"/>
      <w:r w:rsidR="0079527A">
        <w:rPr>
          <w:sz w:val="22"/>
          <w:szCs w:val="22"/>
        </w:rPr>
        <w:t xml:space="preserve"> Inadmitir el recurso interpuesto </w:t>
      </w:r>
      <w:r w:rsidR="00B06AF9" w:rsidRPr="005754C1">
        <w:rPr>
          <w:sz w:val="22"/>
        </w:rPr>
        <w:t xml:space="preserve">por </w:t>
      </w:r>
      <w:r w:rsidR="004E4F0F">
        <w:rPr>
          <w:sz w:val="22"/>
        </w:rPr>
        <w:t>la merc</w:t>
      </w:r>
      <w:r w:rsidR="000F5056">
        <w:rPr>
          <w:sz w:val="22"/>
        </w:rPr>
        <w:t>a</w:t>
      </w:r>
      <w:r w:rsidR="004E4F0F">
        <w:rPr>
          <w:sz w:val="22"/>
        </w:rPr>
        <w:t>ntil</w:t>
      </w:r>
      <w:r w:rsidR="00B06AF9">
        <w:rPr>
          <w:sz w:val="22"/>
          <w:szCs w:val="22"/>
        </w:rPr>
        <w:t xml:space="preserve"> </w:t>
      </w:r>
      <w:r>
        <w:rPr>
          <w:sz w:val="22"/>
          <w:szCs w:val="22"/>
        </w:rPr>
        <w:t>GIROA</w:t>
      </w:r>
      <w:r w:rsidR="00B06AF9" w:rsidRPr="00460EC2">
        <w:rPr>
          <w:sz w:val="22"/>
        </w:rPr>
        <w:t>, S.A.</w:t>
      </w:r>
      <w:r>
        <w:rPr>
          <w:sz w:val="22"/>
        </w:rPr>
        <w:t>U.</w:t>
      </w:r>
      <w:r w:rsidR="00B06AF9" w:rsidRPr="005754C1">
        <w:rPr>
          <w:sz w:val="22"/>
        </w:rPr>
        <w:t xml:space="preserve"> </w:t>
      </w:r>
      <w:r>
        <w:rPr>
          <w:sz w:val="22"/>
        </w:rPr>
        <w:t xml:space="preserve">contra el </w:t>
      </w:r>
      <w:r>
        <w:rPr>
          <w:bCs/>
          <w:sz w:val="22"/>
        </w:rPr>
        <w:t xml:space="preserve">Acuerdo del Pleno municipal de exclusión y adjudicación del contrato de instalación de caldera de biomasa y red de distribución en el centro educativo CEIP IZARRA HLHI de Urkabustaiz en el marco del Plan de Recuperación, Transformación y </w:t>
      </w:r>
      <w:r w:rsidR="00105AB3">
        <w:rPr>
          <w:bCs/>
          <w:sz w:val="22"/>
        </w:rPr>
        <w:t>Resiliencia</w:t>
      </w:r>
      <w:r>
        <w:rPr>
          <w:bCs/>
          <w:sz w:val="22"/>
        </w:rPr>
        <w:t xml:space="preserve"> financiado por la Unión Europea-Next </w:t>
      </w:r>
      <w:proofErr w:type="spellStart"/>
      <w:r>
        <w:rPr>
          <w:bCs/>
          <w:sz w:val="22"/>
        </w:rPr>
        <w:t>Generation</w:t>
      </w:r>
      <w:proofErr w:type="spellEnd"/>
      <w:r>
        <w:rPr>
          <w:bCs/>
          <w:sz w:val="22"/>
        </w:rPr>
        <w:t xml:space="preserve"> UE, tramitado por el Ayuntamiento de Urkabustaiz. </w:t>
      </w:r>
    </w:p>
    <w:p w14:paraId="6E472392" w14:textId="77777777" w:rsidR="0079527A" w:rsidRDefault="0079527A" w:rsidP="0079527A">
      <w:pPr>
        <w:spacing w:after="120"/>
        <w:jc w:val="both"/>
        <w:rPr>
          <w:sz w:val="22"/>
          <w:szCs w:val="22"/>
        </w:rPr>
      </w:pPr>
      <w:r>
        <w:rPr>
          <w:sz w:val="22"/>
          <w:szCs w:val="22"/>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r>
        <w:rPr>
          <w:sz w:val="22"/>
        </w:rPr>
        <w:t xml:space="preserve"> </w:t>
      </w:r>
    </w:p>
    <w:p w14:paraId="3A2C8BF4" w14:textId="77777777" w:rsidR="0079527A" w:rsidRDefault="0079527A" w:rsidP="0079527A">
      <w:pPr>
        <w:spacing w:line="276" w:lineRule="auto"/>
        <w:rPr>
          <w:sz w:val="22"/>
          <w:szCs w:val="22"/>
        </w:rPr>
      </w:pPr>
    </w:p>
    <w:p w14:paraId="1666E55C" w14:textId="77777777" w:rsidR="0079527A" w:rsidRDefault="0079527A" w:rsidP="0079527A">
      <w:pPr>
        <w:spacing w:line="276" w:lineRule="auto"/>
        <w:rPr>
          <w:sz w:val="22"/>
          <w:szCs w:val="22"/>
        </w:rPr>
      </w:pPr>
    </w:p>
    <w:p w14:paraId="4AFFE301" w14:textId="77777777" w:rsidR="0079527A" w:rsidRDefault="0079527A" w:rsidP="0079527A">
      <w:pPr>
        <w:spacing w:line="276" w:lineRule="auto"/>
        <w:rPr>
          <w:sz w:val="22"/>
          <w:szCs w:val="22"/>
        </w:rPr>
      </w:pPr>
    </w:p>
    <w:p w14:paraId="00129EB8" w14:textId="77777777" w:rsidR="0079527A" w:rsidRPr="00DE751B" w:rsidRDefault="0079527A" w:rsidP="0079527A">
      <w:pPr>
        <w:jc w:val="both"/>
        <w:rPr>
          <w:sz w:val="22"/>
          <w:lang w:val="es-ES_tradnl"/>
        </w:rPr>
      </w:pPr>
    </w:p>
    <w:p w14:paraId="55F3E05B" w14:textId="77777777" w:rsidR="009C4D25" w:rsidRPr="0079527A" w:rsidRDefault="009C4D25">
      <w:pPr>
        <w:rPr>
          <w:lang w:val="es-ES_tradnl"/>
        </w:rPr>
      </w:pPr>
    </w:p>
    <w:sectPr w:rsidR="009C4D25" w:rsidRPr="0079527A" w:rsidSect="0079527A">
      <w:headerReference w:type="default" r:id="rId6"/>
      <w:footerReference w:type="even" r:id="rId7"/>
      <w:footerReference w:type="default" r:id="rId8"/>
      <w:headerReference w:type="first" r:id="rId9"/>
      <w:footerReference w:type="first" r:id="rId10"/>
      <w:pgSz w:w="11906" w:h="16838" w:code="9"/>
      <w:pgMar w:top="1418" w:right="1701" w:bottom="1418" w:left="1701"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63129" w14:textId="77777777" w:rsidR="007155A6" w:rsidRDefault="007155A6">
      <w:r>
        <w:separator/>
      </w:r>
    </w:p>
  </w:endnote>
  <w:endnote w:type="continuationSeparator" w:id="0">
    <w:p w14:paraId="2CB696AF" w14:textId="77777777" w:rsidR="007155A6" w:rsidRDefault="00715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3F22F" w14:textId="77777777" w:rsidR="00F40F74" w:rsidRDefault="00F40F74">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70EEC372" w14:textId="77777777" w:rsidR="00F40F74" w:rsidRDefault="00F40F7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87B67" w14:textId="77777777" w:rsidR="00F40F74" w:rsidRDefault="00F40F74">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p w14:paraId="26C30705" w14:textId="77777777" w:rsidR="00F40F74" w:rsidRDefault="00F40F74">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0E9C" w14:textId="77777777" w:rsidR="00F40F74" w:rsidRDefault="00F40F74">
    <w:pPr>
      <w:pStyle w:val="Piedepgina"/>
      <w:jc w:val="right"/>
    </w:pPr>
    <w:r>
      <w:rPr>
        <w:rStyle w:val="Nmerodepgina"/>
        <w:rFonts w:eastAsiaTheme="majorEastAsia"/>
      </w:rPr>
      <w:fldChar w:fldCharType="begin"/>
    </w:r>
    <w:r>
      <w:rPr>
        <w:rStyle w:val="Nmerodepgina"/>
        <w:rFonts w:eastAsiaTheme="majorEastAsia"/>
      </w:rPr>
      <w:instrText xml:space="preserve"> PAGE </w:instrText>
    </w:r>
    <w:r>
      <w:rPr>
        <w:rStyle w:val="Nmerodepgina"/>
        <w:rFonts w:eastAsiaTheme="majorEastAsia"/>
      </w:rPr>
      <w:fldChar w:fldCharType="separate"/>
    </w:r>
    <w:r>
      <w:rPr>
        <w:rStyle w:val="Nmerodepgina"/>
        <w:rFonts w:eastAsiaTheme="majorEastAsia"/>
        <w:noProof/>
      </w:rPr>
      <w:t>1</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3DFB9" w14:textId="77777777" w:rsidR="007155A6" w:rsidRDefault="007155A6">
      <w:r>
        <w:separator/>
      </w:r>
    </w:p>
  </w:footnote>
  <w:footnote w:type="continuationSeparator" w:id="0">
    <w:p w14:paraId="1FEE8F92" w14:textId="77777777" w:rsidR="007155A6" w:rsidRDefault="00715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A14FE" w14:paraId="7ECDDD65" w14:textId="77777777">
      <w:trPr>
        <w:cantSplit/>
        <w:trHeight w:val="338"/>
      </w:trPr>
      <w:tc>
        <w:tcPr>
          <w:tcW w:w="3856" w:type="dxa"/>
        </w:tcPr>
        <w:p w14:paraId="2E093473" w14:textId="77777777" w:rsidR="00F40F74" w:rsidRDefault="00F40F74">
          <w:pPr>
            <w:pStyle w:val="Encabezado"/>
          </w:pPr>
        </w:p>
      </w:tc>
      <w:tc>
        <w:tcPr>
          <w:tcW w:w="1361" w:type="dxa"/>
          <w:vMerge w:val="restart"/>
        </w:tcPr>
        <w:p w14:paraId="322DDE92" w14:textId="4AD3836C" w:rsidR="00F40F74" w:rsidRDefault="0079527A">
          <w:pPr>
            <w:pStyle w:val="Encabezado"/>
            <w:jc w:val="center"/>
          </w:pPr>
          <w:r>
            <w:rPr>
              <w:noProof/>
            </w:rPr>
            <w:drawing>
              <wp:inline distT="0" distB="0" distL="0" distR="0" wp14:anchorId="655F9970" wp14:editId="0440F3BE">
                <wp:extent cx="457200" cy="457200"/>
                <wp:effectExtent l="0" t="0" r="0" b="0"/>
                <wp:docPr id="10607106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3856" w:type="dxa"/>
        </w:tcPr>
        <w:p w14:paraId="24C042C2" w14:textId="77777777" w:rsidR="00F40F74" w:rsidRDefault="00F40F74">
          <w:pPr>
            <w:pStyle w:val="Encabezado"/>
          </w:pPr>
        </w:p>
      </w:tc>
    </w:tr>
    <w:tr w:rsidR="000A14FE" w14:paraId="623A3ACE" w14:textId="77777777">
      <w:trPr>
        <w:cantSplit/>
        <w:trHeight w:val="337"/>
      </w:trPr>
      <w:tc>
        <w:tcPr>
          <w:tcW w:w="3856" w:type="dxa"/>
        </w:tcPr>
        <w:p w14:paraId="3AB3727D" w14:textId="77777777" w:rsidR="00F40F74" w:rsidRDefault="00F40F74">
          <w:pPr>
            <w:pStyle w:val="Encabezado"/>
          </w:pPr>
        </w:p>
      </w:tc>
      <w:tc>
        <w:tcPr>
          <w:tcW w:w="1361" w:type="dxa"/>
          <w:vMerge/>
        </w:tcPr>
        <w:p w14:paraId="113BF690" w14:textId="77777777" w:rsidR="00F40F74" w:rsidRDefault="00F40F74">
          <w:pPr>
            <w:pStyle w:val="Encabezado"/>
            <w:jc w:val="center"/>
          </w:pPr>
        </w:p>
      </w:tc>
      <w:tc>
        <w:tcPr>
          <w:tcW w:w="3856" w:type="dxa"/>
        </w:tcPr>
        <w:p w14:paraId="446E9AEC" w14:textId="77777777" w:rsidR="00F40F74" w:rsidRDefault="00F40F74">
          <w:pPr>
            <w:pStyle w:val="Encabezado"/>
          </w:pPr>
        </w:p>
      </w:tc>
    </w:tr>
  </w:tbl>
  <w:p w14:paraId="6EEEE054" w14:textId="77777777" w:rsidR="00F40F74" w:rsidRDefault="00F40F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0A14FE" w14:paraId="13F5421F" w14:textId="77777777">
      <w:tc>
        <w:tcPr>
          <w:tcW w:w="4890" w:type="dxa"/>
        </w:tcPr>
        <w:p w14:paraId="159FAF28" w14:textId="47789439" w:rsidR="00F40F74" w:rsidRDefault="0079527A">
          <w:pPr>
            <w:pStyle w:val="Encabezado"/>
            <w:spacing w:after="720"/>
            <w:ind w:left="74" w:right="360"/>
            <w:rPr>
              <w:noProof/>
              <w:sz w:val="16"/>
            </w:rPr>
          </w:pPr>
          <w:r>
            <w:rPr>
              <w:noProof/>
              <w:sz w:val="20"/>
            </w:rPr>
            <w:drawing>
              <wp:inline distT="0" distB="0" distL="0" distR="0" wp14:anchorId="1F8E380E" wp14:editId="3214150E">
                <wp:extent cx="2105025" cy="733425"/>
                <wp:effectExtent l="0" t="0" r="9525" b="9525"/>
                <wp:docPr id="79872095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733425"/>
                        </a:xfrm>
                        <a:prstGeom prst="rect">
                          <a:avLst/>
                        </a:prstGeom>
                        <a:noFill/>
                        <a:ln>
                          <a:noFill/>
                        </a:ln>
                      </pic:spPr>
                    </pic:pic>
                  </a:graphicData>
                </a:graphic>
              </wp:inline>
            </w:drawing>
          </w:r>
        </w:p>
        <w:p w14:paraId="2A0F5CD6" w14:textId="77777777" w:rsidR="00F40F74" w:rsidRDefault="00F40F74">
          <w:pPr>
            <w:pStyle w:val="Encabezado"/>
            <w:ind w:left="1064"/>
            <w:rPr>
              <w:noProof/>
              <w:sz w:val="16"/>
            </w:rPr>
          </w:pPr>
        </w:p>
      </w:tc>
      <w:tc>
        <w:tcPr>
          <w:tcW w:w="4961" w:type="dxa"/>
        </w:tcPr>
        <w:p w14:paraId="2A694646" w14:textId="77777777" w:rsidR="00F40F74" w:rsidRDefault="00F40F74">
          <w:pPr>
            <w:pStyle w:val="Encabezado"/>
            <w:spacing w:after="40" w:line="240" w:lineRule="exact"/>
            <w:ind w:left="-68"/>
            <w:rPr>
              <w:b/>
              <w:noProof/>
              <w:sz w:val="18"/>
            </w:rPr>
          </w:pPr>
        </w:p>
        <w:p w14:paraId="23B9BEAD" w14:textId="77777777" w:rsidR="00F40F74" w:rsidRDefault="00F40F74">
          <w:pPr>
            <w:pStyle w:val="Encabezado"/>
            <w:spacing w:after="40" w:line="240" w:lineRule="exact"/>
            <w:ind w:left="-68"/>
            <w:rPr>
              <w:b/>
              <w:noProof/>
              <w:sz w:val="18"/>
            </w:rPr>
          </w:pPr>
        </w:p>
        <w:p w14:paraId="27D4C51F" w14:textId="77777777" w:rsidR="00F40F74" w:rsidRDefault="00F40F74">
          <w:pPr>
            <w:pStyle w:val="Encabezado"/>
            <w:spacing w:after="40" w:line="240" w:lineRule="exact"/>
            <w:ind w:left="-68"/>
            <w:rPr>
              <w:b/>
              <w:noProof/>
              <w:sz w:val="18"/>
            </w:rPr>
          </w:pPr>
          <w:r>
            <w:rPr>
              <w:b/>
              <w:noProof/>
              <w:sz w:val="18"/>
            </w:rPr>
            <w:t>Diputatu Nagusiaren Saila</w:t>
          </w:r>
        </w:p>
        <w:p w14:paraId="289AFAAC" w14:textId="77777777" w:rsidR="00F40F74" w:rsidRDefault="00F40F74">
          <w:pPr>
            <w:pStyle w:val="Encabezado"/>
            <w:spacing w:after="240" w:line="240" w:lineRule="exact"/>
            <w:ind w:left="-68"/>
            <w:rPr>
              <w:b/>
              <w:noProof/>
              <w:sz w:val="18"/>
            </w:rPr>
          </w:pPr>
          <w:r>
            <w:rPr>
              <w:b/>
              <w:noProof/>
              <w:sz w:val="18"/>
            </w:rPr>
            <w:t>Departamento del Diputado General</w:t>
          </w:r>
        </w:p>
        <w:p w14:paraId="5C8F6C1A" w14:textId="77777777" w:rsidR="00F40F74" w:rsidRDefault="00F40F74">
          <w:pPr>
            <w:pStyle w:val="Encabezado"/>
            <w:spacing w:after="60" w:line="190" w:lineRule="exact"/>
            <w:ind w:left="-70"/>
            <w:rPr>
              <w:noProof/>
              <w:sz w:val="18"/>
            </w:rPr>
          </w:pPr>
          <w:r>
            <w:rPr>
              <w:b/>
              <w:noProof/>
              <w:sz w:val="18"/>
            </w:rPr>
            <w:t>Kontratu Errekurtsoen Foru Organo Administriboa</w:t>
          </w:r>
        </w:p>
        <w:p w14:paraId="05331690" w14:textId="77777777" w:rsidR="00F40F74" w:rsidRDefault="00F40F74">
          <w:pPr>
            <w:pStyle w:val="Encabezado"/>
            <w:spacing w:after="60" w:line="190" w:lineRule="exact"/>
            <w:ind w:left="-70"/>
            <w:rPr>
              <w:b/>
              <w:noProof/>
              <w:sz w:val="18"/>
            </w:rPr>
          </w:pPr>
          <w:r>
            <w:rPr>
              <w:b/>
              <w:noProof/>
              <w:sz w:val="18"/>
            </w:rPr>
            <w:t xml:space="preserve">Organo Administrativo Foral de Recursos Contractuales </w:t>
          </w:r>
        </w:p>
      </w:tc>
    </w:tr>
  </w:tbl>
  <w:p w14:paraId="42F64E64" w14:textId="77777777" w:rsidR="00F40F74" w:rsidRDefault="00F40F7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7A"/>
    <w:rsid w:val="00021AC9"/>
    <w:rsid w:val="000575E4"/>
    <w:rsid w:val="000F5056"/>
    <w:rsid w:val="00105AB3"/>
    <w:rsid w:val="00156586"/>
    <w:rsid w:val="001C756E"/>
    <w:rsid w:val="002211F6"/>
    <w:rsid w:val="002B153A"/>
    <w:rsid w:val="00342631"/>
    <w:rsid w:val="00355A76"/>
    <w:rsid w:val="00417917"/>
    <w:rsid w:val="004C40FB"/>
    <w:rsid w:val="004E4F0F"/>
    <w:rsid w:val="004F2528"/>
    <w:rsid w:val="00570E3B"/>
    <w:rsid w:val="005E3AEF"/>
    <w:rsid w:val="006604E2"/>
    <w:rsid w:val="00670C6D"/>
    <w:rsid w:val="006B06E8"/>
    <w:rsid w:val="006E6AD1"/>
    <w:rsid w:val="00707778"/>
    <w:rsid w:val="007155A6"/>
    <w:rsid w:val="00721031"/>
    <w:rsid w:val="0079527A"/>
    <w:rsid w:val="008941E0"/>
    <w:rsid w:val="009712F3"/>
    <w:rsid w:val="009C4D25"/>
    <w:rsid w:val="009F4109"/>
    <w:rsid w:val="00B06AF9"/>
    <w:rsid w:val="00B6020F"/>
    <w:rsid w:val="00C21A8F"/>
    <w:rsid w:val="00D670A8"/>
    <w:rsid w:val="00DF042E"/>
    <w:rsid w:val="00E351E3"/>
    <w:rsid w:val="00EE4D58"/>
    <w:rsid w:val="00F40F74"/>
    <w:rsid w:val="00F95D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85CD4"/>
  <w15:chartTrackingRefBased/>
  <w15:docId w15:val="{2BE6AEFA-07ED-43C8-A682-EC565D83A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27A"/>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79527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79527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79527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nhideWhenUsed/>
    <w:qFormat/>
    <w:rsid w:val="0079527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79527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79527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79527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79527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79527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952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952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952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952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952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952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952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952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9527A"/>
    <w:rPr>
      <w:rFonts w:eastAsiaTheme="majorEastAsia" w:cstheme="majorBidi"/>
      <w:color w:val="272727" w:themeColor="text1" w:themeTint="D8"/>
    </w:rPr>
  </w:style>
  <w:style w:type="paragraph" w:styleId="Ttulo">
    <w:name w:val="Title"/>
    <w:basedOn w:val="Normal"/>
    <w:next w:val="Normal"/>
    <w:link w:val="TtuloCar"/>
    <w:uiPriority w:val="10"/>
    <w:qFormat/>
    <w:rsid w:val="0079527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7952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9527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7952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9527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79527A"/>
    <w:rPr>
      <w:i/>
      <w:iCs/>
      <w:color w:val="404040" w:themeColor="text1" w:themeTint="BF"/>
    </w:rPr>
  </w:style>
  <w:style w:type="paragraph" w:styleId="Prrafodelista">
    <w:name w:val="List Paragraph"/>
    <w:basedOn w:val="Normal"/>
    <w:uiPriority w:val="34"/>
    <w:qFormat/>
    <w:rsid w:val="0079527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79527A"/>
    <w:rPr>
      <w:i/>
      <w:iCs/>
      <w:color w:val="0F4761" w:themeColor="accent1" w:themeShade="BF"/>
    </w:rPr>
  </w:style>
  <w:style w:type="paragraph" w:styleId="Citadestacada">
    <w:name w:val="Intense Quote"/>
    <w:basedOn w:val="Normal"/>
    <w:next w:val="Normal"/>
    <w:link w:val="CitadestacadaCar"/>
    <w:uiPriority w:val="30"/>
    <w:qFormat/>
    <w:rsid w:val="0079527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79527A"/>
    <w:rPr>
      <w:i/>
      <w:iCs/>
      <w:color w:val="0F4761" w:themeColor="accent1" w:themeShade="BF"/>
    </w:rPr>
  </w:style>
  <w:style w:type="character" w:styleId="Referenciaintensa">
    <w:name w:val="Intense Reference"/>
    <w:basedOn w:val="Fuentedeprrafopredeter"/>
    <w:uiPriority w:val="32"/>
    <w:qFormat/>
    <w:rsid w:val="0079527A"/>
    <w:rPr>
      <w:b/>
      <w:bCs/>
      <w:smallCaps/>
      <w:color w:val="0F4761" w:themeColor="accent1" w:themeShade="BF"/>
      <w:spacing w:val="5"/>
    </w:rPr>
  </w:style>
  <w:style w:type="paragraph" w:styleId="Piedepgina">
    <w:name w:val="footer"/>
    <w:basedOn w:val="Normal"/>
    <w:link w:val="PiedepginaCar"/>
    <w:semiHidden/>
    <w:rsid w:val="0079527A"/>
    <w:pPr>
      <w:tabs>
        <w:tab w:val="center" w:pos="4252"/>
        <w:tab w:val="right" w:pos="8504"/>
      </w:tabs>
    </w:pPr>
  </w:style>
  <w:style w:type="character" w:customStyle="1" w:styleId="PiedepginaCar">
    <w:name w:val="Pie de página Car"/>
    <w:basedOn w:val="Fuentedeprrafopredeter"/>
    <w:link w:val="Piedepgina"/>
    <w:semiHidden/>
    <w:rsid w:val="0079527A"/>
    <w:rPr>
      <w:rFonts w:ascii="Times New Roman" w:eastAsia="Times New Roman" w:hAnsi="Times New Roman" w:cs="Times New Roman"/>
      <w:kern w:val="0"/>
      <w:sz w:val="20"/>
      <w:szCs w:val="20"/>
      <w:lang w:eastAsia="es-ES"/>
      <w14:ligatures w14:val="none"/>
    </w:rPr>
  </w:style>
  <w:style w:type="character" w:styleId="Nmerodepgina">
    <w:name w:val="page number"/>
    <w:basedOn w:val="Fuentedeprrafopredeter"/>
    <w:semiHidden/>
    <w:rsid w:val="0079527A"/>
  </w:style>
  <w:style w:type="paragraph" w:styleId="Textoindependiente">
    <w:name w:val="Body Text"/>
    <w:basedOn w:val="Normal"/>
    <w:link w:val="TextoindependienteCar"/>
    <w:semiHidden/>
    <w:rsid w:val="0079527A"/>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79527A"/>
    <w:rPr>
      <w:rFonts w:ascii="Arial" w:eastAsia="Times New Roman" w:hAnsi="Arial" w:cs="Times New Roman"/>
      <w:kern w:val="0"/>
      <w:sz w:val="26"/>
      <w:szCs w:val="20"/>
      <w:lang w:val="es-ES_tradnl" w:eastAsia="es-ES"/>
      <w14:ligatures w14:val="none"/>
    </w:rPr>
  </w:style>
  <w:style w:type="paragraph" w:styleId="Encabezado">
    <w:name w:val="header"/>
    <w:basedOn w:val="Normal"/>
    <w:link w:val="EncabezadoCar"/>
    <w:semiHidden/>
    <w:rsid w:val="0079527A"/>
    <w:pPr>
      <w:tabs>
        <w:tab w:val="center" w:pos="4819"/>
        <w:tab w:val="right" w:pos="9071"/>
      </w:tabs>
    </w:pPr>
    <w:rPr>
      <w:rFonts w:ascii="Arial" w:hAnsi="Arial"/>
      <w:sz w:val="26"/>
      <w:lang w:val="es-ES_tradnl"/>
    </w:rPr>
  </w:style>
  <w:style w:type="character" w:customStyle="1" w:styleId="EncabezadoCar">
    <w:name w:val="Encabezado Car"/>
    <w:basedOn w:val="Fuentedeprrafopredeter"/>
    <w:link w:val="Encabezado"/>
    <w:semiHidden/>
    <w:rsid w:val="0079527A"/>
    <w:rPr>
      <w:rFonts w:ascii="Arial" w:eastAsia="Times New Roman" w:hAnsi="Arial" w:cs="Times New Roman"/>
      <w:kern w:val="0"/>
      <w:sz w:val="26"/>
      <w:szCs w:val="20"/>
      <w:lang w:val="es-ES_tradnl" w:eastAsia="es-ES"/>
      <w14:ligatures w14:val="none"/>
    </w:rPr>
  </w:style>
  <w:style w:type="paragraph" w:customStyle="1" w:styleId="CM1">
    <w:name w:val="CM1"/>
    <w:basedOn w:val="Normal"/>
    <w:next w:val="Normal"/>
    <w:uiPriority w:val="99"/>
    <w:rsid w:val="0079527A"/>
    <w:pPr>
      <w:autoSpaceDE w:val="0"/>
      <w:autoSpaceDN w:val="0"/>
      <w:adjustRightInd w:val="0"/>
      <w:spacing w:line="380" w:lineRule="atLeast"/>
    </w:pPr>
    <w:rPr>
      <w:rFonts w:ascii="Arial" w:eastAsiaTheme="minorHAnsi" w:hAnsi="Arial" w:cs="Arial"/>
      <w:sz w:val="24"/>
      <w:szCs w:val="24"/>
      <w:lang w:eastAsia="en-US"/>
    </w:rPr>
  </w:style>
  <w:style w:type="paragraph" w:customStyle="1" w:styleId="Default">
    <w:name w:val="Default"/>
    <w:rsid w:val="0079527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716</Words>
  <Characters>4049</Characters>
  <Application>Microsoft Office Word</Application>
  <DocSecurity>0</DocSecurity>
  <Lines>75</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4</cp:revision>
  <cp:lastPrinted>2025-11-03T08:26:00Z</cp:lastPrinted>
  <dcterms:created xsi:type="dcterms:W3CDTF">2025-11-03T08:26:00Z</dcterms:created>
  <dcterms:modified xsi:type="dcterms:W3CDTF">2025-11-03T08:26:00Z</dcterms:modified>
</cp:coreProperties>
</file>