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B58F3" w:rsidRPr="00C93983" w14:paraId="3EF67B35" w14:textId="77777777" w:rsidTr="001564A0">
        <w:trPr>
          <w:trHeight w:val="2093"/>
        </w:trPr>
        <w:tc>
          <w:tcPr>
            <w:tcW w:w="4375" w:type="dxa"/>
            <w:hideMark/>
          </w:tcPr>
          <w:p w14:paraId="5FF4579F" w14:textId="736FC802" w:rsidR="006B58F3" w:rsidRPr="00C93983" w:rsidRDefault="006B58F3" w:rsidP="001564A0">
            <w:pPr>
              <w:pStyle w:val="Ttulo1"/>
              <w:spacing w:before="120" w:after="120"/>
              <w:jc w:val="both"/>
              <w:rPr>
                <w:rFonts w:ascii="Times New Roman" w:hAnsi="Times New Roman" w:cs="Times New Roman"/>
                <w:b/>
                <w:color w:val="auto"/>
                <w:sz w:val="22"/>
              </w:rPr>
            </w:pPr>
            <w:proofErr w:type="spellStart"/>
            <w:r w:rsidRPr="00C93983">
              <w:rPr>
                <w:rFonts w:ascii="Times New Roman" w:hAnsi="Times New Roman" w:cs="Times New Roman"/>
                <w:color w:val="auto"/>
                <w:sz w:val="22"/>
              </w:rPr>
              <w:t>Erref</w:t>
            </w:r>
            <w:proofErr w:type="spellEnd"/>
            <w:r w:rsidRPr="00C93983">
              <w:rPr>
                <w:rFonts w:ascii="Times New Roman" w:hAnsi="Times New Roman" w:cs="Times New Roman"/>
                <w:color w:val="auto"/>
                <w:sz w:val="22"/>
              </w:rPr>
              <w:t xml:space="preserve"> / </w:t>
            </w:r>
            <w:proofErr w:type="spellStart"/>
            <w:r w:rsidRPr="00C93983">
              <w:rPr>
                <w:rFonts w:ascii="Times New Roman" w:hAnsi="Times New Roman" w:cs="Times New Roman"/>
                <w:color w:val="auto"/>
                <w:sz w:val="22"/>
              </w:rPr>
              <w:t>Ref</w:t>
            </w:r>
            <w:proofErr w:type="spellEnd"/>
            <w:r w:rsidRPr="00C93983">
              <w:rPr>
                <w:rFonts w:ascii="Times New Roman" w:hAnsi="Times New Roman" w:cs="Times New Roman"/>
                <w:color w:val="auto"/>
                <w:sz w:val="22"/>
              </w:rPr>
              <w:t>: Recurso Especial de</w:t>
            </w:r>
            <w:r w:rsidR="00284327" w:rsidRPr="00C93983">
              <w:rPr>
                <w:rFonts w:ascii="Times New Roman" w:hAnsi="Times New Roman" w:cs="Times New Roman"/>
                <w:color w:val="auto"/>
                <w:sz w:val="22"/>
              </w:rPr>
              <w:t xml:space="preserve"> </w:t>
            </w:r>
            <w:r w:rsidR="00DC1A55" w:rsidRPr="00C93983">
              <w:rPr>
                <w:rFonts w:ascii="Times New Roman" w:hAnsi="Times New Roman" w:cs="Times New Roman"/>
                <w:color w:val="auto"/>
                <w:sz w:val="22"/>
              </w:rPr>
              <w:t>UTE INGARTEK-TICMOVEO SL</w:t>
            </w:r>
            <w:r w:rsidR="00E47FE8" w:rsidRPr="00C93983">
              <w:rPr>
                <w:rFonts w:ascii="Times New Roman" w:hAnsi="Times New Roman" w:cs="Times New Roman"/>
                <w:color w:val="auto"/>
                <w:sz w:val="22"/>
              </w:rPr>
              <w:t xml:space="preserve">, </w:t>
            </w:r>
            <w:r w:rsidRPr="00C93983">
              <w:rPr>
                <w:rFonts w:ascii="Times New Roman" w:hAnsi="Times New Roman" w:cs="Times New Roman"/>
                <w:color w:val="auto"/>
                <w:sz w:val="22"/>
              </w:rPr>
              <w:t>contra la adjudicación de</w:t>
            </w:r>
            <w:r w:rsidR="0015655B" w:rsidRPr="00C93983">
              <w:rPr>
                <w:rFonts w:ascii="Times New Roman" w:hAnsi="Times New Roman" w:cs="Times New Roman"/>
                <w:color w:val="auto"/>
                <w:sz w:val="22"/>
              </w:rPr>
              <w:t xml:space="preserve">l </w:t>
            </w:r>
            <w:r w:rsidR="00715389" w:rsidRPr="00715389">
              <w:rPr>
                <w:rFonts w:ascii="Times New Roman" w:hAnsi="Times New Roman" w:cs="Times New Roman"/>
                <w:color w:val="auto"/>
                <w:sz w:val="22"/>
              </w:rPr>
              <w:t>lote 3 del expediente de contratación 24-C-27 “Renovación de la plataforma y equipamiento embarcado del transporte regular de ALAVABUS y del transporte comarcal”</w:t>
            </w:r>
            <w:r w:rsidR="0015655B" w:rsidRPr="00C93983">
              <w:rPr>
                <w:rFonts w:ascii="Times New Roman" w:hAnsi="Times New Roman" w:cs="Times New Roman"/>
                <w:color w:val="auto"/>
                <w:sz w:val="22"/>
              </w:rPr>
              <w:t>.</w:t>
            </w:r>
          </w:p>
          <w:p w14:paraId="3BD25C75" w14:textId="79601DA9" w:rsidR="006B58F3" w:rsidRPr="00C93983" w:rsidRDefault="006B58F3" w:rsidP="001564A0">
            <w:pPr>
              <w:pStyle w:val="Ttulo1"/>
              <w:spacing w:before="120" w:after="120" w:line="276" w:lineRule="auto"/>
              <w:rPr>
                <w:rFonts w:ascii="Times New Roman" w:hAnsi="Times New Roman" w:cs="Times New Roman"/>
                <w:b/>
                <w:sz w:val="22"/>
              </w:rPr>
            </w:pPr>
            <w:proofErr w:type="spellStart"/>
            <w:r w:rsidRPr="00C93983">
              <w:rPr>
                <w:rFonts w:ascii="Times New Roman" w:hAnsi="Times New Roman" w:cs="Times New Roman"/>
                <w:color w:val="auto"/>
                <w:sz w:val="22"/>
              </w:rPr>
              <w:t>Esp</w:t>
            </w:r>
            <w:proofErr w:type="spellEnd"/>
            <w:r w:rsidRPr="00C93983">
              <w:rPr>
                <w:rFonts w:ascii="Times New Roman" w:hAnsi="Times New Roman" w:cs="Times New Roman"/>
                <w:color w:val="auto"/>
                <w:sz w:val="22"/>
              </w:rPr>
              <w:t xml:space="preserve"> </w:t>
            </w:r>
            <w:proofErr w:type="spellStart"/>
            <w:r w:rsidRPr="00C93983">
              <w:rPr>
                <w:rFonts w:ascii="Times New Roman" w:hAnsi="Times New Roman" w:cs="Times New Roman"/>
                <w:color w:val="auto"/>
                <w:sz w:val="22"/>
              </w:rPr>
              <w:t>Zenb</w:t>
            </w:r>
            <w:proofErr w:type="spellEnd"/>
            <w:r w:rsidRPr="00C93983">
              <w:rPr>
                <w:rFonts w:ascii="Times New Roman" w:hAnsi="Times New Roman" w:cs="Times New Roman"/>
                <w:color w:val="auto"/>
                <w:sz w:val="22"/>
              </w:rPr>
              <w:t xml:space="preserve"> / </w:t>
            </w:r>
            <w:proofErr w:type="spellStart"/>
            <w:r w:rsidRPr="00C93983">
              <w:rPr>
                <w:rFonts w:ascii="Times New Roman" w:hAnsi="Times New Roman" w:cs="Times New Roman"/>
                <w:color w:val="auto"/>
                <w:sz w:val="22"/>
              </w:rPr>
              <w:t>Nº</w:t>
            </w:r>
            <w:proofErr w:type="spellEnd"/>
            <w:r w:rsidRPr="00C93983">
              <w:rPr>
                <w:rFonts w:ascii="Times New Roman" w:hAnsi="Times New Roman" w:cs="Times New Roman"/>
                <w:color w:val="auto"/>
                <w:sz w:val="22"/>
              </w:rPr>
              <w:t xml:space="preserve"> </w:t>
            </w:r>
            <w:proofErr w:type="spellStart"/>
            <w:r w:rsidRPr="00C93983">
              <w:rPr>
                <w:rFonts w:ascii="Times New Roman" w:hAnsi="Times New Roman" w:cs="Times New Roman"/>
                <w:color w:val="auto"/>
                <w:sz w:val="22"/>
              </w:rPr>
              <w:t>exp</w:t>
            </w:r>
            <w:proofErr w:type="spellEnd"/>
            <w:r w:rsidRPr="00C93983">
              <w:rPr>
                <w:rFonts w:ascii="Times New Roman" w:hAnsi="Times New Roman" w:cs="Times New Roman"/>
                <w:color w:val="000000" w:themeColor="text1"/>
                <w:sz w:val="22"/>
              </w:rPr>
              <w:t>: 202</w:t>
            </w:r>
            <w:r w:rsidR="0015655B" w:rsidRPr="00C93983">
              <w:rPr>
                <w:rFonts w:ascii="Times New Roman" w:hAnsi="Times New Roman" w:cs="Times New Roman"/>
                <w:color w:val="000000" w:themeColor="text1"/>
                <w:sz w:val="22"/>
              </w:rPr>
              <w:t>5</w:t>
            </w:r>
            <w:r w:rsidRPr="00C93983">
              <w:rPr>
                <w:rFonts w:ascii="Times New Roman" w:hAnsi="Times New Roman" w:cs="Times New Roman"/>
                <w:color w:val="000000" w:themeColor="text1"/>
                <w:sz w:val="22"/>
              </w:rPr>
              <w:t>/</w:t>
            </w:r>
            <w:r w:rsidR="000A0768" w:rsidRPr="00C93983">
              <w:rPr>
                <w:rFonts w:ascii="Times New Roman" w:hAnsi="Times New Roman" w:cs="Times New Roman"/>
                <w:color w:val="000000" w:themeColor="text1"/>
                <w:sz w:val="22"/>
              </w:rPr>
              <w:t>13</w:t>
            </w:r>
          </w:p>
        </w:tc>
        <w:tc>
          <w:tcPr>
            <w:tcW w:w="21" w:type="dxa"/>
            <w:hideMark/>
          </w:tcPr>
          <w:p w14:paraId="1031CB59" w14:textId="77777777" w:rsidR="006B58F3" w:rsidRPr="00C93983" w:rsidRDefault="006B58F3" w:rsidP="001564A0">
            <w:pPr>
              <w:spacing w:before="120" w:after="120" w:line="276" w:lineRule="auto"/>
              <w:rPr>
                <w:lang w:eastAsia="en-US"/>
              </w:rPr>
            </w:pPr>
            <w:r w:rsidRPr="00C93983">
              <w:rPr>
                <w:lang w:val="es-ES_tradnl" w:eastAsia="en-US"/>
              </w:rPr>
              <w:t xml:space="preserve"> </w:t>
            </w:r>
          </w:p>
        </w:tc>
        <w:tc>
          <w:tcPr>
            <w:tcW w:w="4679" w:type="dxa"/>
          </w:tcPr>
          <w:p w14:paraId="6152DCD0" w14:textId="77777777" w:rsidR="006B58F3" w:rsidRPr="00C93983" w:rsidRDefault="006B58F3" w:rsidP="001564A0">
            <w:pPr>
              <w:pStyle w:val="Piedepgina"/>
              <w:tabs>
                <w:tab w:val="clear" w:pos="4252"/>
                <w:tab w:val="right" w:pos="4677"/>
              </w:tabs>
              <w:spacing w:before="120" w:after="120" w:line="276" w:lineRule="auto"/>
              <w:rPr>
                <w:b/>
                <w:lang w:eastAsia="en-US"/>
              </w:rPr>
            </w:pPr>
          </w:p>
          <w:p w14:paraId="42EDFC57" w14:textId="77777777" w:rsidR="006B58F3" w:rsidRPr="00C93983" w:rsidRDefault="006B58F3" w:rsidP="001564A0">
            <w:pPr>
              <w:spacing w:line="276" w:lineRule="auto"/>
              <w:jc w:val="center"/>
              <w:rPr>
                <w:b/>
                <w:lang w:eastAsia="en-US"/>
              </w:rPr>
            </w:pPr>
          </w:p>
        </w:tc>
      </w:tr>
    </w:tbl>
    <w:p w14:paraId="10E185C9" w14:textId="704249FA" w:rsidR="006B58F3" w:rsidRPr="00C93983" w:rsidRDefault="006B58F3" w:rsidP="006B58F3">
      <w:pPr>
        <w:spacing w:before="120" w:after="120"/>
        <w:jc w:val="center"/>
        <w:rPr>
          <w:b/>
          <w:sz w:val="24"/>
          <w:szCs w:val="24"/>
          <w:u w:val="single"/>
        </w:rPr>
      </w:pPr>
      <w:r w:rsidRPr="00C93983">
        <w:rPr>
          <w:b/>
          <w:sz w:val="24"/>
          <w:szCs w:val="24"/>
          <w:u w:val="single"/>
        </w:rPr>
        <w:t xml:space="preserve">RESOLUCIÓN </w:t>
      </w:r>
      <w:r w:rsidR="00755CED">
        <w:rPr>
          <w:b/>
          <w:sz w:val="24"/>
          <w:szCs w:val="24"/>
          <w:u w:val="single"/>
        </w:rPr>
        <w:t>28</w:t>
      </w:r>
      <w:r w:rsidRPr="00C93983">
        <w:rPr>
          <w:b/>
          <w:sz w:val="24"/>
          <w:szCs w:val="24"/>
          <w:u w:val="single"/>
        </w:rPr>
        <w:t>/202</w:t>
      </w:r>
      <w:r w:rsidR="0015655B" w:rsidRPr="00C93983">
        <w:rPr>
          <w:b/>
          <w:sz w:val="24"/>
          <w:szCs w:val="24"/>
          <w:u w:val="single"/>
        </w:rPr>
        <w:t>5</w:t>
      </w:r>
    </w:p>
    <w:p w14:paraId="36D62837" w14:textId="77777777" w:rsidR="006B58F3" w:rsidRPr="00C93983" w:rsidRDefault="006B58F3" w:rsidP="006B58F3">
      <w:pPr>
        <w:spacing w:before="120" w:after="120"/>
        <w:jc w:val="center"/>
        <w:rPr>
          <w:b/>
          <w:sz w:val="24"/>
          <w:szCs w:val="24"/>
          <w:u w:val="single"/>
        </w:rPr>
      </w:pPr>
    </w:p>
    <w:p w14:paraId="50D1A8A9" w14:textId="2387EEB8" w:rsidR="006B58F3" w:rsidRPr="00C93983" w:rsidRDefault="006B58F3" w:rsidP="006B58F3">
      <w:pPr>
        <w:spacing w:before="120" w:after="120"/>
        <w:rPr>
          <w:bCs/>
          <w:sz w:val="22"/>
          <w:szCs w:val="22"/>
        </w:rPr>
      </w:pPr>
      <w:r w:rsidRPr="00C93983">
        <w:rPr>
          <w:bCs/>
          <w:sz w:val="22"/>
          <w:szCs w:val="22"/>
        </w:rPr>
        <w:t>En Vitoria-Gasteiz, a</w:t>
      </w:r>
      <w:r w:rsidR="00284327" w:rsidRPr="00C93983">
        <w:rPr>
          <w:bCs/>
          <w:sz w:val="22"/>
          <w:szCs w:val="22"/>
        </w:rPr>
        <w:t xml:space="preserve"> </w:t>
      </w:r>
      <w:r w:rsidR="00755CED">
        <w:rPr>
          <w:bCs/>
          <w:sz w:val="22"/>
          <w:szCs w:val="22"/>
        </w:rPr>
        <w:t>26 de septiembre de 2025.</w:t>
      </w:r>
    </w:p>
    <w:p w14:paraId="16403DB4" w14:textId="77777777" w:rsidR="006B58F3" w:rsidRPr="00C93983" w:rsidRDefault="006B58F3" w:rsidP="006B58F3">
      <w:pPr>
        <w:spacing w:before="120" w:after="120"/>
        <w:rPr>
          <w:bCs/>
          <w:sz w:val="22"/>
          <w:szCs w:val="22"/>
        </w:rPr>
      </w:pPr>
    </w:p>
    <w:p w14:paraId="398BE1DB" w14:textId="592DB36F" w:rsidR="006B58F3" w:rsidRPr="00C93983" w:rsidRDefault="006B58F3" w:rsidP="006B58F3">
      <w:pPr>
        <w:spacing w:before="120" w:after="120"/>
        <w:jc w:val="both"/>
        <w:rPr>
          <w:sz w:val="22"/>
        </w:rPr>
      </w:pPr>
      <w:bookmarkStart w:id="0" w:name="_Hlk161654240"/>
      <w:r w:rsidRPr="00C93983">
        <w:rPr>
          <w:sz w:val="22"/>
        </w:rPr>
        <w:t xml:space="preserve">El Órgano Administrativo Foral de Recursos Contractuales de la Diputación Foral de Álava ha dictado la siguiente RESOLUCIÓN en relación con el Recurso Especial en materia de contratación interpuesto por </w:t>
      </w:r>
      <w:r w:rsidR="00C43916">
        <w:rPr>
          <w:sz w:val="22"/>
        </w:rPr>
        <w:t>XXXXXXXXXXXX</w:t>
      </w:r>
      <w:r w:rsidRPr="00C93983">
        <w:rPr>
          <w:sz w:val="22"/>
        </w:rPr>
        <w:t>, en representación de la</w:t>
      </w:r>
      <w:r w:rsidR="00DC1A55" w:rsidRPr="00C93983">
        <w:rPr>
          <w:sz w:val="22"/>
        </w:rPr>
        <w:t xml:space="preserve"> UTE INGARTEK-TICMOVEO SL</w:t>
      </w:r>
      <w:r w:rsidR="001C3979" w:rsidRPr="00C93983">
        <w:rPr>
          <w:sz w:val="22"/>
        </w:rPr>
        <w:t>.</w:t>
      </w:r>
      <w:r w:rsidRPr="00C93983">
        <w:rPr>
          <w:bCs/>
          <w:sz w:val="22"/>
          <w:lang w:eastAsia="en-US"/>
        </w:rPr>
        <w:t xml:space="preserve">, </w:t>
      </w:r>
      <w:r w:rsidRPr="00C93983">
        <w:rPr>
          <w:sz w:val="22"/>
        </w:rPr>
        <w:t xml:space="preserve">contra </w:t>
      </w:r>
      <w:r w:rsidR="001C3979" w:rsidRPr="00C93983">
        <w:rPr>
          <w:sz w:val="22"/>
        </w:rPr>
        <w:t xml:space="preserve">el Acuerdo </w:t>
      </w:r>
      <w:r w:rsidR="009E3DEC" w:rsidRPr="00C93983">
        <w:rPr>
          <w:sz w:val="22"/>
        </w:rPr>
        <w:t xml:space="preserve">de </w:t>
      </w:r>
      <w:r w:rsidR="001C3979" w:rsidRPr="00C93983">
        <w:rPr>
          <w:sz w:val="22"/>
        </w:rPr>
        <w:t xml:space="preserve">adjudicación </w:t>
      </w:r>
      <w:r w:rsidR="00DC1A55" w:rsidRPr="00C93983">
        <w:rPr>
          <w:sz w:val="22"/>
        </w:rPr>
        <w:t>del lote 3 del expediente de contratación 24-C-27 “Renovación de la plataforma y equipamiento embarcado del transporte regular de ALAVABUS y del transporte comarcal”</w:t>
      </w:r>
      <w:r w:rsidR="003E0E2E" w:rsidRPr="00C93983">
        <w:rPr>
          <w:sz w:val="22"/>
        </w:rPr>
        <w:t>, lote cuyo objeto es “asistencia técnica a la renovación ITS de la DFA”</w:t>
      </w:r>
    </w:p>
    <w:p w14:paraId="466462A1" w14:textId="322478E7" w:rsidR="006B58F3" w:rsidRPr="00C93983" w:rsidRDefault="006B58F3" w:rsidP="006B58F3">
      <w:pPr>
        <w:tabs>
          <w:tab w:val="left" w:pos="3261"/>
        </w:tabs>
        <w:spacing w:after="120" w:line="276" w:lineRule="auto"/>
        <w:jc w:val="both"/>
        <w:rPr>
          <w:sz w:val="22"/>
        </w:rPr>
      </w:pPr>
      <w:r w:rsidRPr="00C93983">
        <w:rPr>
          <w:sz w:val="22"/>
        </w:rPr>
        <w:t>Son partes en dicho recurso: como RECURRENTE,</w:t>
      </w:r>
      <w:r w:rsidR="00E47FE8" w:rsidRPr="00C93983">
        <w:rPr>
          <w:sz w:val="22"/>
        </w:rPr>
        <w:t xml:space="preserve"> </w:t>
      </w:r>
      <w:r w:rsidR="00DC1A55" w:rsidRPr="00C93983">
        <w:rPr>
          <w:sz w:val="22"/>
        </w:rPr>
        <w:t xml:space="preserve">UTE INGARTEK-TICMOVEO SL </w:t>
      </w:r>
      <w:r w:rsidRPr="00C93983">
        <w:rPr>
          <w:sz w:val="22"/>
        </w:rPr>
        <w:t>y, como DEMANDADA</w:t>
      </w:r>
      <w:r w:rsidR="00981F92" w:rsidRPr="00C93983">
        <w:rPr>
          <w:sz w:val="22"/>
        </w:rPr>
        <w:t>,</w:t>
      </w:r>
      <w:r w:rsidRPr="00C93983">
        <w:rPr>
          <w:sz w:val="22"/>
        </w:rPr>
        <w:t xml:space="preserve"> </w:t>
      </w:r>
      <w:r w:rsidR="00981F92" w:rsidRPr="00C93983">
        <w:rPr>
          <w:sz w:val="22"/>
        </w:rPr>
        <w:t>la</w:t>
      </w:r>
      <w:r w:rsidR="00E47FE8" w:rsidRPr="00C93983">
        <w:rPr>
          <w:sz w:val="22"/>
        </w:rPr>
        <w:t xml:space="preserve"> DIPUTACIÓN FORAL DE ALAVA</w:t>
      </w:r>
      <w:r w:rsidR="001C3979" w:rsidRPr="00C93983">
        <w:rPr>
          <w:sz w:val="22"/>
        </w:rPr>
        <w:t>.</w:t>
      </w:r>
    </w:p>
    <w:p w14:paraId="14288CB0" w14:textId="77777777" w:rsidR="006B58F3" w:rsidRPr="00C93983" w:rsidRDefault="006B58F3" w:rsidP="006B58F3">
      <w:pPr>
        <w:tabs>
          <w:tab w:val="left" w:pos="3261"/>
        </w:tabs>
        <w:spacing w:after="120"/>
        <w:jc w:val="both"/>
        <w:rPr>
          <w:sz w:val="22"/>
        </w:rPr>
      </w:pPr>
      <w:r w:rsidRPr="00C93983">
        <w:rPr>
          <w:sz w:val="22"/>
        </w:rPr>
        <w:t>Visto el recurso especial interpuesto, este Órgano efectúa las siguientes consideraciones:</w:t>
      </w:r>
    </w:p>
    <w:p w14:paraId="72A9F960" w14:textId="77777777" w:rsidR="006B58F3" w:rsidRPr="00C93983" w:rsidRDefault="006B58F3" w:rsidP="006B58F3">
      <w:pPr>
        <w:spacing w:after="120"/>
        <w:jc w:val="center"/>
        <w:rPr>
          <w:b/>
          <w:sz w:val="22"/>
        </w:rPr>
      </w:pPr>
    </w:p>
    <w:p w14:paraId="7DD0D5FA" w14:textId="77777777" w:rsidR="006B58F3" w:rsidRPr="00C93983" w:rsidRDefault="006B58F3" w:rsidP="006B58F3">
      <w:pPr>
        <w:spacing w:after="120"/>
        <w:jc w:val="center"/>
        <w:rPr>
          <w:b/>
          <w:sz w:val="22"/>
        </w:rPr>
      </w:pPr>
      <w:r w:rsidRPr="00C93983">
        <w:rPr>
          <w:b/>
          <w:sz w:val="22"/>
        </w:rPr>
        <w:t>ANTECEDENTES DE HECHO</w:t>
      </w:r>
    </w:p>
    <w:p w14:paraId="4FADCCA2" w14:textId="77777777" w:rsidR="006B58F3" w:rsidRPr="00C93983" w:rsidRDefault="006B58F3" w:rsidP="006B58F3">
      <w:pPr>
        <w:pStyle w:val="Estilo1"/>
        <w:tabs>
          <w:tab w:val="left" w:pos="567"/>
        </w:tabs>
        <w:ind w:firstLine="0"/>
        <w:rPr>
          <w:b/>
          <w:sz w:val="22"/>
          <w:szCs w:val="22"/>
          <w:lang w:val="es-ES"/>
        </w:rPr>
      </w:pPr>
    </w:p>
    <w:p w14:paraId="59904395" w14:textId="30504408" w:rsidR="006B58F3" w:rsidRPr="00C93983" w:rsidRDefault="006B58F3" w:rsidP="006B58F3">
      <w:pPr>
        <w:spacing w:before="120" w:after="120"/>
        <w:jc w:val="both"/>
        <w:rPr>
          <w:sz w:val="22"/>
        </w:rPr>
      </w:pPr>
      <w:r w:rsidRPr="00C93983">
        <w:rPr>
          <w:b/>
          <w:sz w:val="22"/>
          <w:szCs w:val="22"/>
        </w:rPr>
        <w:t>1º.</w:t>
      </w:r>
      <w:r w:rsidR="001C3979" w:rsidRPr="00C93983">
        <w:rPr>
          <w:sz w:val="22"/>
        </w:rPr>
        <w:t xml:space="preserve"> Con fecha </w:t>
      </w:r>
      <w:r w:rsidR="00050449" w:rsidRPr="00C93983">
        <w:rPr>
          <w:sz w:val="22"/>
        </w:rPr>
        <w:t>23 de diciembre de 2024</w:t>
      </w:r>
      <w:r w:rsidR="001C3979" w:rsidRPr="00C93983">
        <w:rPr>
          <w:sz w:val="22"/>
        </w:rPr>
        <w:t xml:space="preserve"> el Consejo </w:t>
      </w:r>
      <w:r w:rsidR="00E47FE8" w:rsidRPr="00C93983">
        <w:rPr>
          <w:sz w:val="22"/>
        </w:rPr>
        <w:t>de Gobierno Foral de la DFA</w:t>
      </w:r>
      <w:r w:rsidR="001C3979" w:rsidRPr="00C93983">
        <w:rPr>
          <w:sz w:val="22"/>
          <w:szCs w:val="22"/>
        </w:rPr>
        <w:t xml:space="preserve"> aprueba </w:t>
      </w:r>
      <w:r w:rsidRPr="00C93983">
        <w:rPr>
          <w:sz w:val="22"/>
          <w:szCs w:val="22"/>
        </w:rPr>
        <w:t xml:space="preserve">el procedimiento de licitación para </w:t>
      </w:r>
      <w:r w:rsidR="00FC5B43" w:rsidRPr="00C93983">
        <w:rPr>
          <w:sz w:val="22"/>
          <w:szCs w:val="22"/>
        </w:rPr>
        <w:t xml:space="preserve">la contratación del </w:t>
      </w:r>
      <w:r w:rsidR="003E0E2E" w:rsidRPr="00C93983">
        <w:rPr>
          <w:sz w:val="22"/>
          <w:szCs w:val="22"/>
        </w:rPr>
        <w:t xml:space="preserve">expediente </w:t>
      </w:r>
      <w:r w:rsidR="003E0E2E" w:rsidRPr="00C93983">
        <w:rPr>
          <w:sz w:val="22"/>
        </w:rPr>
        <w:t xml:space="preserve">24-C-27: “Renovación de la plataforma y equipamiento embarcado del transporte regular de ALAVABUS y del transporte comarcal”, </w:t>
      </w:r>
      <w:r w:rsidR="00050449" w:rsidRPr="00C93983">
        <w:rPr>
          <w:sz w:val="22"/>
        </w:rPr>
        <w:t xml:space="preserve">lotes 1, 2 y 3, </w:t>
      </w:r>
      <w:r w:rsidRPr="00C93983">
        <w:rPr>
          <w:bCs/>
          <w:sz w:val="22"/>
          <w:lang w:eastAsia="en-US"/>
        </w:rPr>
        <w:t>con un valor estimado</w:t>
      </w:r>
      <w:r w:rsidR="00E47FE8" w:rsidRPr="00C93983">
        <w:rPr>
          <w:bCs/>
          <w:sz w:val="22"/>
          <w:lang w:eastAsia="en-US"/>
        </w:rPr>
        <w:t xml:space="preserve"> total</w:t>
      </w:r>
      <w:r w:rsidRPr="00C93983">
        <w:rPr>
          <w:bCs/>
          <w:sz w:val="22"/>
          <w:lang w:eastAsia="en-US"/>
        </w:rPr>
        <w:t xml:space="preserve"> </w:t>
      </w:r>
      <w:r w:rsidR="00FC5B43" w:rsidRPr="00C93983">
        <w:rPr>
          <w:bCs/>
          <w:sz w:val="22"/>
          <w:lang w:eastAsia="en-US"/>
        </w:rPr>
        <w:t xml:space="preserve">de </w:t>
      </w:r>
      <w:r w:rsidR="00050449" w:rsidRPr="00C93983">
        <w:rPr>
          <w:bCs/>
          <w:sz w:val="22"/>
          <w:lang w:eastAsia="en-US"/>
        </w:rPr>
        <w:t>3.059.454,55</w:t>
      </w:r>
      <w:r w:rsidR="00FC5B43" w:rsidRPr="00C93983">
        <w:rPr>
          <w:bCs/>
          <w:sz w:val="22"/>
          <w:lang w:eastAsia="en-US"/>
        </w:rPr>
        <w:t xml:space="preserve"> euros</w:t>
      </w:r>
      <w:r w:rsidRPr="00C93983">
        <w:rPr>
          <w:bCs/>
          <w:sz w:val="22"/>
          <w:lang w:eastAsia="en-US"/>
        </w:rPr>
        <w:t>, IVA excluido</w:t>
      </w:r>
      <w:r w:rsidRPr="00C93983">
        <w:rPr>
          <w:sz w:val="22"/>
        </w:rPr>
        <w:t>.</w:t>
      </w:r>
      <w:r w:rsidR="00E72B32" w:rsidRPr="00C93983">
        <w:rPr>
          <w:sz w:val="22"/>
        </w:rPr>
        <w:t xml:space="preserve"> En el caso del lote 3, el presupuesto ascendía a 328.884,17 € más IVA.</w:t>
      </w:r>
    </w:p>
    <w:p w14:paraId="0E7D9814" w14:textId="1CBB3872" w:rsidR="006B58F3" w:rsidRPr="00C93983" w:rsidRDefault="006B58F3" w:rsidP="006B58F3">
      <w:pPr>
        <w:pStyle w:val="Estilo1"/>
        <w:tabs>
          <w:tab w:val="left" w:pos="567"/>
        </w:tabs>
        <w:ind w:firstLine="0"/>
        <w:rPr>
          <w:sz w:val="22"/>
          <w:szCs w:val="22"/>
          <w:lang w:val="es-ES"/>
        </w:rPr>
      </w:pPr>
      <w:bookmarkStart w:id="1" w:name="_Hlk69195781"/>
      <w:r w:rsidRPr="00C93983">
        <w:rPr>
          <w:b/>
          <w:sz w:val="22"/>
          <w:szCs w:val="22"/>
          <w:lang w:val="es-ES"/>
        </w:rPr>
        <w:t>2º.</w:t>
      </w:r>
      <w:r w:rsidRPr="00C93983">
        <w:rPr>
          <w:sz w:val="22"/>
          <w:szCs w:val="22"/>
          <w:lang w:val="es-ES"/>
        </w:rPr>
        <w:t xml:space="preserve"> Por </w:t>
      </w:r>
      <w:r w:rsidR="00FC5B43" w:rsidRPr="00C93983">
        <w:rPr>
          <w:sz w:val="22"/>
          <w:szCs w:val="22"/>
          <w:lang w:val="es-ES"/>
        </w:rPr>
        <w:t xml:space="preserve">Acuerdo del </w:t>
      </w:r>
      <w:r w:rsidR="00FC5B43" w:rsidRPr="00C93983">
        <w:rPr>
          <w:sz w:val="22"/>
        </w:rPr>
        <w:t xml:space="preserve">Consejo </w:t>
      </w:r>
      <w:r w:rsidR="00E47FE8" w:rsidRPr="00C93983">
        <w:rPr>
          <w:sz w:val="22"/>
        </w:rPr>
        <w:t>de Gobierno Foral de la DFA</w:t>
      </w:r>
      <w:r w:rsidR="00050449" w:rsidRPr="00C93983">
        <w:rPr>
          <w:sz w:val="22"/>
        </w:rPr>
        <w:t xml:space="preserve"> 353/2025</w:t>
      </w:r>
      <w:r w:rsidR="009E3DEC" w:rsidRPr="00C93983">
        <w:rPr>
          <w:sz w:val="22"/>
        </w:rPr>
        <w:t xml:space="preserve">, de </w:t>
      </w:r>
      <w:r w:rsidR="00050449" w:rsidRPr="00C93983">
        <w:rPr>
          <w:sz w:val="22"/>
        </w:rPr>
        <w:t>17 de junio</w:t>
      </w:r>
      <w:r w:rsidR="009E3DEC" w:rsidRPr="00C93983">
        <w:rPr>
          <w:sz w:val="22"/>
        </w:rPr>
        <w:t>,</w:t>
      </w:r>
      <w:r w:rsidR="00FC5B43" w:rsidRPr="00C93983">
        <w:rPr>
          <w:sz w:val="22"/>
          <w:szCs w:val="22"/>
        </w:rPr>
        <w:t xml:space="preserve"> </w:t>
      </w:r>
      <w:r w:rsidRPr="00C93983">
        <w:rPr>
          <w:sz w:val="22"/>
          <w:szCs w:val="22"/>
          <w:lang w:val="es-ES"/>
        </w:rPr>
        <w:t xml:space="preserve">se adjudica </w:t>
      </w:r>
      <w:r w:rsidR="00050449" w:rsidRPr="00C93983">
        <w:rPr>
          <w:sz w:val="22"/>
          <w:szCs w:val="22"/>
          <w:lang w:val="es-ES"/>
        </w:rPr>
        <w:t>el lote 3 “servicio de asistencia técnica a la renovación ITS de la DFA” a TEKIA INGENIEROS, SA. El Acuerdo se publica en el perfil del contratante el mismo 17 de junio de 2025.</w:t>
      </w:r>
    </w:p>
    <w:bookmarkEnd w:id="1"/>
    <w:p w14:paraId="0EC1528E" w14:textId="72160B75" w:rsidR="00861F2B" w:rsidRPr="00C93983" w:rsidRDefault="006B58F3" w:rsidP="00861F2B">
      <w:pPr>
        <w:jc w:val="both"/>
        <w:rPr>
          <w:sz w:val="22"/>
          <w:szCs w:val="22"/>
        </w:rPr>
      </w:pPr>
      <w:r w:rsidRPr="00C93983">
        <w:rPr>
          <w:b/>
          <w:sz w:val="22"/>
          <w:szCs w:val="22"/>
        </w:rPr>
        <w:t xml:space="preserve">3º. </w:t>
      </w:r>
      <w:r w:rsidRPr="00C93983">
        <w:rPr>
          <w:sz w:val="22"/>
          <w:szCs w:val="22"/>
        </w:rPr>
        <w:t xml:space="preserve">El </w:t>
      </w:r>
      <w:r w:rsidR="00115CA3" w:rsidRPr="00C93983">
        <w:rPr>
          <w:sz w:val="22"/>
          <w:szCs w:val="22"/>
        </w:rPr>
        <w:t>8 de julio de 2025</w:t>
      </w:r>
      <w:r w:rsidR="009E3DEC" w:rsidRPr="00C93983">
        <w:rPr>
          <w:sz w:val="22"/>
          <w:szCs w:val="22"/>
        </w:rPr>
        <w:t xml:space="preserve"> tiene</w:t>
      </w:r>
      <w:r w:rsidRPr="00C93983">
        <w:rPr>
          <w:sz w:val="22"/>
          <w:szCs w:val="22"/>
        </w:rPr>
        <w:t xml:space="preserve"> entrada en </w:t>
      </w:r>
      <w:r w:rsidR="00E47FE8" w:rsidRPr="00C93983">
        <w:rPr>
          <w:sz w:val="22"/>
          <w:szCs w:val="22"/>
        </w:rPr>
        <w:t>el Registro Electrónico Común el</w:t>
      </w:r>
      <w:r w:rsidRPr="00C93983">
        <w:rPr>
          <w:sz w:val="22"/>
          <w:szCs w:val="22"/>
        </w:rPr>
        <w:t xml:space="preserve"> escrito de interposición de recurso especial en materia de contratación presentado por </w:t>
      </w:r>
      <w:r w:rsidR="00E47FE8" w:rsidRPr="00C93983">
        <w:rPr>
          <w:sz w:val="22"/>
          <w:szCs w:val="22"/>
        </w:rPr>
        <w:t xml:space="preserve">la mercantil </w:t>
      </w:r>
      <w:r w:rsidR="00DC1A55" w:rsidRPr="00C93983">
        <w:rPr>
          <w:sz w:val="22"/>
          <w:szCs w:val="22"/>
        </w:rPr>
        <w:t>UTE INGARTEK-TICMOVEO SL</w:t>
      </w:r>
      <w:r w:rsidR="00CA61B5" w:rsidRPr="00C93983">
        <w:rPr>
          <w:sz w:val="22"/>
          <w:szCs w:val="22"/>
        </w:rPr>
        <w:t>,</w:t>
      </w:r>
      <w:r w:rsidR="00E47FE8" w:rsidRPr="00C93983">
        <w:rPr>
          <w:sz w:val="22"/>
          <w:szCs w:val="22"/>
        </w:rPr>
        <w:t xml:space="preserve"> e</w:t>
      </w:r>
      <w:r w:rsidRPr="00C93983">
        <w:rPr>
          <w:sz w:val="22"/>
          <w:szCs w:val="22"/>
        </w:rPr>
        <w:t>n impugnación del acto de adjudicación.</w:t>
      </w:r>
      <w:r w:rsidR="00CA61B5" w:rsidRPr="00C93983">
        <w:rPr>
          <w:sz w:val="22"/>
          <w:szCs w:val="22"/>
        </w:rPr>
        <w:t xml:space="preserve"> En el suplico del recurso, </w:t>
      </w:r>
      <w:r w:rsidR="00861F2B" w:rsidRPr="00C93983">
        <w:rPr>
          <w:sz w:val="22"/>
          <w:szCs w:val="22"/>
        </w:rPr>
        <w:t xml:space="preserve">la </w:t>
      </w:r>
      <w:r w:rsidR="003F0601" w:rsidRPr="00C93983">
        <w:rPr>
          <w:sz w:val="22"/>
          <w:szCs w:val="22"/>
        </w:rPr>
        <w:t>recurrente solicita</w:t>
      </w:r>
      <w:r w:rsidR="00861F2B" w:rsidRPr="00C93983">
        <w:rPr>
          <w:sz w:val="22"/>
          <w:szCs w:val="22"/>
        </w:rPr>
        <w:t xml:space="preserve"> la nulidad de la resolución de adjudicación del Lote 3, así como el mantenimiento de la suspensión cautelar automática del procedimiento de contratación hasta la resolución del recurso, </w:t>
      </w:r>
      <w:r w:rsidR="00861F2B" w:rsidRPr="00C93983">
        <w:rPr>
          <w:sz w:val="22"/>
          <w:szCs w:val="22"/>
        </w:rPr>
        <w:lastRenderedPageBreak/>
        <w:t>conforme al artículo 53 de la LCSP. Además, reitera expresamente la solicitud de acceso completo al expediente administrativo del Lote 3 para poder revisar y, en su caso, completar sus argumentos de recurso tras el acceso a la documental aportada en los sobres A, B y C y la justificación de la oferta a la baja presentada por TEKIA INGENIEROS, S.A.</w:t>
      </w:r>
    </w:p>
    <w:p w14:paraId="033FEECB" w14:textId="2988C669" w:rsidR="006B58F3" w:rsidRPr="00C93983" w:rsidRDefault="006B58F3" w:rsidP="006B58F3">
      <w:pPr>
        <w:spacing w:after="120"/>
        <w:jc w:val="both"/>
        <w:rPr>
          <w:sz w:val="22"/>
          <w:szCs w:val="22"/>
        </w:rPr>
      </w:pPr>
    </w:p>
    <w:p w14:paraId="37C38835" w14:textId="1710BC18" w:rsidR="00563C27" w:rsidRPr="00C93983" w:rsidRDefault="00563C27" w:rsidP="00563C27">
      <w:pPr>
        <w:spacing w:after="240"/>
        <w:jc w:val="both"/>
        <w:rPr>
          <w:sz w:val="22"/>
        </w:rPr>
      </w:pPr>
      <w:r w:rsidRPr="00C93983">
        <w:rPr>
          <w:b/>
          <w:sz w:val="22"/>
        </w:rPr>
        <w:t>4º.-</w:t>
      </w:r>
      <w:r w:rsidRPr="00C93983">
        <w:rPr>
          <w:sz w:val="22"/>
        </w:rPr>
        <w:t xml:space="preserve"> En cumplimiento de lo previsto en el artículo 56.2 de la LCSP, </w:t>
      </w:r>
      <w:r w:rsidR="007C743C" w:rsidRPr="00C93983">
        <w:rPr>
          <w:sz w:val="22"/>
        </w:rPr>
        <w:t xml:space="preserve">por correo electrónico de 19 de marzo de 2025 </w:t>
      </w:r>
      <w:r w:rsidRPr="00C93983">
        <w:rPr>
          <w:sz w:val="22"/>
        </w:rPr>
        <w:t xml:space="preserve">se solicitó al órgano tramitador el expediente administrativo y su informe sobre el RE, </w:t>
      </w:r>
      <w:r w:rsidR="007C743C" w:rsidRPr="00C93983">
        <w:rPr>
          <w:sz w:val="22"/>
        </w:rPr>
        <w:t xml:space="preserve">recibido el 7 de abril de 2025, </w:t>
      </w:r>
      <w:r w:rsidRPr="00C93983">
        <w:rPr>
          <w:sz w:val="22"/>
        </w:rPr>
        <w:t>en el que se opone al recurso especial.</w:t>
      </w:r>
    </w:p>
    <w:p w14:paraId="22ED5A0F" w14:textId="3DEBA190" w:rsidR="00563C27" w:rsidRPr="00C93983" w:rsidRDefault="00563C27" w:rsidP="00563C27">
      <w:pPr>
        <w:spacing w:after="240"/>
        <w:jc w:val="both"/>
        <w:rPr>
          <w:sz w:val="22"/>
          <w:szCs w:val="22"/>
        </w:rPr>
      </w:pPr>
      <w:r w:rsidRPr="00C93983">
        <w:rPr>
          <w:b/>
          <w:bCs/>
          <w:sz w:val="22"/>
        </w:rPr>
        <w:t xml:space="preserve">5º.- </w:t>
      </w:r>
      <w:r w:rsidRPr="00C93983">
        <w:rPr>
          <w:sz w:val="22"/>
          <w:szCs w:val="22"/>
        </w:rPr>
        <w:t xml:space="preserve">En aplicación del artículo 56.3 de la LCSP, </w:t>
      </w:r>
      <w:r w:rsidR="00BC60C6" w:rsidRPr="00C93983">
        <w:rPr>
          <w:sz w:val="22"/>
          <w:szCs w:val="22"/>
        </w:rPr>
        <w:t>el 9 de julio de 2025</w:t>
      </w:r>
      <w:r w:rsidRPr="00C93983">
        <w:rPr>
          <w:sz w:val="22"/>
          <w:szCs w:val="22"/>
        </w:rPr>
        <w:t xml:space="preserve"> se dio traslado del recurso a la empresa adjudicataria</w:t>
      </w:r>
      <w:r w:rsidR="003E0E2E" w:rsidRPr="00C93983">
        <w:rPr>
          <w:sz w:val="22"/>
          <w:szCs w:val="22"/>
        </w:rPr>
        <w:t xml:space="preserve"> TEKIA INGENIEROS SA</w:t>
      </w:r>
      <w:r w:rsidRPr="00C93983">
        <w:rPr>
          <w:sz w:val="22"/>
          <w:szCs w:val="22"/>
        </w:rPr>
        <w:t xml:space="preserve"> concediéndole un plazo de 5 días hábiles para formular cuantas alegaciones estimara convenientes.</w:t>
      </w:r>
      <w:r w:rsidR="007C743C" w:rsidRPr="00C93983">
        <w:rPr>
          <w:sz w:val="22"/>
          <w:szCs w:val="22"/>
        </w:rPr>
        <w:t xml:space="preserve"> L</w:t>
      </w:r>
      <w:r w:rsidRPr="00C93983">
        <w:rPr>
          <w:sz w:val="22"/>
          <w:szCs w:val="22"/>
        </w:rPr>
        <w:t xml:space="preserve">a </w:t>
      </w:r>
      <w:r w:rsidR="007C743C" w:rsidRPr="00C93983">
        <w:rPr>
          <w:sz w:val="22"/>
          <w:szCs w:val="22"/>
        </w:rPr>
        <w:t>adjudicataria</w:t>
      </w:r>
      <w:r w:rsidRPr="00C93983">
        <w:rPr>
          <w:sz w:val="22"/>
          <w:szCs w:val="22"/>
        </w:rPr>
        <w:t xml:space="preserve"> </w:t>
      </w:r>
      <w:r w:rsidR="00981F92" w:rsidRPr="00C93983">
        <w:rPr>
          <w:sz w:val="22"/>
          <w:szCs w:val="22"/>
        </w:rPr>
        <w:t>presentó</w:t>
      </w:r>
      <w:r w:rsidRPr="00C93983">
        <w:rPr>
          <w:sz w:val="22"/>
          <w:szCs w:val="22"/>
        </w:rPr>
        <w:t xml:space="preserve"> alegaciones el día </w:t>
      </w:r>
      <w:r w:rsidR="00BC60C6" w:rsidRPr="00C93983">
        <w:rPr>
          <w:sz w:val="22"/>
          <w:szCs w:val="22"/>
        </w:rPr>
        <w:t>16 de julio de 2025</w:t>
      </w:r>
      <w:r w:rsidR="00981F92" w:rsidRPr="00C93983">
        <w:rPr>
          <w:sz w:val="22"/>
          <w:szCs w:val="22"/>
        </w:rPr>
        <w:t>.</w:t>
      </w:r>
    </w:p>
    <w:p w14:paraId="06A4AC0C" w14:textId="1FC0028E" w:rsidR="00563C27" w:rsidRDefault="00563C27" w:rsidP="00563C27">
      <w:pPr>
        <w:spacing w:after="240" w:line="276" w:lineRule="auto"/>
        <w:jc w:val="both"/>
        <w:rPr>
          <w:sz w:val="22"/>
          <w:szCs w:val="22"/>
          <w:lang w:val="es-ES_tradnl"/>
        </w:rPr>
      </w:pPr>
      <w:r w:rsidRPr="00C93983">
        <w:rPr>
          <w:b/>
          <w:bCs/>
          <w:sz w:val="22"/>
          <w:szCs w:val="22"/>
        </w:rPr>
        <w:t>6</w:t>
      </w:r>
      <w:r w:rsidRPr="00C93983">
        <w:rPr>
          <w:b/>
          <w:bCs/>
          <w:sz w:val="22"/>
          <w:szCs w:val="22"/>
          <w:lang w:val="es-ES_tradnl"/>
        </w:rPr>
        <w:t>º.</w:t>
      </w:r>
      <w:r w:rsidRPr="00C93983">
        <w:rPr>
          <w:sz w:val="22"/>
          <w:szCs w:val="22"/>
          <w:lang w:val="es-ES_tradnl"/>
        </w:rPr>
        <w:t xml:space="preserve">-El día </w:t>
      </w:r>
      <w:r w:rsidR="000A0768" w:rsidRPr="00C93983">
        <w:rPr>
          <w:sz w:val="22"/>
          <w:szCs w:val="22"/>
          <w:lang w:val="es-ES_tradnl"/>
        </w:rPr>
        <w:t>10 de julio de 2025</w:t>
      </w:r>
      <w:r w:rsidRPr="00C93983">
        <w:rPr>
          <w:sz w:val="22"/>
          <w:szCs w:val="22"/>
          <w:lang w:val="es-ES_tradnl"/>
        </w:rPr>
        <w:t xml:space="preserve"> este Órgano acordó por Resolución </w:t>
      </w:r>
      <w:r w:rsidR="000A0768" w:rsidRPr="00C93983">
        <w:rPr>
          <w:sz w:val="22"/>
          <w:szCs w:val="22"/>
          <w:lang w:val="es-ES_tradnl"/>
        </w:rPr>
        <w:t>21</w:t>
      </w:r>
      <w:r w:rsidRPr="00C93983">
        <w:rPr>
          <w:sz w:val="22"/>
          <w:szCs w:val="22"/>
          <w:lang w:val="es-ES_tradnl"/>
        </w:rPr>
        <w:t>/2025</w:t>
      </w:r>
      <w:r w:rsidR="007A7CE2" w:rsidRPr="00C93983">
        <w:rPr>
          <w:sz w:val="22"/>
          <w:szCs w:val="22"/>
          <w:lang w:val="es-ES_tradnl"/>
        </w:rPr>
        <w:t xml:space="preserve"> </w:t>
      </w:r>
      <w:r w:rsidRPr="00C93983">
        <w:rPr>
          <w:sz w:val="22"/>
          <w:szCs w:val="22"/>
          <w:lang w:val="es-ES_tradnl"/>
        </w:rPr>
        <w:t>mantener la medida provisional de suspensión de la licitación</w:t>
      </w:r>
      <w:r w:rsidR="007C743C" w:rsidRPr="00C93983">
        <w:rPr>
          <w:sz w:val="22"/>
          <w:szCs w:val="22"/>
          <w:lang w:val="es-ES_tradnl"/>
        </w:rPr>
        <w:t>,</w:t>
      </w:r>
      <w:r w:rsidRPr="00C93983">
        <w:rPr>
          <w:sz w:val="22"/>
          <w:szCs w:val="22"/>
          <w:lang w:val="es-ES_tradnl"/>
        </w:rPr>
        <w:t xml:space="preserve"> solicitada por el recurrente.</w:t>
      </w:r>
    </w:p>
    <w:p w14:paraId="473DDCDD" w14:textId="7A551A30" w:rsidR="00715389" w:rsidRPr="00C93983" w:rsidRDefault="00715389" w:rsidP="00563C27">
      <w:pPr>
        <w:spacing w:after="240" w:line="276" w:lineRule="auto"/>
        <w:jc w:val="both"/>
        <w:rPr>
          <w:sz w:val="22"/>
          <w:szCs w:val="22"/>
          <w:lang w:val="es-ES_tradnl"/>
        </w:rPr>
      </w:pPr>
      <w:r w:rsidRPr="00715389">
        <w:rPr>
          <w:b/>
          <w:bCs/>
          <w:sz w:val="22"/>
          <w:szCs w:val="22"/>
          <w:lang w:val="es-ES_tradnl"/>
        </w:rPr>
        <w:t>7º</w:t>
      </w:r>
      <w:r>
        <w:rPr>
          <w:sz w:val="22"/>
          <w:szCs w:val="22"/>
          <w:lang w:val="es-ES_tradnl"/>
        </w:rPr>
        <w:t xml:space="preserve"> El órgano de contratación remite el 1 de setiembre de 2025, por correo electrónico, el i</w:t>
      </w:r>
      <w:r w:rsidRPr="00715389">
        <w:rPr>
          <w:sz w:val="22"/>
          <w:szCs w:val="22"/>
          <w:lang w:val="es-ES_tradnl"/>
        </w:rPr>
        <w:t>nforme de contestación al recurso</w:t>
      </w:r>
      <w:r>
        <w:rPr>
          <w:sz w:val="22"/>
          <w:szCs w:val="22"/>
          <w:lang w:val="es-ES_tradnl"/>
        </w:rPr>
        <w:t xml:space="preserve">, </w:t>
      </w:r>
      <w:r w:rsidRPr="00715389">
        <w:rPr>
          <w:sz w:val="22"/>
          <w:szCs w:val="22"/>
          <w:lang w:val="es-ES_tradnl"/>
        </w:rPr>
        <w:t>emitido por el Servicio de Movilidad y Transportes</w:t>
      </w:r>
      <w:r>
        <w:rPr>
          <w:sz w:val="22"/>
          <w:szCs w:val="22"/>
          <w:lang w:val="es-ES_tradnl"/>
        </w:rPr>
        <w:t>, y que finaliza con la propuesta de desestimar íntegramente el recurso especial en materia de contratación.</w:t>
      </w:r>
    </w:p>
    <w:p w14:paraId="2EDB8D2B" w14:textId="77777777" w:rsidR="00563C27" w:rsidRPr="00C93983" w:rsidRDefault="00563C27" w:rsidP="006B58F3">
      <w:pPr>
        <w:spacing w:after="120"/>
        <w:jc w:val="both"/>
        <w:rPr>
          <w:b/>
          <w:sz w:val="22"/>
          <w:lang w:val="es-ES_tradnl"/>
        </w:rPr>
      </w:pPr>
    </w:p>
    <w:p w14:paraId="46B885B6" w14:textId="77777777" w:rsidR="006B58F3" w:rsidRPr="00C93983" w:rsidRDefault="006B58F3" w:rsidP="006B58F3">
      <w:pPr>
        <w:spacing w:before="480" w:after="480"/>
        <w:jc w:val="center"/>
        <w:rPr>
          <w:b/>
          <w:sz w:val="22"/>
        </w:rPr>
      </w:pPr>
      <w:r w:rsidRPr="00C93983">
        <w:rPr>
          <w:b/>
          <w:sz w:val="22"/>
        </w:rPr>
        <w:t>FUNDAMENTOS DE DERECHO</w:t>
      </w:r>
    </w:p>
    <w:p w14:paraId="7B5FDA40" w14:textId="39698A93" w:rsidR="006462B9" w:rsidRPr="00C93983" w:rsidRDefault="007A7CE2" w:rsidP="006462B9">
      <w:pPr>
        <w:jc w:val="both"/>
        <w:rPr>
          <w:sz w:val="22"/>
          <w:szCs w:val="22"/>
        </w:rPr>
      </w:pPr>
      <w:r w:rsidRPr="00C93983">
        <w:rPr>
          <w:b/>
          <w:sz w:val="22"/>
          <w:szCs w:val="22"/>
        </w:rPr>
        <w:t>PRIMERO.</w:t>
      </w:r>
      <w:r w:rsidRPr="00C93983">
        <w:rPr>
          <w:sz w:val="22"/>
          <w:szCs w:val="22"/>
        </w:rPr>
        <w:t xml:space="preserve"> Es objeto del presente procedimiento la resolución del recurso especial en materia de contratación interpuesto </w:t>
      </w:r>
      <w:r w:rsidR="00624496" w:rsidRPr="00C93983">
        <w:rPr>
          <w:sz w:val="22"/>
          <w:szCs w:val="22"/>
        </w:rPr>
        <w:t xml:space="preserve">por </w:t>
      </w:r>
      <w:r w:rsidR="00DC1A55" w:rsidRPr="00C93983">
        <w:rPr>
          <w:sz w:val="22"/>
          <w:szCs w:val="22"/>
        </w:rPr>
        <w:t>don Enrique Palma Villalón</w:t>
      </w:r>
      <w:r w:rsidR="00624496" w:rsidRPr="00C93983">
        <w:rPr>
          <w:sz w:val="22"/>
          <w:szCs w:val="22"/>
        </w:rPr>
        <w:t xml:space="preserve">, quien actúa en representación de la entidad </w:t>
      </w:r>
      <w:r w:rsidR="00DC1A55" w:rsidRPr="00C93983">
        <w:rPr>
          <w:sz w:val="22"/>
          <w:szCs w:val="22"/>
        </w:rPr>
        <w:t>UTE INGARTEK-TICMOVEO SL</w:t>
      </w:r>
      <w:r w:rsidRPr="00C93983">
        <w:rPr>
          <w:sz w:val="22"/>
          <w:szCs w:val="22"/>
        </w:rPr>
        <w:t xml:space="preserve"> contra</w:t>
      </w:r>
      <w:r w:rsidR="00F820B9" w:rsidRPr="00C93983">
        <w:rPr>
          <w:sz w:val="22"/>
          <w:szCs w:val="22"/>
        </w:rPr>
        <w:t xml:space="preserve"> la decisión de adjudicar </w:t>
      </w:r>
      <w:r w:rsidRPr="00C93983">
        <w:rPr>
          <w:sz w:val="22"/>
          <w:szCs w:val="22"/>
        </w:rPr>
        <w:t>el contrato</w:t>
      </w:r>
      <w:r w:rsidR="00F820B9" w:rsidRPr="00C93983">
        <w:rPr>
          <w:sz w:val="22"/>
          <w:szCs w:val="22"/>
        </w:rPr>
        <w:t xml:space="preserve"> a </w:t>
      </w:r>
      <w:r w:rsidR="00E72B32" w:rsidRPr="00C93983">
        <w:rPr>
          <w:sz w:val="22"/>
          <w:szCs w:val="22"/>
        </w:rPr>
        <w:t>TEKIA INGENIEROS, SA</w:t>
      </w:r>
      <w:r w:rsidR="00F820B9" w:rsidRPr="00C93983">
        <w:rPr>
          <w:sz w:val="22"/>
          <w:szCs w:val="22"/>
        </w:rPr>
        <w:t xml:space="preserve"> por Acuerdo del Consejo de Gobierno Foral </w:t>
      </w:r>
      <w:r w:rsidR="00E72B32" w:rsidRPr="00C93983">
        <w:rPr>
          <w:sz w:val="22"/>
          <w:szCs w:val="22"/>
        </w:rPr>
        <w:t>353/</w:t>
      </w:r>
      <w:r w:rsidR="00715389" w:rsidRPr="00C93983">
        <w:rPr>
          <w:sz w:val="22"/>
          <w:szCs w:val="22"/>
        </w:rPr>
        <w:t>2025</w:t>
      </w:r>
      <w:r w:rsidR="00715389">
        <w:rPr>
          <w:sz w:val="22"/>
          <w:szCs w:val="22"/>
        </w:rPr>
        <w:t>, de 17 de junio.</w:t>
      </w:r>
    </w:p>
    <w:p w14:paraId="04D8EBC3" w14:textId="2744C1F6" w:rsidR="00F820B9" w:rsidRPr="00C93983" w:rsidRDefault="00F820B9" w:rsidP="00F820B9">
      <w:pPr>
        <w:jc w:val="both"/>
        <w:rPr>
          <w:sz w:val="22"/>
          <w:szCs w:val="22"/>
        </w:rPr>
      </w:pPr>
    </w:p>
    <w:p w14:paraId="24ABE921" w14:textId="2697A5D4" w:rsidR="007A7CE2" w:rsidRPr="00C93983" w:rsidRDefault="007A7CE2" w:rsidP="007A7CE2">
      <w:pPr>
        <w:jc w:val="both"/>
        <w:rPr>
          <w:sz w:val="22"/>
          <w:szCs w:val="22"/>
        </w:rPr>
      </w:pPr>
      <w:r w:rsidRPr="00C93983">
        <w:rPr>
          <w:sz w:val="22"/>
          <w:szCs w:val="22"/>
        </w:rPr>
        <w:t xml:space="preserve">A la vista del valor estimado del contrato y de las previsiones del art. 44 de la LCSP que dispone en su apartado 1.a) que serán susceptibles de recurso especial en materia de contratación los actos y decisiones que refieran a contratos de </w:t>
      </w:r>
      <w:r w:rsidR="008643B7" w:rsidRPr="00C93983">
        <w:rPr>
          <w:sz w:val="22"/>
          <w:szCs w:val="22"/>
        </w:rPr>
        <w:t>servicios</w:t>
      </w:r>
      <w:r w:rsidRPr="00C93983">
        <w:rPr>
          <w:sz w:val="22"/>
          <w:szCs w:val="22"/>
        </w:rPr>
        <w:t xml:space="preserve"> con un valor estimado superior a cien mil euros,</w:t>
      </w:r>
      <w:r w:rsidR="00B559F0" w:rsidRPr="00C93983">
        <w:rPr>
          <w:sz w:val="22"/>
          <w:szCs w:val="22"/>
        </w:rPr>
        <w:t xml:space="preserve"> así como en el apartado b) sobre Acuerdos marco que tengan por objeto alguno de los contratos descritos en la letra anterior, </w:t>
      </w:r>
      <w:r w:rsidRPr="00C93983">
        <w:rPr>
          <w:sz w:val="22"/>
          <w:szCs w:val="22"/>
        </w:rPr>
        <w:t xml:space="preserve"> puesto en relación con la letra c del apartado 2) del mismo </w:t>
      </w:r>
      <w:r w:rsidR="00B559F0" w:rsidRPr="00C93983">
        <w:rPr>
          <w:sz w:val="22"/>
          <w:szCs w:val="22"/>
        </w:rPr>
        <w:t>artículo,</w:t>
      </w:r>
      <w:r w:rsidRPr="00C93983">
        <w:rPr>
          <w:sz w:val="22"/>
          <w:szCs w:val="22"/>
        </w:rPr>
        <w:t xml:space="preserve"> que indica que podrán ser objeto de recurso, entre otras actuaciones, “</w:t>
      </w:r>
      <w:r w:rsidRPr="00C93983">
        <w:rPr>
          <w:i/>
          <w:iCs/>
          <w:sz w:val="22"/>
          <w:szCs w:val="22"/>
        </w:rPr>
        <w:t>los acuerdos de adjudicación”,</w:t>
      </w:r>
      <w:r w:rsidRPr="00C93983">
        <w:rPr>
          <w:sz w:val="22"/>
          <w:szCs w:val="22"/>
        </w:rPr>
        <w:t xml:space="preserve"> puede concluirse que el acto es susceptible de impugnarse mediante recurso especial en materia de contratación.</w:t>
      </w:r>
    </w:p>
    <w:p w14:paraId="721B631D" w14:textId="77777777" w:rsidR="007A7CE2" w:rsidRPr="00C93983" w:rsidRDefault="007A7CE2" w:rsidP="007A7CE2">
      <w:pPr>
        <w:jc w:val="both"/>
        <w:rPr>
          <w:b/>
          <w:sz w:val="22"/>
          <w:szCs w:val="22"/>
        </w:rPr>
      </w:pPr>
    </w:p>
    <w:p w14:paraId="1FB63E5B" w14:textId="77777777" w:rsidR="007A7CE2" w:rsidRPr="00C93983" w:rsidRDefault="007A7CE2" w:rsidP="007A7CE2">
      <w:pPr>
        <w:jc w:val="both"/>
        <w:rPr>
          <w:i/>
          <w:iCs/>
          <w:sz w:val="22"/>
          <w:szCs w:val="22"/>
        </w:rPr>
      </w:pPr>
      <w:r w:rsidRPr="00C93983">
        <w:rPr>
          <w:b/>
          <w:sz w:val="22"/>
          <w:szCs w:val="22"/>
        </w:rPr>
        <w:t>SEGUNDO.</w:t>
      </w:r>
      <w:r w:rsidRPr="00C93983">
        <w:rPr>
          <w:sz w:val="22"/>
          <w:szCs w:val="22"/>
        </w:rPr>
        <w:t xml:space="preserve"> La competencia para resolver el presente recurso especial corresponde a este Órgano conforme a lo establecido en el art. 46.5 LCSP, y en el Decreto Foral 44/2010, de 28 de septiembre, del Consejo de Gobierno Foral , cuyo apartado 2.1, relativo a las competencias, establece que “c</w:t>
      </w:r>
      <w:r w:rsidRPr="00C93983">
        <w:rPr>
          <w:i/>
          <w:iCs/>
          <w:sz w:val="22"/>
          <w:szCs w:val="22"/>
        </w:rPr>
        <w:t xml:space="preserve">orresponde al Órgano Administrativo Foral de Recursos Contractuales el conocimiento y resolución de los recursos relativos a los contratos del sector público en los que </w:t>
      </w:r>
      <w:r w:rsidRPr="00C93983">
        <w:rPr>
          <w:i/>
          <w:iCs/>
          <w:sz w:val="22"/>
          <w:szCs w:val="22"/>
        </w:rPr>
        <w:lastRenderedPageBreak/>
        <w:t>sea parte la Diputación Foral de Álava o alguno de los órganos dependientes o vinculados a la misma y, en particular, los Organismos Autónomos Forales, las Sociedades Públicas Forales y todos aquellos poderes adjudicadores que estén bajo su control.”</w:t>
      </w:r>
    </w:p>
    <w:p w14:paraId="2D82F569" w14:textId="77777777" w:rsidR="007A7CE2" w:rsidRPr="00C93983" w:rsidRDefault="007A7CE2" w:rsidP="007A7CE2">
      <w:pPr>
        <w:jc w:val="both"/>
        <w:rPr>
          <w:sz w:val="22"/>
          <w:szCs w:val="22"/>
        </w:rPr>
      </w:pPr>
    </w:p>
    <w:p w14:paraId="140D9A82" w14:textId="73A98660" w:rsidR="007A7CE2" w:rsidRPr="00C93983" w:rsidRDefault="006F0492" w:rsidP="007A7CE2">
      <w:pPr>
        <w:jc w:val="both"/>
        <w:rPr>
          <w:sz w:val="22"/>
          <w:szCs w:val="22"/>
        </w:rPr>
      </w:pPr>
      <w:r w:rsidRPr="00C93983">
        <w:rPr>
          <w:b/>
          <w:bCs/>
          <w:sz w:val="22"/>
          <w:szCs w:val="22"/>
        </w:rPr>
        <w:t>TERCERO</w:t>
      </w:r>
      <w:r w:rsidRPr="00C93983">
        <w:rPr>
          <w:b/>
          <w:bCs/>
          <w:sz w:val="22"/>
        </w:rPr>
        <w:t>.</w:t>
      </w:r>
      <w:r w:rsidRPr="00C93983">
        <w:rPr>
          <w:b/>
          <w:sz w:val="22"/>
        </w:rPr>
        <w:t xml:space="preserve"> -</w:t>
      </w:r>
      <w:r w:rsidR="007A7CE2" w:rsidRPr="00C93983">
        <w:rPr>
          <w:sz w:val="22"/>
          <w:szCs w:val="22"/>
        </w:rPr>
        <w:t xml:space="preserve"> La entidad reclamante ostenta legitimación de acuerdo con el artículo 48 de la LCSP, que señala en su párrafo primero que </w:t>
      </w:r>
      <w:r w:rsidR="007A7CE2" w:rsidRPr="00C93983">
        <w:rPr>
          <w:i/>
          <w:iCs/>
          <w:sz w:val="22"/>
          <w:szCs w:val="22"/>
        </w:rPr>
        <w:t>“podrá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r w:rsidR="007A7CE2" w:rsidRPr="00C93983">
        <w:rPr>
          <w:sz w:val="22"/>
          <w:szCs w:val="22"/>
        </w:rPr>
        <w:t xml:space="preserve"> </w:t>
      </w:r>
    </w:p>
    <w:p w14:paraId="68ED2D23" w14:textId="77777777" w:rsidR="007A7CE2" w:rsidRPr="00C93983" w:rsidRDefault="007A7CE2" w:rsidP="007A7CE2">
      <w:pPr>
        <w:jc w:val="both"/>
        <w:rPr>
          <w:sz w:val="22"/>
          <w:szCs w:val="22"/>
        </w:rPr>
      </w:pPr>
    </w:p>
    <w:p w14:paraId="6DE99598" w14:textId="7ACE5F75" w:rsidR="007A7CE2" w:rsidRPr="00C93983" w:rsidRDefault="006F0492" w:rsidP="007A7CE2">
      <w:pPr>
        <w:jc w:val="both"/>
        <w:rPr>
          <w:b/>
          <w:bCs/>
          <w:i/>
          <w:iCs/>
          <w:sz w:val="22"/>
          <w:szCs w:val="22"/>
        </w:rPr>
      </w:pPr>
      <w:r w:rsidRPr="00C93983">
        <w:rPr>
          <w:b/>
          <w:bCs/>
          <w:sz w:val="22"/>
          <w:szCs w:val="22"/>
        </w:rPr>
        <w:t>CUARTO.</w:t>
      </w:r>
      <w:r w:rsidRPr="00C93983">
        <w:rPr>
          <w:sz w:val="22"/>
          <w:szCs w:val="22"/>
        </w:rPr>
        <w:t xml:space="preserve"> -</w:t>
      </w:r>
      <w:r w:rsidR="007A7CE2" w:rsidRPr="00C93983">
        <w:rPr>
          <w:sz w:val="22"/>
          <w:szCs w:val="22"/>
        </w:rPr>
        <w:t xml:space="preserve"> El recurso se ha interpuesto </w:t>
      </w:r>
      <w:r w:rsidR="00E72B32" w:rsidRPr="00C93983">
        <w:rPr>
          <w:sz w:val="22"/>
          <w:szCs w:val="22"/>
        </w:rPr>
        <w:t xml:space="preserve">en </w:t>
      </w:r>
      <w:r w:rsidR="007A7CE2" w:rsidRPr="00C93983">
        <w:rPr>
          <w:sz w:val="22"/>
          <w:szCs w:val="22"/>
        </w:rPr>
        <w:t>el plazo de quince días hábiles establecido en el artículo 50.1 d) de la LCSP, a contar a partir del día siguiente a aquel en que se haya notificado la adjudicación</w:t>
      </w:r>
      <w:r w:rsidR="00E411AD" w:rsidRPr="00C93983">
        <w:rPr>
          <w:sz w:val="22"/>
          <w:szCs w:val="22"/>
        </w:rPr>
        <w:t xml:space="preserve">, que fue publicada en la plataforma de contratación de Euskadi el </w:t>
      </w:r>
      <w:r w:rsidR="00E72B32" w:rsidRPr="00C93983">
        <w:rPr>
          <w:sz w:val="22"/>
          <w:szCs w:val="22"/>
        </w:rPr>
        <w:t>17 de junio</w:t>
      </w:r>
      <w:r w:rsidR="00E411AD" w:rsidRPr="00C93983">
        <w:rPr>
          <w:sz w:val="22"/>
          <w:szCs w:val="22"/>
        </w:rPr>
        <w:t xml:space="preserve"> de 2025.</w:t>
      </w:r>
    </w:p>
    <w:p w14:paraId="351CC80E" w14:textId="77777777" w:rsidR="007A7CE2" w:rsidRPr="00C93983" w:rsidRDefault="007A7CE2" w:rsidP="007A7CE2">
      <w:pPr>
        <w:jc w:val="both"/>
        <w:rPr>
          <w:b/>
          <w:bCs/>
          <w:i/>
          <w:iCs/>
          <w:sz w:val="22"/>
          <w:szCs w:val="22"/>
        </w:rPr>
      </w:pPr>
    </w:p>
    <w:p w14:paraId="19595D15" w14:textId="11F3DE9A" w:rsidR="00861F2B" w:rsidRPr="00C93983" w:rsidRDefault="006F0492" w:rsidP="00861F2B">
      <w:pPr>
        <w:jc w:val="both"/>
        <w:rPr>
          <w:sz w:val="22"/>
          <w:szCs w:val="22"/>
        </w:rPr>
      </w:pPr>
      <w:r w:rsidRPr="00C93983">
        <w:rPr>
          <w:b/>
          <w:bCs/>
          <w:sz w:val="22"/>
          <w:szCs w:val="22"/>
        </w:rPr>
        <w:t xml:space="preserve">QUINTO. </w:t>
      </w:r>
      <w:r w:rsidR="00981F92" w:rsidRPr="00C93983">
        <w:rPr>
          <w:b/>
          <w:bCs/>
          <w:sz w:val="22"/>
          <w:szCs w:val="22"/>
        </w:rPr>
        <w:t>–</w:t>
      </w:r>
      <w:r w:rsidR="007A7CE2" w:rsidRPr="00C93983">
        <w:rPr>
          <w:sz w:val="22"/>
          <w:szCs w:val="22"/>
        </w:rPr>
        <w:t xml:space="preserve"> </w:t>
      </w:r>
      <w:r w:rsidR="00981F92" w:rsidRPr="00C93983">
        <w:rPr>
          <w:sz w:val="22"/>
          <w:szCs w:val="22"/>
        </w:rPr>
        <w:t>En cuanto a los motivos que sustentan el recurso</w:t>
      </w:r>
      <w:r w:rsidR="007A7CE2" w:rsidRPr="00C93983">
        <w:rPr>
          <w:sz w:val="22"/>
          <w:szCs w:val="22"/>
        </w:rPr>
        <w:t xml:space="preserve">, </w:t>
      </w:r>
      <w:r w:rsidR="00DC1A55" w:rsidRPr="00C93983">
        <w:rPr>
          <w:sz w:val="22"/>
          <w:szCs w:val="22"/>
        </w:rPr>
        <w:t>UTE INGARTEK-TICMOVEO SL</w:t>
      </w:r>
      <w:r w:rsidR="007A7CE2" w:rsidRPr="00C93983">
        <w:rPr>
          <w:sz w:val="22"/>
          <w:szCs w:val="22"/>
        </w:rPr>
        <w:t xml:space="preserve"> </w:t>
      </w:r>
      <w:r w:rsidR="00861F2B" w:rsidRPr="00C93983">
        <w:rPr>
          <w:sz w:val="22"/>
          <w:szCs w:val="22"/>
        </w:rPr>
        <w:t>los distribuye en varios bloques:</w:t>
      </w:r>
    </w:p>
    <w:p w14:paraId="42E28A08" w14:textId="77777777" w:rsidR="00861F2B" w:rsidRPr="00C93983" w:rsidRDefault="00861F2B" w:rsidP="00861F2B">
      <w:pPr>
        <w:jc w:val="both"/>
        <w:rPr>
          <w:sz w:val="22"/>
          <w:szCs w:val="22"/>
        </w:rPr>
      </w:pPr>
    </w:p>
    <w:p w14:paraId="37039C7C" w14:textId="77777777" w:rsidR="00861F2B" w:rsidRPr="00C93983" w:rsidRDefault="00861F2B" w:rsidP="00861F2B">
      <w:pPr>
        <w:jc w:val="both"/>
        <w:rPr>
          <w:sz w:val="22"/>
          <w:szCs w:val="22"/>
        </w:rPr>
      </w:pPr>
    </w:p>
    <w:p w14:paraId="20970802" w14:textId="355CFA77" w:rsidR="00861F2B" w:rsidRPr="00C93983" w:rsidRDefault="00115CA3" w:rsidP="00861F2B">
      <w:pPr>
        <w:jc w:val="both"/>
        <w:rPr>
          <w:sz w:val="22"/>
          <w:szCs w:val="22"/>
        </w:rPr>
      </w:pPr>
      <w:r w:rsidRPr="00C93983">
        <w:rPr>
          <w:sz w:val="22"/>
          <w:szCs w:val="22"/>
        </w:rPr>
        <w:t xml:space="preserve">Primero, </w:t>
      </w:r>
      <w:r w:rsidR="00861F2B" w:rsidRPr="00C93983">
        <w:rPr>
          <w:sz w:val="22"/>
          <w:szCs w:val="22"/>
        </w:rPr>
        <w:t xml:space="preserve">insiste en que los informes de valoración, tanto de la oferta técnica como de la justificación de baja anormal, no fueron accesibles para la UTE hasta después de la resolución de adjudicación, motivando la falta de acceso completo al expediente </w:t>
      </w:r>
      <w:r w:rsidRPr="00C93983">
        <w:rPr>
          <w:sz w:val="22"/>
          <w:szCs w:val="22"/>
        </w:rPr>
        <w:t>y causando con ello</w:t>
      </w:r>
      <w:r w:rsidR="00861F2B" w:rsidRPr="00C93983">
        <w:rPr>
          <w:sz w:val="22"/>
          <w:szCs w:val="22"/>
        </w:rPr>
        <w:t xml:space="preserve"> una limitación a su derecho de defensa.</w:t>
      </w:r>
    </w:p>
    <w:p w14:paraId="5D1AE8BA" w14:textId="77777777" w:rsidR="00861F2B" w:rsidRPr="00C93983" w:rsidRDefault="00861F2B" w:rsidP="00861F2B">
      <w:pPr>
        <w:jc w:val="both"/>
        <w:rPr>
          <w:sz w:val="22"/>
          <w:szCs w:val="22"/>
        </w:rPr>
      </w:pPr>
    </w:p>
    <w:p w14:paraId="170E960A" w14:textId="77777777" w:rsidR="00861F2B" w:rsidRPr="00C93983" w:rsidRDefault="00861F2B" w:rsidP="00861F2B">
      <w:pPr>
        <w:jc w:val="both"/>
        <w:rPr>
          <w:sz w:val="22"/>
          <w:szCs w:val="22"/>
        </w:rPr>
      </w:pPr>
    </w:p>
    <w:p w14:paraId="345D5335" w14:textId="22545029" w:rsidR="00861F2B" w:rsidRPr="00C93983" w:rsidRDefault="00115CA3" w:rsidP="00861F2B">
      <w:pPr>
        <w:jc w:val="both"/>
        <w:rPr>
          <w:sz w:val="22"/>
          <w:szCs w:val="22"/>
        </w:rPr>
      </w:pPr>
      <w:r w:rsidRPr="00C93983">
        <w:rPr>
          <w:sz w:val="22"/>
          <w:szCs w:val="22"/>
        </w:rPr>
        <w:t>Segundo, d</w:t>
      </w:r>
      <w:r w:rsidR="00861F2B" w:rsidRPr="00C93983">
        <w:rPr>
          <w:sz w:val="22"/>
          <w:szCs w:val="22"/>
        </w:rPr>
        <w:t>enuncia que el informe de valoración del órgano de contratación, respecto al apartado “Previsión de las tareas a realizar”, otorg</w:t>
      </w:r>
      <w:r w:rsidRPr="00C93983">
        <w:rPr>
          <w:sz w:val="22"/>
          <w:szCs w:val="22"/>
        </w:rPr>
        <w:t xml:space="preserve">ó </w:t>
      </w:r>
      <w:r w:rsidR="00861F2B" w:rsidRPr="00C93983">
        <w:rPr>
          <w:sz w:val="22"/>
          <w:szCs w:val="22"/>
        </w:rPr>
        <w:t>a la UTE 4,5 puntos de 6, calificando su planteamiento como “bueno pero inferior” al de SAITEC y TEKIA, pero sin una justificación objetiva y suficiente de por qué su propuesta es considerada inferior ni explicar la diferencia concreta en la asignación de puntos. Indica, asimismo, que en otros apartados técnicos similares</w:t>
      </w:r>
      <w:r w:rsidRPr="00C93983">
        <w:rPr>
          <w:sz w:val="22"/>
          <w:szCs w:val="22"/>
        </w:rPr>
        <w:t>,</w:t>
      </w:r>
      <w:r w:rsidR="00861F2B" w:rsidRPr="00C93983">
        <w:rPr>
          <w:sz w:val="22"/>
          <w:szCs w:val="22"/>
        </w:rPr>
        <w:t xml:space="preserve"> la propuesta de la UTE es considerada la mejor, </w:t>
      </w:r>
      <w:r w:rsidRPr="00C93983">
        <w:rPr>
          <w:sz w:val="22"/>
          <w:szCs w:val="22"/>
        </w:rPr>
        <w:t>pero</w:t>
      </w:r>
      <w:r w:rsidR="00861F2B" w:rsidRPr="00C93983">
        <w:rPr>
          <w:sz w:val="22"/>
          <w:szCs w:val="22"/>
        </w:rPr>
        <w:t xml:space="preserve"> en apartados como </w:t>
      </w:r>
      <w:r w:rsidR="00861F2B" w:rsidRPr="00C93983">
        <w:rPr>
          <w:i/>
          <w:iCs/>
          <w:sz w:val="22"/>
          <w:szCs w:val="22"/>
        </w:rPr>
        <w:t>seguimiento de trabajos, pruebas de control y documentación de actuaciones</w:t>
      </w:r>
      <w:r w:rsidR="00861F2B" w:rsidRPr="00C93983">
        <w:rPr>
          <w:sz w:val="22"/>
          <w:szCs w:val="22"/>
        </w:rPr>
        <w:t>, el informe iguala la puntuación de las tres ofertas (“equivalentes y óptimas”), aun cuando, según la UTE, su oferta incorpora medidas y herramientas adicionales no ofrecidas por las otras empresas, como utilización de herramientas digitales reconocidas, planes de pruebas por subsistema y doble verificación documental basada en ISO 9001 y repositorio GIT.</w:t>
      </w:r>
    </w:p>
    <w:p w14:paraId="7B4DF815" w14:textId="77777777" w:rsidR="00861F2B" w:rsidRPr="00C93983" w:rsidRDefault="00861F2B" w:rsidP="00861F2B">
      <w:pPr>
        <w:jc w:val="both"/>
        <w:rPr>
          <w:sz w:val="22"/>
          <w:szCs w:val="22"/>
        </w:rPr>
      </w:pPr>
    </w:p>
    <w:p w14:paraId="79334A0B" w14:textId="77777777" w:rsidR="00861F2B" w:rsidRPr="00C93983" w:rsidRDefault="00861F2B" w:rsidP="00861F2B">
      <w:pPr>
        <w:jc w:val="both"/>
        <w:rPr>
          <w:sz w:val="22"/>
          <w:szCs w:val="22"/>
        </w:rPr>
      </w:pPr>
    </w:p>
    <w:p w14:paraId="7B72A808" w14:textId="0B53768C" w:rsidR="00861F2B" w:rsidRPr="00C93983" w:rsidRDefault="00115CA3" w:rsidP="00861F2B">
      <w:pPr>
        <w:jc w:val="both"/>
        <w:rPr>
          <w:sz w:val="22"/>
          <w:szCs w:val="22"/>
        </w:rPr>
      </w:pPr>
      <w:r w:rsidRPr="00C93983">
        <w:rPr>
          <w:sz w:val="22"/>
          <w:szCs w:val="22"/>
        </w:rPr>
        <w:t>Tercero, r</w:t>
      </w:r>
      <w:r w:rsidR="00861F2B" w:rsidRPr="00C93983">
        <w:rPr>
          <w:sz w:val="22"/>
          <w:szCs w:val="22"/>
        </w:rPr>
        <w:t>especto a la baja anormal de TEKIA INGENIEROS, S.A., se alega que el informe justificativo es “sucinto”, “poco clarificador” y que la falta de acceso a la documentación presentada por TEKIA para dicha justificación impide a la UTE acreditar si la baja económica ofertada estaba realmente justificada conforme a los requisitos legales y del pliego. La UTE resalta que tanto su oferta como la de SAITEC presentan precios similares</w:t>
      </w:r>
      <w:r w:rsidRPr="00C93983">
        <w:rPr>
          <w:sz w:val="22"/>
          <w:szCs w:val="22"/>
        </w:rPr>
        <w:t>.</w:t>
      </w:r>
      <w:r w:rsidR="00861F2B" w:rsidRPr="00C93983">
        <w:rPr>
          <w:sz w:val="22"/>
          <w:szCs w:val="22"/>
        </w:rPr>
        <w:t xml:space="preserve"> Solicita, en este sentido, un acceso completo al expediente relativo a la oferta y justificación de TEKIA, para revisar si la justificación de la baja se ajustó a derecho.</w:t>
      </w:r>
    </w:p>
    <w:p w14:paraId="78A537E2" w14:textId="77777777" w:rsidR="00861F2B" w:rsidRPr="00C93983" w:rsidRDefault="00861F2B" w:rsidP="00861F2B">
      <w:pPr>
        <w:jc w:val="both"/>
        <w:rPr>
          <w:sz w:val="22"/>
          <w:szCs w:val="22"/>
        </w:rPr>
      </w:pPr>
    </w:p>
    <w:p w14:paraId="755DD867" w14:textId="77777777" w:rsidR="00861F2B" w:rsidRPr="00C93983" w:rsidRDefault="00861F2B" w:rsidP="00861F2B">
      <w:pPr>
        <w:jc w:val="both"/>
        <w:rPr>
          <w:sz w:val="22"/>
          <w:szCs w:val="22"/>
        </w:rPr>
      </w:pPr>
    </w:p>
    <w:p w14:paraId="1B673F80" w14:textId="5E6506F1" w:rsidR="00115CA3" w:rsidRPr="00C93983" w:rsidRDefault="006F0492" w:rsidP="00115CA3">
      <w:pPr>
        <w:jc w:val="both"/>
        <w:rPr>
          <w:sz w:val="22"/>
          <w:szCs w:val="22"/>
        </w:rPr>
      </w:pPr>
      <w:r w:rsidRPr="00C93983">
        <w:rPr>
          <w:b/>
          <w:bCs/>
          <w:sz w:val="22"/>
          <w:szCs w:val="22"/>
        </w:rPr>
        <w:lastRenderedPageBreak/>
        <w:t>SEXTO. -</w:t>
      </w:r>
      <w:r w:rsidR="00981F92" w:rsidRPr="00C93983">
        <w:rPr>
          <w:sz w:val="22"/>
          <w:szCs w:val="22"/>
        </w:rPr>
        <w:t>E</w:t>
      </w:r>
      <w:r w:rsidR="007A7CE2" w:rsidRPr="00C93983">
        <w:rPr>
          <w:sz w:val="22"/>
          <w:szCs w:val="22"/>
        </w:rPr>
        <w:t>l órgano de contratación</w:t>
      </w:r>
      <w:r w:rsidR="007A7CE2" w:rsidRPr="00C93983">
        <w:rPr>
          <w:b/>
          <w:bCs/>
          <w:sz w:val="22"/>
          <w:szCs w:val="22"/>
        </w:rPr>
        <w:t>,</w:t>
      </w:r>
      <w:r w:rsidR="00981F92" w:rsidRPr="00C93983">
        <w:rPr>
          <w:b/>
          <w:bCs/>
          <w:sz w:val="22"/>
          <w:szCs w:val="22"/>
        </w:rPr>
        <w:t xml:space="preserve"> </w:t>
      </w:r>
      <w:r w:rsidR="007A7CE2" w:rsidRPr="00C93983">
        <w:rPr>
          <w:b/>
          <w:bCs/>
          <w:sz w:val="22"/>
          <w:szCs w:val="22"/>
        </w:rPr>
        <w:t>e</w:t>
      </w:r>
      <w:r w:rsidR="007A7CE2" w:rsidRPr="00C93983">
        <w:rPr>
          <w:sz w:val="22"/>
          <w:szCs w:val="22"/>
        </w:rPr>
        <w:t xml:space="preserve">n informe </w:t>
      </w:r>
      <w:r w:rsidR="00715389">
        <w:rPr>
          <w:sz w:val="22"/>
          <w:szCs w:val="22"/>
        </w:rPr>
        <w:t>fechado el</w:t>
      </w:r>
      <w:r w:rsidR="007A7CE2" w:rsidRPr="00C93983">
        <w:rPr>
          <w:sz w:val="22"/>
          <w:szCs w:val="22"/>
        </w:rPr>
        <w:t xml:space="preserve"> </w:t>
      </w:r>
      <w:r w:rsidR="00115CA3" w:rsidRPr="00C93983">
        <w:rPr>
          <w:sz w:val="22"/>
          <w:szCs w:val="22"/>
        </w:rPr>
        <w:t>26 de agosto de 2025</w:t>
      </w:r>
      <w:r w:rsidR="007A7CE2" w:rsidRPr="00C93983">
        <w:rPr>
          <w:sz w:val="22"/>
          <w:szCs w:val="22"/>
        </w:rPr>
        <w:t>, solicita la desestimación del recurso</w:t>
      </w:r>
      <w:r w:rsidR="00F820B9" w:rsidRPr="00C93983">
        <w:rPr>
          <w:sz w:val="22"/>
          <w:szCs w:val="22"/>
        </w:rPr>
        <w:t xml:space="preserve"> especial</w:t>
      </w:r>
      <w:r w:rsidR="007A7CE2" w:rsidRPr="00C93983">
        <w:rPr>
          <w:sz w:val="22"/>
          <w:szCs w:val="22"/>
        </w:rPr>
        <w:t xml:space="preserve"> y </w:t>
      </w:r>
      <w:r w:rsidR="00F820B9" w:rsidRPr="00C93983">
        <w:rPr>
          <w:sz w:val="22"/>
          <w:szCs w:val="22"/>
        </w:rPr>
        <w:t xml:space="preserve">responde a los argumentos del recurso de </w:t>
      </w:r>
      <w:r w:rsidR="00DC1A55" w:rsidRPr="00C93983">
        <w:rPr>
          <w:sz w:val="22"/>
          <w:szCs w:val="22"/>
        </w:rPr>
        <w:t>UTE INGARTEK-TICMOVEO SL</w:t>
      </w:r>
      <w:r w:rsidR="00F820B9" w:rsidRPr="00C93983">
        <w:rPr>
          <w:sz w:val="22"/>
          <w:szCs w:val="22"/>
        </w:rPr>
        <w:t xml:space="preserve">. </w:t>
      </w:r>
      <w:r w:rsidR="00115CA3" w:rsidRPr="00C93983">
        <w:rPr>
          <w:sz w:val="22"/>
          <w:szCs w:val="22"/>
        </w:rPr>
        <w:t>En primer lugar, sobre la falta de acceso completo al expediente de contratación</w:t>
      </w:r>
      <w:r w:rsidR="00566102" w:rsidRPr="00C93983">
        <w:rPr>
          <w:sz w:val="22"/>
          <w:szCs w:val="22"/>
        </w:rPr>
        <w:t>, se mencionan</w:t>
      </w:r>
      <w:r w:rsidR="00115CA3" w:rsidRPr="00C93983">
        <w:rPr>
          <w:sz w:val="22"/>
          <w:szCs w:val="22"/>
        </w:rPr>
        <w:t xml:space="preserve"> las comunicaciones establecidas con la Secretaría Técnica de Infraestructuras Viarias y Movilidad, que informó a la recurrente sobre cómo proceder para examinar el expediente, indicando la exigencia de cita previa. Según el informe, la empresa no llegó a concertar dicha cita, por lo que la documentación continuó su tramitación ordinaria.</w:t>
      </w:r>
    </w:p>
    <w:p w14:paraId="62FBD3A9" w14:textId="77777777" w:rsidR="00115CA3" w:rsidRPr="00C93983" w:rsidRDefault="00115CA3" w:rsidP="00115CA3">
      <w:pPr>
        <w:jc w:val="both"/>
        <w:rPr>
          <w:sz w:val="22"/>
          <w:szCs w:val="22"/>
        </w:rPr>
      </w:pPr>
    </w:p>
    <w:p w14:paraId="0F76CC4E" w14:textId="443D2941" w:rsidR="00115CA3" w:rsidRPr="00C93983" w:rsidRDefault="00115CA3" w:rsidP="00115CA3">
      <w:pPr>
        <w:jc w:val="both"/>
        <w:rPr>
          <w:sz w:val="22"/>
          <w:szCs w:val="22"/>
        </w:rPr>
      </w:pPr>
      <w:r w:rsidRPr="00C93983">
        <w:rPr>
          <w:sz w:val="22"/>
          <w:szCs w:val="22"/>
        </w:rPr>
        <w:t xml:space="preserve">En segundo lugar, </w:t>
      </w:r>
      <w:r w:rsidR="00566102" w:rsidRPr="00C93983">
        <w:rPr>
          <w:sz w:val="22"/>
          <w:szCs w:val="22"/>
        </w:rPr>
        <w:t>sobre la</w:t>
      </w:r>
      <w:r w:rsidRPr="00C93983">
        <w:rPr>
          <w:sz w:val="22"/>
          <w:szCs w:val="22"/>
        </w:rPr>
        <w:t xml:space="preserve"> valoración de los aspectos no evaluables mediante fórmulas</w:t>
      </w:r>
      <w:r w:rsidR="00566102" w:rsidRPr="00C93983">
        <w:rPr>
          <w:sz w:val="22"/>
          <w:szCs w:val="22"/>
        </w:rPr>
        <w:t>, a</w:t>
      </w:r>
      <w:r w:rsidRPr="00C93983">
        <w:rPr>
          <w:sz w:val="22"/>
          <w:szCs w:val="22"/>
        </w:rPr>
        <w:t xml:space="preserve"> lo largo del análisis se </w:t>
      </w:r>
      <w:r w:rsidR="00566102" w:rsidRPr="00C93983">
        <w:rPr>
          <w:sz w:val="22"/>
          <w:szCs w:val="22"/>
        </w:rPr>
        <w:t>indica</w:t>
      </w:r>
      <w:r w:rsidRPr="00C93983">
        <w:rPr>
          <w:sz w:val="22"/>
          <w:szCs w:val="22"/>
        </w:rPr>
        <w:t xml:space="preserve"> que la UTE recurrente obtuvo 47,5 de los 49 puntos posibles. El informe enfatiza que la asignación de puntos siguió criterios homogéneos en todos los apartados</w:t>
      </w:r>
      <w:r w:rsidR="00566102" w:rsidRPr="00C93983">
        <w:rPr>
          <w:sz w:val="22"/>
          <w:szCs w:val="22"/>
        </w:rPr>
        <w:t>,</w:t>
      </w:r>
      <w:r w:rsidRPr="00C93983">
        <w:rPr>
          <w:sz w:val="22"/>
          <w:szCs w:val="22"/>
        </w:rPr>
        <w:t xml:space="preserve"> </w:t>
      </w:r>
      <w:r w:rsidR="00566102" w:rsidRPr="00C93983">
        <w:rPr>
          <w:sz w:val="22"/>
          <w:szCs w:val="22"/>
        </w:rPr>
        <w:t xml:space="preserve">lo que no </w:t>
      </w:r>
      <w:proofErr w:type="spellStart"/>
      <w:r w:rsidR="00566102" w:rsidRPr="00C93983">
        <w:rPr>
          <w:sz w:val="22"/>
          <w:szCs w:val="22"/>
        </w:rPr>
        <w:t>empece</w:t>
      </w:r>
      <w:proofErr w:type="spellEnd"/>
      <w:r w:rsidR="00566102" w:rsidRPr="00C93983">
        <w:rPr>
          <w:sz w:val="22"/>
          <w:szCs w:val="22"/>
        </w:rPr>
        <w:t xml:space="preserve"> a que </w:t>
      </w:r>
      <w:r w:rsidRPr="00C93983">
        <w:rPr>
          <w:sz w:val="22"/>
          <w:szCs w:val="22"/>
        </w:rPr>
        <w:t xml:space="preserve">las valoraciones realizadas por apartados diferenciados </w:t>
      </w:r>
      <w:r w:rsidR="00566102" w:rsidRPr="00C93983">
        <w:rPr>
          <w:sz w:val="22"/>
          <w:szCs w:val="22"/>
        </w:rPr>
        <w:t>sean</w:t>
      </w:r>
      <w:r w:rsidRPr="00C93983">
        <w:rPr>
          <w:sz w:val="22"/>
          <w:szCs w:val="22"/>
        </w:rPr>
        <w:t xml:space="preserve"> independientes entre sí</w:t>
      </w:r>
      <w:r w:rsidR="00566102" w:rsidRPr="00C93983">
        <w:rPr>
          <w:sz w:val="22"/>
          <w:szCs w:val="22"/>
        </w:rPr>
        <w:t>, es decir, que obtener</w:t>
      </w:r>
      <w:r w:rsidRPr="00C93983">
        <w:rPr>
          <w:sz w:val="22"/>
          <w:szCs w:val="22"/>
        </w:rPr>
        <w:t xml:space="preserve"> la máxima puntuación en unos apartados </w:t>
      </w:r>
      <w:r w:rsidR="00566102" w:rsidRPr="00C93983">
        <w:rPr>
          <w:sz w:val="22"/>
          <w:szCs w:val="22"/>
        </w:rPr>
        <w:t>no implica</w:t>
      </w:r>
      <w:r w:rsidRPr="00C93983">
        <w:rPr>
          <w:sz w:val="22"/>
          <w:szCs w:val="22"/>
        </w:rPr>
        <w:t xml:space="preserve"> automáticamente la máxima </w:t>
      </w:r>
      <w:r w:rsidR="00566102" w:rsidRPr="00C93983">
        <w:rPr>
          <w:sz w:val="22"/>
          <w:szCs w:val="22"/>
        </w:rPr>
        <w:t xml:space="preserve">puntuación </w:t>
      </w:r>
      <w:r w:rsidRPr="00C93983">
        <w:rPr>
          <w:sz w:val="22"/>
          <w:szCs w:val="22"/>
        </w:rPr>
        <w:t>en los restantes.</w:t>
      </w:r>
    </w:p>
    <w:p w14:paraId="5B8878FE" w14:textId="77777777" w:rsidR="00115CA3" w:rsidRPr="00C93983" w:rsidRDefault="00115CA3" w:rsidP="00115CA3">
      <w:pPr>
        <w:jc w:val="both"/>
        <w:rPr>
          <w:sz w:val="22"/>
          <w:szCs w:val="22"/>
        </w:rPr>
      </w:pPr>
    </w:p>
    <w:p w14:paraId="1D968C01" w14:textId="1301078C" w:rsidR="00115CA3" w:rsidRPr="00C93983" w:rsidRDefault="00566102" w:rsidP="00115CA3">
      <w:pPr>
        <w:jc w:val="both"/>
        <w:rPr>
          <w:sz w:val="22"/>
          <w:szCs w:val="22"/>
        </w:rPr>
      </w:pPr>
      <w:r w:rsidRPr="00C93983">
        <w:rPr>
          <w:sz w:val="22"/>
          <w:szCs w:val="22"/>
        </w:rPr>
        <w:t>S</w:t>
      </w:r>
      <w:r w:rsidR="00115CA3" w:rsidRPr="00C93983">
        <w:rPr>
          <w:sz w:val="22"/>
          <w:szCs w:val="22"/>
        </w:rPr>
        <w:t>obre la supuesta insuficiencia de motivación</w:t>
      </w:r>
      <w:r w:rsidRPr="00C93983">
        <w:rPr>
          <w:sz w:val="22"/>
          <w:szCs w:val="22"/>
        </w:rPr>
        <w:t xml:space="preserve">, </w:t>
      </w:r>
      <w:r w:rsidR="00115CA3" w:rsidRPr="00C93983">
        <w:rPr>
          <w:sz w:val="22"/>
          <w:szCs w:val="22"/>
        </w:rPr>
        <w:t xml:space="preserve">el </w:t>
      </w:r>
      <w:r w:rsidRPr="00C93983">
        <w:rPr>
          <w:sz w:val="22"/>
          <w:szCs w:val="22"/>
        </w:rPr>
        <w:t>órgano de contratación</w:t>
      </w:r>
      <w:r w:rsidR="00115CA3" w:rsidRPr="00C93983">
        <w:rPr>
          <w:sz w:val="22"/>
          <w:szCs w:val="22"/>
        </w:rPr>
        <w:t xml:space="preserve"> sostiene que la proporcionalidad y justificación se mantuvieron en todos los apartados valorados, habiendo otorgado la mejor puntuación técnica a la UTE recurrente</w:t>
      </w:r>
      <w:r w:rsidRPr="00C93983">
        <w:rPr>
          <w:sz w:val="22"/>
          <w:szCs w:val="22"/>
        </w:rPr>
        <w:t xml:space="preserve">, </w:t>
      </w:r>
      <w:r w:rsidR="00115CA3" w:rsidRPr="00C93983">
        <w:rPr>
          <w:sz w:val="22"/>
          <w:szCs w:val="22"/>
        </w:rPr>
        <w:t>por encima de SAITEC, S.A. y TEKIA INGENIEROS, S.A</w:t>
      </w:r>
      <w:r w:rsidRPr="00C93983">
        <w:rPr>
          <w:sz w:val="22"/>
          <w:szCs w:val="22"/>
        </w:rPr>
        <w:t>, pero que</w:t>
      </w:r>
      <w:r w:rsidR="00115CA3" w:rsidRPr="00C93983">
        <w:rPr>
          <w:sz w:val="22"/>
          <w:szCs w:val="22"/>
        </w:rPr>
        <w:t xml:space="preserve"> el modelo mixto de evaluación previsto en los pliegos no otorgaba la contratación automática a la mejor oferta técnica, sino a la más ventajosa en el cómputo global de criterios técnicos y económicos.</w:t>
      </w:r>
    </w:p>
    <w:p w14:paraId="3385D323" w14:textId="77777777" w:rsidR="00115CA3" w:rsidRPr="00C93983" w:rsidRDefault="00115CA3" w:rsidP="00115CA3">
      <w:pPr>
        <w:jc w:val="both"/>
        <w:rPr>
          <w:sz w:val="22"/>
          <w:szCs w:val="22"/>
        </w:rPr>
      </w:pPr>
    </w:p>
    <w:p w14:paraId="3001B836" w14:textId="401BF607" w:rsidR="00115CA3" w:rsidRPr="00C93983" w:rsidRDefault="00566102" w:rsidP="00115CA3">
      <w:pPr>
        <w:jc w:val="both"/>
        <w:rPr>
          <w:sz w:val="22"/>
          <w:szCs w:val="22"/>
        </w:rPr>
      </w:pPr>
      <w:r w:rsidRPr="00C93983">
        <w:rPr>
          <w:sz w:val="22"/>
          <w:szCs w:val="22"/>
        </w:rPr>
        <w:t>Finalmente, r</w:t>
      </w:r>
      <w:r w:rsidR="00115CA3" w:rsidRPr="00C93983">
        <w:rPr>
          <w:sz w:val="22"/>
          <w:szCs w:val="22"/>
        </w:rPr>
        <w:t xml:space="preserve">especto a la motivación y suficiencia del informe justificativo de la baja anormal de la oferta de TEKIA INGENIEROS, S.A., el informe transcribe el contenido literal de dicho documento emitido el 15 de abril de 2025. En él se recoge que TEKIA aportó un desglose detallado de costes del equipo de trabajo (incluyendo salarios, Seguridad Social e incrementos por convenio), presentación de costes adicionales por personal de apoyo, cálculo de gastos generales y beneficio industrial conforme a la LCSP y evidencia de experiencia previa en proyectos de características similares. </w:t>
      </w:r>
      <w:r w:rsidRPr="00C93983">
        <w:rPr>
          <w:sz w:val="22"/>
          <w:szCs w:val="22"/>
        </w:rPr>
        <w:t>Por ello</w:t>
      </w:r>
      <w:r w:rsidR="00115CA3" w:rsidRPr="00C93983">
        <w:rPr>
          <w:sz w:val="22"/>
          <w:szCs w:val="22"/>
        </w:rPr>
        <w:t xml:space="preserve"> la baja ofertada por TEKIA se consideró debidamente justificada y coherente con la estructura de costes presentada, permitiendo así su continuidad en el procedimiento de contratación.</w:t>
      </w:r>
    </w:p>
    <w:p w14:paraId="4D04C8EE" w14:textId="77777777" w:rsidR="00115CA3" w:rsidRPr="00C93983" w:rsidRDefault="00115CA3" w:rsidP="00115CA3">
      <w:pPr>
        <w:jc w:val="both"/>
        <w:rPr>
          <w:sz w:val="22"/>
          <w:szCs w:val="22"/>
        </w:rPr>
      </w:pPr>
    </w:p>
    <w:p w14:paraId="6AB03580" w14:textId="77777777" w:rsidR="00115CA3" w:rsidRPr="00C93983" w:rsidRDefault="00115CA3" w:rsidP="00115CA3">
      <w:pPr>
        <w:jc w:val="both"/>
        <w:rPr>
          <w:sz w:val="22"/>
          <w:szCs w:val="22"/>
        </w:rPr>
      </w:pPr>
    </w:p>
    <w:p w14:paraId="52C782A5" w14:textId="0886265A" w:rsidR="00BC60C6" w:rsidRPr="00C93983" w:rsidRDefault="00E17CF4" w:rsidP="00BC60C6">
      <w:pPr>
        <w:jc w:val="both"/>
        <w:rPr>
          <w:sz w:val="22"/>
          <w:szCs w:val="22"/>
        </w:rPr>
      </w:pPr>
      <w:r w:rsidRPr="00C93983">
        <w:rPr>
          <w:b/>
          <w:bCs/>
          <w:sz w:val="22"/>
          <w:szCs w:val="22"/>
        </w:rPr>
        <w:t>SEPTIMO. -</w:t>
      </w:r>
      <w:r w:rsidR="00FB5025" w:rsidRPr="00C93983">
        <w:rPr>
          <w:sz w:val="22"/>
          <w:szCs w:val="22"/>
        </w:rPr>
        <w:t>Por su parte</w:t>
      </w:r>
      <w:r w:rsidR="00FB5025" w:rsidRPr="00C93983">
        <w:rPr>
          <w:b/>
          <w:bCs/>
          <w:sz w:val="22"/>
          <w:szCs w:val="22"/>
        </w:rPr>
        <w:t xml:space="preserve">, </w:t>
      </w:r>
      <w:r w:rsidR="00FB5025" w:rsidRPr="00C93983">
        <w:rPr>
          <w:sz w:val="22"/>
          <w:szCs w:val="22"/>
        </w:rPr>
        <w:t xml:space="preserve">la adjudicataria </w:t>
      </w:r>
      <w:r w:rsidR="00BC60C6" w:rsidRPr="00C93983">
        <w:rPr>
          <w:sz w:val="22"/>
          <w:szCs w:val="22"/>
        </w:rPr>
        <w:t>TEKIA INGENIEROS SA alega en primer lugar que, al tratarse de un contrato financiado por fondos PRTR, el plazo de interposición del recurso especial en materia de contratación es de diez días naturales a contar desde la notificación de la adjudicación, tal y como establece el artículo 58.1.a) del Real Decreto-ley 36/2020 y el artículo 50.1.d) de la LCSP. Como el recurso fue presentado pasado dicho plazo, considera que el recurso debe ser inadmitido conforme al artículo 55.d) de la LCSP.</w:t>
      </w:r>
    </w:p>
    <w:p w14:paraId="4AEBCD1B" w14:textId="77777777" w:rsidR="00BC60C6" w:rsidRPr="00C93983" w:rsidRDefault="00BC60C6" w:rsidP="00BC60C6">
      <w:pPr>
        <w:jc w:val="both"/>
        <w:rPr>
          <w:sz w:val="22"/>
          <w:szCs w:val="22"/>
        </w:rPr>
      </w:pPr>
    </w:p>
    <w:p w14:paraId="63B5AEAE" w14:textId="32EED4C5" w:rsidR="00BC60C6" w:rsidRPr="00C93983" w:rsidRDefault="00BC60C6" w:rsidP="00BC60C6">
      <w:pPr>
        <w:jc w:val="both"/>
        <w:rPr>
          <w:sz w:val="22"/>
          <w:szCs w:val="22"/>
        </w:rPr>
      </w:pPr>
      <w:r w:rsidRPr="00C93983">
        <w:rPr>
          <w:sz w:val="22"/>
          <w:szCs w:val="22"/>
        </w:rPr>
        <w:t xml:space="preserve">Subsidiariamente, la adjudicataria defiende la correcta valoración técnica de las ofertas </w:t>
      </w:r>
      <w:r w:rsidR="00AD69CE" w:rsidRPr="00C93983">
        <w:rPr>
          <w:sz w:val="22"/>
          <w:szCs w:val="22"/>
        </w:rPr>
        <w:t>presentadas, fundamentada</w:t>
      </w:r>
      <w:r w:rsidRPr="00C93983">
        <w:rPr>
          <w:sz w:val="22"/>
          <w:szCs w:val="22"/>
        </w:rPr>
        <w:t xml:space="preserve"> en los criterios del PCAP y que no ha sido desvirtuada ni se ha acreditado error o arbitrariedad por parte del recurrente. </w:t>
      </w:r>
      <w:r w:rsidR="00AD69CE" w:rsidRPr="00C93983">
        <w:rPr>
          <w:sz w:val="22"/>
          <w:szCs w:val="22"/>
        </w:rPr>
        <w:t xml:space="preserve">Asimismo, considera </w:t>
      </w:r>
      <w:r w:rsidRPr="00C93983">
        <w:rPr>
          <w:sz w:val="22"/>
          <w:szCs w:val="22"/>
        </w:rPr>
        <w:t xml:space="preserve">que los informes técnicos cumplen adecuadamente con el deber de motivación, permitiendo a los licitadores conocer las razones de la puntuación otorgada, </w:t>
      </w:r>
      <w:r w:rsidR="00AD69CE" w:rsidRPr="00C93983">
        <w:rPr>
          <w:sz w:val="22"/>
          <w:szCs w:val="22"/>
        </w:rPr>
        <w:t>sin obligación de</w:t>
      </w:r>
      <w:r w:rsidRPr="00C93983">
        <w:rPr>
          <w:sz w:val="22"/>
          <w:szCs w:val="22"/>
        </w:rPr>
        <w:t xml:space="preserve"> desarrollar de manera exhaustiva cada diferencia entre ofertas.</w:t>
      </w:r>
    </w:p>
    <w:p w14:paraId="4BFB34A8" w14:textId="77777777" w:rsidR="00BC60C6" w:rsidRPr="00C93983" w:rsidRDefault="00BC60C6" w:rsidP="00BC60C6">
      <w:pPr>
        <w:jc w:val="both"/>
        <w:rPr>
          <w:sz w:val="22"/>
          <w:szCs w:val="22"/>
        </w:rPr>
      </w:pPr>
    </w:p>
    <w:p w14:paraId="7F1FFD00" w14:textId="53848187" w:rsidR="00BC60C6" w:rsidRPr="00C93983" w:rsidRDefault="00BC60C6" w:rsidP="00BC60C6">
      <w:pPr>
        <w:jc w:val="both"/>
        <w:rPr>
          <w:sz w:val="22"/>
          <w:szCs w:val="22"/>
        </w:rPr>
      </w:pPr>
      <w:r w:rsidRPr="00C93983">
        <w:rPr>
          <w:sz w:val="22"/>
          <w:szCs w:val="22"/>
        </w:rPr>
        <w:lastRenderedPageBreak/>
        <w:t xml:space="preserve">Respecto a la justificación de la viabilidad de la oferta </w:t>
      </w:r>
      <w:r w:rsidR="00AD69CE" w:rsidRPr="00C93983">
        <w:rPr>
          <w:sz w:val="22"/>
          <w:szCs w:val="22"/>
        </w:rPr>
        <w:t xml:space="preserve">la adjudicataria </w:t>
      </w:r>
      <w:r w:rsidRPr="00C93983">
        <w:rPr>
          <w:sz w:val="22"/>
          <w:szCs w:val="22"/>
        </w:rPr>
        <w:t>explica con detalle el proceso de justificación, el análisis de costes</w:t>
      </w:r>
      <w:r w:rsidR="00AD69CE" w:rsidRPr="00C93983">
        <w:rPr>
          <w:sz w:val="22"/>
          <w:szCs w:val="22"/>
        </w:rPr>
        <w:t>, sin descuidar</w:t>
      </w:r>
      <w:r w:rsidRPr="00C93983">
        <w:rPr>
          <w:sz w:val="22"/>
          <w:szCs w:val="22"/>
        </w:rPr>
        <w:t xml:space="preserve"> la motivación del informe que admite la oferta</w:t>
      </w:r>
      <w:r w:rsidR="00AD69CE" w:rsidRPr="00C93983">
        <w:rPr>
          <w:sz w:val="22"/>
          <w:szCs w:val="22"/>
        </w:rPr>
        <w:t>, que considera</w:t>
      </w:r>
      <w:r w:rsidRPr="00C93983">
        <w:rPr>
          <w:sz w:val="22"/>
          <w:szCs w:val="22"/>
        </w:rPr>
        <w:t xml:space="preserve"> suficiente, coherente y conforme a derecho, citando resoluciones de los tribunales administrativos de recursos contractuales que avalan la suficiencia de motivaciones racionales respecto a las ofertas incursa en baja.</w:t>
      </w:r>
    </w:p>
    <w:p w14:paraId="0939DF64" w14:textId="77777777" w:rsidR="00BC60C6" w:rsidRPr="00C93983" w:rsidRDefault="00BC60C6" w:rsidP="00BC60C6">
      <w:pPr>
        <w:jc w:val="both"/>
        <w:rPr>
          <w:sz w:val="22"/>
          <w:szCs w:val="22"/>
        </w:rPr>
      </w:pPr>
    </w:p>
    <w:p w14:paraId="0C3BB282" w14:textId="64C8235D" w:rsidR="00BC60C6" w:rsidRPr="00C93983" w:rsidRDefault="00BC60C6" w:rsidP="00BC60C6">
      <w:pPr>
        <w:jc w:val="both"/>
        <w:rPr>
          <w:sz w:val="22"/>
          <w:szCs w:val="22"/>
        </w:rPr>
      </w:pPr>
      <w:r w:rsidRPr="00C93983">
        <w:rPr>
          <w:sz w:val="22"/>
          <w:szCs w:val="22"/>
        </w:rPr>
        <w:t xml:space="preserve">Por último, TEKIA </w:t>
      </w:r>
      <w:r w:rsidR="00AD69CE" w:rsidRPr="00C93983">
        <w:rPr>
          <w:sz w:val="22"/>
          <w:szCs w:val="22"/>
        </w:rPr>
        <w:t>indica</w:t>
      </w:r>
      <w:r w:rsidRPr="00C93983">
        <w:rPr>
          <w:sz w:val="22"/>
          <w:szCs w:val="22"/>
        </w:rPr>
        <w:t xml:space="preserve"> que la documentación relevante </w:t>
      </w:r>
      <w:r w:rsidR="00AD69CE" w:rsidRPr="00C93983">
        <w:rPr>
          <w:sz w:val="22"/>
          <w:szCs w:val="22"/>
        </w:rPr>
        <w:t xml:space="preserve">del proceso de licitación </w:t>
      </w:r>
      <w:r w:rsidRPr="00C93983">
        <w:rPr>
          <w:sz w:val="22"/>
          <w:szCs w:val="22"/>
        </w:rPr>
        <w:t>se encontraba publicada</w:t>
      </w:r>
      <w:r w:rsidR="00AD69CE" w:rsidRPr="00C93983">
        <w:rPr>
          <w:sz w:val="22"/>
          <w:szCs w:val="22"/>
        </w:rPr>
        <w:t>, y que</w:t>
      </w:r>
      <w:r w:rsidRPr="00C93983">
        <w:rPr>
          <w:sz w:val="22"/>
          <w:szCs w:val="22"/>
        </w:rPr>
        <w:t xml:space="preserve"> el acceso general al expediente no es ilimitado; </w:t>
      </w:r>
      <w:r w:rsidR="00AD69CE" w:rsidRPr="00C93983">
        <w:rPr>
          <w:sz w:val="22"/>
          <w:szCs w:val="22"/>
        </w:rPr>
        <w:t>por lo que la solicitud de la recurrente de acceso completo al expediente equivale a una</w:t>
      </w:r>
      <w:r w:rsidRPr="00C93983">
        <w:rPr>
          <w:sz w:val="22"/>
          <w:szCs w:val="22"/>
        </w:rPr>
        <w:t xml:space="preserve"> petición genérica para revisar el expediente a posteriori.</w:t>
      </w:r>
    </w:p>
    <w:p w14:paraId="693BDB06" w14:textId="77777777" w:rsidR="00BC60C6" w:rsidRPr="00C93983" w:rsidRDefault="00BC60C6" w:rsidP="00BC60C6">
      <w:pPr>
        <w:jc w:val="both"/>
        <w:rPr>
          <w:sz w:val="22"/>
          <w:szCs w:val="22"/>
        </w:rPr>
      </w:pPr>
    </w:p>
    <w:p w14:paraId="2F4FC6DD" w14:textId="77777777" w:rsidR="00DC1A55" w:rsidRPr="00C93983" w:rsidRDefault="00DC1A55" w:rsidP="006F0492">
      <w:pPr>
        <w:jc w:val="both"/>
        <w:rPr>
          <w:b/>
          <w:bCs/>
          <w:sz w:val="22"/>
          <w:szCs w:val="22"/>
        </w:rPr>
      </w:pPr>
    </w:p>
    <w:p w14:paraId="25603B03" w14:textId="6DAD602E" w:rsidR="006F0492" w:rsidRPr="00C93983" w:rsidRDefault="00DF5BB6" w:rsidP="006F0492">
      <w:pPr>
        <w:jc w:val="both"/>
        <w:rPr>
          <w:sz w:val="22"/>
          <w:szCs w:val="22"/>
        </w:rPr>
      </w:pPr>
      <w:r w:rsidRPr="00C93983">
        <w:rPr>
          <w:b/>
          <w:bCs/>
          <w:sz w:val="22"/>
          <w:szCs w:val="22"/>
        </w:rPr>
        <w:t>OCTAVO. -</w:t>
      </w:r>
      <w:r w:rsidR="00002A8E" w:rsidRPr="00C93983">
        <w:rPr>
          <w:b/>
          <w:bCs/>
          <w:sz w:val="22"/>
          <w:szCs w:val="22"/>
        </w:rPr>
        <w:t xml:space="preserve">Valoración del </w:t>
      </w:r>
      <w:r w:rsidR="006F0492" w:rsidRPr="00C93983">
        <w:rPr>
          <w:b/>
          <w:bCs/>
          <w:sz w:val="22"/>
          <w:szCs w:val="22"/>
        </w:rPr>
        <w:t>OAFRC.</w:t>
      </w:r>
    </w:p>
    <w:p w14:paraId="4DF23318" w14:textId="77777777" w:rsidR="006F0492" w:rsidRPr="00C93983" w:rsidRDefault="006F0492" w:rsidP="006F0492">
      <w:pPr>
        <w:jc w:val="both"/>
        <w:rPr>
          <w:sz w:val="22"/>
          <w:szCs w:val="22"/>
        </w:rPr>
      </w:pPr>
    </w:p>
    <w:p w14:paraId="4497ED6B" w14:textId="71ED3E72" w:rsidR="00F1751D" w:rsidRPr="00C93983" w:rsidRDefault="00E72B32" w:rsidP="00537527">
      <w:pPr>
        <w:jc w:val="both"/>
        <w:rPr>
          <w:sz w:val="22"/>
          <w:szCs w:val="22"/>
        </w:rPr>
      </w:pPr>
      <w:r w:rsidRPr="00C93983">
        <w:rPr>
          <w:sz w:val="22"/>
          <w:szCs w:val="22"/>
        </w:rPr>
        <w:t xml:space="preserve">En primer lugar, debe resolverse el motivo de inadmisibilidad del recurso alegado por la adjudicataria TEKIA, </w:t>
      </w:r>
      <w:r w:rsidR="0056640A" w:rsidRPr="00C93983">
        <w:rPr>
          <w:sz w:val="22"/>
          <w:szCs w:val="22"/>
        </w:rPr>
        <w:t>basado en una</w:t>
      </w:r>
      <w:r w:rsidRPr="00C93983">
        <w:rPr>
          <w:sz w:val="22"/>
          <w:szCs w:val="22"/>
        </w:rPr>
        <w:t xml:space="preserve"> posible extemporaneidad. El informe del órgano de contratación no repara en ello, pues indica que el recurso se ha presentado en el plazo de 15 días hábiles desde la publicación del Acuerdo de adjudicación</w:t>
      </w:r>
      <w:r w:rsidR="00054CC7" w:rsidRPr="00C93983">
        <w:rPr>
          <w:sz w:val="22"/>
          <w:szCs w:val="22"/>
        </w:rPr>
        <w:t xml:space="preserve"> en el perfil del contratante.</w:t>
      </w:r>
      <w:r w:rsidR="004B0DA6" w:rsidRPr="00C93983">
        <w:rPr>
          <w:sz w:val="22"/>
          <w:szCs w:val="22"/>
        </w:rPr>
        <w:t xml:space="preserve"> No obstante, tal y como señala TEKIA, </w:t>
      </w:r>
      <w:r w:rsidR="00537527" w:rsidRPr="00C93983">
        <w:rPr>
          <w:sz w:val="22"/>
          <w:szCs w:val="22"/>
        </w:rPr>
        <w:t>el contrato</w:t>
      </w:r>
      <w:r w:rsidR="004B0DA6" w:rsidRPr="00C93983">
        <w:rPr>
          <w:sz w:val="22"/>
          <w:szCs w:val="22"/>
        </w:rPr>
        <w:t xml:space="preserve"> </w:t>
      </w:r>
      <w:r w:rsidR="00537527" w:rsidRPr="00C93983">
        <w:rPr>
          <w:sz w:val="22"/>
          <w:szCs w:val="22"/>
        </w:rPr>
        <w:t>está financiado</w:t>
      </w:r>
      <w:r w:rsidR="004B0DA6" w:rsidRPr="00C93983">
        <w:rPr>
          <w:sz w:val="22"/>
          <w:szCs w:val="22"/>
        </w:rPr>
        <w:t xml:space="preserve"> por fondos PRTR</w:t>
      </w:r>
      <w:r w:rsidR="00537527" w:rsidRPr="00C93983">
        <w:rPr>
          <w:sz w:val="22"/>
          <w:szCs w:val="22"/>
        </w:rPr>
        <w:t>. El Cuadro de características de la contratación lo recoge de esta forma en el apdo. A.1 dedicado a su objeto: “</w:t>
      </w:r>
      <w:r w:rsidR="00537527" w:rsidRPr="00C93983">
        <w:rPr>
          <w:i/>
          <w:iCs/>
          <w:sz w:val="22"/>
          <w:szCs w:val="22"/>
        </w:rPr>
        <w:t xml:space="preserve">Este contrato se enmarca en el subproyecto “Digitalización de los servicios administrativos de País </w:t>
      </w:r>
      <w:r w:rsidR="00537527" w:rsidRPr="00537527">
        <w:rPr>
          <w:i/>
          <w:iCs/>
          <w:sz w:val="22"/>
          <w:szCs w:val="22"/>
        </w:rPr>
        <w:t>Vasco en relación con el transporte por carretera o por ferrocarril”, financiado por los fondos Next</w:t>
      </w:r>
      <w:r w:rsidR="00537527" w:rsidRPr="00C93983">
        <w:rPr>
          <w:i/>
          <w:iCs/>
          <w:sz w:val="22"/>
          <w:szCs w:val="22"/>
        </w:rPr>
        <w:t xml:space="preserve"> </w:t>
      </w:r>
      <w:proofErr w:type="spellStart"/>
      <w:r w:rsidR="00537527" w:rsidRPr="00537527">
        <w:rPr>
          <w:i/>
          <w:iCs/>
          <w:sz w:val="22"/>
          <w:szCs w:val="22"/>
        </w:rPr>
        <w:t>Generation</w:t>
      </w:r>
      <w:proofErr w:type="spellEnd"/>
      <w:r w:rsidR="00537527" w:rsidRPr="00537527">
        <w:rPr>
          <w:i/>
          <w:iCs/>
          <w:sz w:val="22"/>
          <w:szCs w:val="22"/>
        </w:rPr>
        <w:t xml:space="preserve"> EU en el marco del Plan de Recuperación, Transformación y Resiliencia, dentro de la</w:t>
      </w:r>
      <w:r w:rsidR="00537527" w:rsidRPr="00C93983">
        <w:rPr>
          <w:i/>
          <w:iCs/>
          <w:sz w:val="22"/>
          <w:szCs w:val="22"/>
        </w:rPr>
        <w:t xml:space="preserve"> </w:t>
      </w:r>
      <w:r w:rsidR="00537527" w:rsidRPr="00537527">
        <w:rPr>
          <w:i/>
          <w:iCs/>
          <w:sz w:val="22"/>
          <w:szCs w:val="22"/>
        </w:rPr>
        <w:t>Componente 6 “Movilidad sostenible, segura y conectada” y la Inversión 4 “Programa de apoyo par</w:t>
      </w:r>
      <w:r w:rsidR="00537527" w:rsidRPr="00C93983">
        <w:rPr>
          <w:i/>
          <w:iCs/>
          <w:sz w:val="22"/>
          <w:szCs w:val="22"/>
        </w:rPr>
        <w:t xml:space="preserve">a </w:t>
      </w:r>
      <w:r w:rsidR="00537527" w:rsidRPr="00537527">
        <w:rPr>
          <w:i/>
          <w:iCs/>
          <w:sz w:val="22"/>
          <w:szCs w:val="22"/>
        </w:rPr>
        <w:t>un transporte sostenible y digital” y la medida 15 “Programa de apoyo para un transporte sostenible</w:t>
      </w:r>
      <w:r w:rsidR="00537527" w:rsidRPr="00C93983">
        <w:rPr>
          <w:i/>
          <w:iCs/>
          <w:sz w:val="22"/>
          <w:szCs w:val="22"/>
        </w:rPr>
        <w:t xml:space="preserve"> y digital</w:t>
      </w:r>
      <w:r w:rsidR="00537527" w:rsidRPr="00C93983">
        <w:rPr>
          <w:sz w:val="22"/>
          <w:szCs w:val="22"/>
        </w:rPr>
        <w:t>”.</w:t>
      </w:r>
      <w:r w:rsidR="004B0DA6" w:rsidRPr="00C93983">
        <w:rPr>
          <w:sz w:val="22"/>
          <w:szCs w:val="22"/>
        </w:rPr>
        <w:t xml:space="preserve"> </w:t>
      </w:r>
      <w:r w:rsidR="00537527" w:rsidRPr="00C93983">
        <w:rPr>
          <w:sz w:val="22"/>
          <w:szCs w:val="22"/>
        </w:rPr>
        <w:t xml:space="preserve">Por tanto, </w:t>
      </w:r>
      <w:r w:rsidR="004B0DA6" w:rsidRPr="00C93983">
        <w:rPr>
          <w:sz w:val="22"/>
          <w:szCs w:val="22"/>
        </w:rPr>
        <w:t xml:space="preserve">el plazo de interposición del recurso especial </w:t>
      </w:r>
      <w:r w:rsidR="00537527" w:rsidRPr="00C93983">
        <w:rPr>
          <w:sz w:val="22"/>
          <w:szCs w:val="22"/>
        </w:rPr>
        <w:t>sería</w:t>
      </w:r>
      <w:r w:rsidR="004B0DA6" w:rsidRPr="00C93983">
        <w:rPr>
          <w:sz w:val="22"/>
          <w:szCs w:val="22"/>
        </w:rPr>
        <w:t xml:space="preserve"> de diez días naturales a contar desde la notificación de la adjudicación, </w:t>
      </w:r>
      <w:r w:rsidR="00537527" w:rsidRPr="00C93983">
        <w:rPr>
          <w:sz w:val="22"/>
          <w:szCs w:val="22"/>
        </w:rPr>
        <w:t>de conformidad con</w:t>
      </w:r>
      <w:r w:rsidR="004B0DA6" w:rsidRPr="00C93983">
        <w:rPr>
          <w:sz w:val="22"/>
          <w:szCs w:val="22"/>
        </w:rPr>
        <w:t xml:space="preserve"> el artículo 58.1.a) del Real Decreto-ley 36/2020</w:t>
      </w:r>
      <w:r w:rsidR="00537527" w:rsidRPr="00C93983">
        <w:rPr>
          <w:sz w:val="22"/>
          <w:szCs w:val="22"/>
        </w:rPr>
        <w:t xml:space="preserve">, de 30 de diciembre, por el que se aprueban medidas urgentes para la modernización de la Administración Pública y para la ejecución del Plan de Recuperación, Transformación y Resiliencia. Sucede, no obstante, </w:t>
      </w:r>
      <w:r w:rsidR="00DA3FA1" w:rsidRPr="00C93983">
        <w:rPr>
          <w:sz w:val="22"/>
          <w:szCs w:val="22"/>
        </w:rPr>
        <w:t>que,</w:t>
      </w:r>
      <w:r w:rsidR="00537527" w:rsidRPr="00C93983">
        <w:rPr>
          <w:sz w:val="22"/>
          <w:szCs w:val="22"/>
        </w:rPr>
        <w:t xml:space="preserve"> en la parte dispositiva del Acuerdo recurrido, apdo. noveno, se informaba a los licitadores de la posibilidad de interponer recurso especial en materia de contratación en el plazo de quince días hábiles siguientes a su publicación en el perfil del contratante. Si consideramos estas indicaciones del órgano de contratación, el recurso especial de la UTE estaría interpuesto dentro del plazo.</w:t>
      </w:r>
    </w:p>
    <w:p w14:paraId="47C379C9" w14:textId="77777777" w:rsidR="004E6C1B" w:rsidRPr="00C93983" w:rsidRDefault="004E6C1B" w:rsidP="00537527">
      <w:pPr>
        <w:jc w:val="both"/>
        <w:rPr>
          <w:sz w:val="22"/>
          <w:szCs w:val="22"/>
        </w:rPr>
      </w:pPr>
    </w:p>
    <w:p w14:paraId="7F266DFD" w14:textId="03E2153A" w:rsidR="00DA3FA1" w:rsidRPr="00C93983" w:rsidRDefault="00DA3FA1" w:rsidP="00DA3FA1">
      <w:pPr>
        <w:jc w:val="both"/>
        <w:rPr>
          <w:sz w:val="22"/>
          <w:szCs w:val="22"/>
        </w:rPr>
      </w:pPr>
      <w:r w:rsidRPr="00C93983">
        <w:rPr>
          <w:sz w:val="22"/>
          <w:szCs w:val="22"/>
        </w:rPr>
        <w:t>Aplicando el</w:t>
      </w:r>
      <w:r w:rsidR="004E6C1B" w:rsidRPr="00C93983">
        <w:rPr>
          <w:sz w:val="22"/>
          <w:szCs w:val="22"/>
        </w:rPr>
        <w:t xml:space="preserve"> principio pro </w:t>
      </w:r>
      <w:proofErr w:type="spellStart"/>
      <w:r w:rsidR="004E6C1B" w:rsidRPr="00C93983">
        <w:rPr>
          <w:sz w:val="22"/>
          <w:szCs w:val="22"/>
        </w:rPr>
        <w:t>actione</w:t>
      </w:r>
      <w:proofErr w:type="spellEnd"/>
      <w:r w:rsidR="004E6C1B" w:rsidRPr="00C93983">
        <w:rPr>
          <w:sz w:val="22"/>
          <w:szCs w:val="22"/>
        </w:rPr>
        <w:t xml:space="preserve">, vamos a rechazar la </w:t>
      </w:r>
      <w:r w:rsidRPr="00C93983">
        <w:rPr>
          <w:sz w:val="22"/>
          <w:szCs w:val="22"/>
        </w:rPr>
        <w:t>excepción de inadmisibilidad</w:t>
      </w:r>
      <w:r w:rsidR="004E6C1B" w:rsidRPr="00C93983">
        <w:rPr>
          <w:sz w:val="22"/>
          <w:szCs w:val="22"/>
        </w:rPr>
        <w:t xml:space="preserve"> del recurso, pues el pie de recurso debe prevalecer, como </w:t>
      </w:r>
      <w:r w:rsidRPr="00C93983">
        <w:rPr>
          <w:sz w:val="22"/>
          <w:szCs w:val="22"/>
        </w:rPr>
        <w:t xml:space="preserve">así </w:t>
      </w:r>
      <w:r w:rsidR="004E6C1B" w:rsidRPr="00C93983">
        <w:rPr>
          <w:sz w:val="22"/>
          <w:szCs w:val="22"/>
        </w:rPr>
        <w:t xml:space="preserve">se declara en la </w:t>
      </w:r>
      <w:r w:rsidRPr="00C93983">
        <w:rPr>
          <w:sz w:val="22"/>
          <w:szCs w:val="22"/>
        </w:rPr>
        <w:t xml:space="preserve">Sentencia </w:t>
      </w:r>
      <w:proofErr w:type="spellStart"/>
      <w:r w:rsidRPr="00C93983">
        <w:rPr>
          <w:sz w:val="22"/>
          <w:szCs w:val="22"/>
        </w:rPr>
        <w:t>nº</w:t>
      </w:r>
      <w:proofErr w:type="spellEnd"/>
      <w:r w:rsidRPr="00C93983">
        <w:rPr>
          <w:sz w:val="22"/>
          <w:szCs w:val="22"/>
        </w:rPr>
        <w:t xml:space="preserve"> 190/2023 del TSJ Aragón (Sala de lo Contencioso-Administrativo), de 15 de junio, </w:t>
      </w:r>
      <w:proofErr w:type="spellStart"/>
      <w:r w:rsidRPr="00C93983">
        <w:rPr>
          <w:sz w:val="22"/>
          <w:szCs w:val="22"/>
        </w:rPr>
        <w:t>rec.</w:t>
      </w:r>
      <w:proofErr w:type="spellEnd"/>
      <w:r w:rsidRPr="00C93983">
        <w:rPr>
          <w:sz w:val="22"/>
          <w:szCs w:val="22"/>
        </w:rPr>
        <w:t xml:space="preserve"> 28/2022, pues </w:t>
      </w:r>
      <w:r w:rsidR="004E6C1B" w:rsidRPr="00C93983">
        <w:rPr>
          <w:sz w:val="22"/>
          <w:szCs w:val="22"/>
        </w:rPr>
        <w:t xml:space="preserve">habiendo sido un error de la administración convocante, no puede ahora </w:t>
      </w:r>
      <w:r w:rsidRPr="00C93983">
        <w:rPr>
          <w:sz w:val="22"/>
          <w:szCs w:val="22"/>
        </w:rPr>
        <w:t>privarse al interesado</w:t>
      </w:r>
      <w:r w:rsidR="004E6C1B" w:rsidRPr="00C93983">
        <w:rPr>
          <w:sz w:val="22"/>
          <w:szCs w:val="22"/>
        </w:rPr>
        <w:t xml:space="preserve"> del derecho a recurrir.</w:t>
      </w:r>
      <w:bookmarkStart w:id="2" w:name="LOC_F50"/>
      <w:bookmarkEnd w:id="2"/>
      <w:r w:rsidRPr="00C93983">
        <w:rPr>
          <w:sz w:val="22"/>
          <w:szCs w:val="22"/>
        </w:rPr>
        <w:t xml:space="preserve"> Este fundamento entronca directamente con</w:t>
      </w:r>
      <w:r w:rsidRPr="00C93983">
        <w:t xml:space="preserve"> </w:t>
      </w:r>
      <w:r w:rsidRPr="00C93983">
        <w:rPr>
          <w:sz w:val="22"/>
          <w:szCs w:val="22"/>
        </w:rPr>
        <w:t>el principio de buena fe y confianza legítima:  si la Administración notifica un plazo incorrecto para recurrir, el recurrente debe poder confiar legítimamente en esa información, y no puede verse perjudicado por ese error administrativo. Una inadmisión por extemporaneidad vulneraría los mencionados principios.</w:t>
      </w:r>
    </w:p>
    <w:p w14:paraId="00568E0E" w14:textId="77777777" w:rsidR="00DA3FA1" w:rsidRPr="00C93983" w:rsidRDefault="00DA3FA1" w:rsidP="00DA3FA1">
      <w:pPr>
        <w:jc w:val="both"/>
        <w:rPr>
          <w:sz w:val="22"/>
          <w:szCs w:val="22"/>
        </w:rPr>
      </w:pPr>
    </w:p>
    <w:p w14:paraId="0409D79C" w14:textId="111FCB8B" w:rsidR="007D082A" w:rsidRPr="00C93983" w:rsidRDefault="0012484D" w:rsidP="004344C4">
      <w:pPr>
        <w:jc w:val="both"/>
        <w:rPr>
          <w:sz w:val="22"/>
          <w:szCs w:val="22"/>
        </w:rPr>
      </w:pPr>
      <w:r w:rsidRPr="00C93983">
        <w:rPr>
          <w:sz w:val="22"/>
          <w:szCs w:val="22"/>
        </w:rPr>
        <w:t>En segundo lugar, hay que analizar</w:t>
      </w:r>
      <w:r w:rsidR="00CA5719" w:rsidRPr="00C93983">
        <w:rPr>
          <w:sz w:val="22"/>
          <w:szCs w:val="22"/>
        </w:rPr>
        <w:t xml:space="preserve"> el alegato de indefensión por no haber tenido acceso completo al expediente de licitación. En concreto, la recurrente alude a la oferta presentada por la empresa adjudicataria en el sobre B y a la documental justificativa de la baja temeraria. En el hecho 10º </w:t>
      </w:r>
      <w:r w:rsidR="00CA5719" w:rsidRPr="00C93983">
        <w:rPr>
          <w:sz w:val="22"/>
          <w:szCs w:val="22"/>
        </w:rPr>
        <w:lastRenderedPageBreak/>
        <w:t>del recurso se menciona la petición de acceso realizada (documentos 10 A y 10 B) y la contestación del órgano de contratación (documento 10 C). Se menciona un contacto telefónico con la Secretaría de la Mesa de Contratación. No obstante, en el escrito de contestación</w:t>
      </w:r>
      <w:r w:rsidR="00243A4B" w:rsidRPr="00C93983">
        <w:rPr>
          <w:sz w:val="22"/>
          <w:szCs w:val="22"/>
        </w:rPr>
        <w:t xml:space="preserve"> de 2 de julio de 2025</w:t>
      </w:r>
      <w:r w:rsidR="00CA5719" w:rsidRPr="00C93983">
        <w:rPr>
          <w:sz w:val="22"/>
          <w:szCs w:val="22"/>
        </w:rPr>
        <w:t xml:space="preserve"> se requiere que se ponga en contacto con el Negociado de Infraestructuras Viarias y Movilidad</w:t>
      </w:r>
      <w:r w:rsidR="00243A4B" w:rsidRPr="00C93983">
        <w:rPr>
          <w:sz w:val="22"/>
          <w:szCs w:val="22"/>
        </w:rPr>
        <w:t xml:space="preserve"> y se facilita un número de teléfono para poder concertar cita y hora para la vista del expediente. En el informe sobre el recurso que emite el órgano se recoge que “la empresa no llegó a concert</w:t>
      </w:r>
      <w:r w:rsidR="003C387E" w:rsidRPr="00C93983">
        <w:rPr>
          <w:sz w:val="22"/>
          <w:szCs w:val="22"/>
        </w:rPr>
        <w:t>ar cita para examinar el expediente”.</w:t>
      </w:r>
      <w:r w:rsidR="004344C4" w:rsidRPr="00C93983">
        <w:rPr>
          <w:sz w:val="22"/>
          <w:szCs w:val="22"/>
        </w:rPr>
        <w:t xml:space="preserve"> El art. 52 LCSP estable la obligación del órgano de contratación de facilitar al recurrente el acceso al expediente, y en caso de incumplimiento</w:t>
      </w:r>
      <w:r w:rsidR="007D082A" w:rsidRPr="00C93983">
        <w:rPr>
          <w:sz w:val="22"/>
          <w:szCs w:val="22"/>
        </w:rPr>
        <w:t xml:space="preserve">, según se recoge en el apartado tercero, sería preceptivo conceder al recurrente el acceso al expediente de contratación en sus oficinas por plazo de diez días. Sin embargo, de lo expuesto con anterioridad este órgano no puede deducir que se ha producido la vulneración del derecho a consultar el expediente, pues el órgano de contratación contestó a la solicitud de acceso en sentido afirmativo, con la única condición de acordar una fecha y hora para facilitar el acceso al expediente. Esta situación es parangonable a la que resolvió el Tribunal Supremo, Sala de lo Contencioso-Administrativo, por Sentencia de 26-03-2001, </w:t>
      </w:r>
      <w:proofErr w:type="spellStart"/>
      <w:r w:rsidR="007D082A" w:rsidRPr="00C93983">
        <w:rPr>
          <w:sz w:val="22"/>
          <w:szCs w:val="22"/>
        </w:rPr>
        <w:t>rec.</w:t>
      </w:r>
      <w:proofErr w:type="spellEnd"/>
      <w:r w:rsidR="007D082A" w:rsidRPr="00C93983">
        <w:rPr>
          <w:sz w:val="22"/>
          <w:szCs w:val="22"/>
        </w:rPr>
        <w:t xml:space="preserve"> 8940/1996. Y es que la Sala desestimó </w:t>
      </w:r>
      <w:r w:rsidR="00DA5057" w:rsidRPr="00C93983">
        <w:rPr>
          <w:sz w:val="22"/>
          <w:szCs w:val="22"/>
        </w:rPr>
        <w:t xml:space="preserve">las alegaciones vertidas por el recurrente en este sentido, porque de las pruebas practicadas </w:t>
      </w:r>
      <w:r w:rsidR="00DA5057" w:rsidRPr="00C93983">
        <w:rPr>
          <w:i/>
          <w:iCs/>
          <w:sz w:val="22"/>
          <w:szCs w:val="22"/>
        </w:rPr>
        <w:t>no se demostró</w:t>
      </w:r>
      <w:r w:rsidR="007D082A" w:rsidRPr="00C93983">
        <w:rPr>
          <w:i/>
          <w:iCs/>
          <w:sz w:val="22"/>
          <w:szCs w:val="22"/>
        </w:rPr>
        <w:t xml:space="preserve"> la imposibilidad efectiva de acceder </w:t>
      </w:r>
      <w:r w:rsidR="00DA5057" w:rsidRPr="00C93983">
        <w:rPr>
          <w:i/>
          <w:iCs/>
          <w:sz w:val="22"/>
          <w:szCs w:val="22"/>
        </w:rPr>
        <w:t>a la documentación</w:t>
      </w:r>
      <w:r w:rsidR="007D082A" w:rsidRPr="00C93983">
        <w:rPr>
          <w:i/>
          <w:iCs/>
          <w:sz w:val="22"/>
          <w:szCs w:val="22"/>
        </w:rPr>
        <w:t>, ni impidió a la recurrente hacerlo</w:t>
      </w:r>
      <w:r w:rsidR="00DA5057" w:rsidRPr="00C93983">
        <w:rPr>
          <w:sz w:val="22"/>
          <w:szCs w:val="22"/>
        </w:rPr>
        <w:t xml:space="preserve">. Por lo expuesto, este órgano no aprecia motivos para </w:t>
      </w:r>
      <w:r w:rsidR="00285820">
        <w:rPr>
          <w:sz w:val="22"/>
          <w:szCs w:val="22"/>
        </w:rPr>
        <w:t>estimar la pretensión del recurrente y que pueda completar su recurso en un momento posterior.</w:t>
      </w:r>
    </w:p>
    <w:p w14:paraId="30D176AC" w14:textId="77777777" w:rsidR="00DA5057" w:rsidRPr="00C93983" w:rsidRDefault="00DA5057" w:rsidP="004344C4">
      <w:pPr>
        <w:jc w:val="both"/>
        <w:rPr>
          <w:sz w:val="22"/>
          <w:szCs w:val="22"/>
        </w:rPr>
      </w:pPr>
    </w:p>
    <w:p w14:paraId="2FD2B411" w14:textId="2808C160" w:rsidR="00DA5057" w:rsidRDefault="00701A5B" w:rsidP="004344C4">
      <w:pPr>
        <w:jc w:val="both"/>
        <w:rPr>
          <w:sz w:val="22"/>
          <w:szCs w:val="22"/>
        </w:rPr>
      </w:pPr>
      <w:r w:rsidRPr="00C93983">
        <w:rPr>
          <w:sz w:val="22"/>
          <w:szCs w:val="22"/>
        </w:rPr>
        <w:t xml:space="preserve">Entrando al fondo de asunto, </w:t>
      </w:r>
      <w:r w:rsidR="005870B1" w:rsidRPr="00C93983">
        <w:rPr>
          <w:sz w:val="22"/>
          <w:szCs w:val="22"/>
        </w:rPr>
        <w:t xml:space="preserve">el primer reparo de la recurrente se dirige a </w:t>
      </w:r>
      <w:r w:rsidR="005870B1" w:rsidRPr="00C93983">
        <w:rPr>
          <w:i/>
          <w:iCs/>
          <w:sz w:val="22"/>
          <w:szCs w:val="22"/>
        </w:rPr>
        <w:t xml:space="preserve">la </w:t>
      </w:r>
      <w:r w:rsidR="005870B1" w:rsidRPr="001E3AD4">
        <w:rPr>
          <w:i/>
          <w:iCs/>
          <w:sz w:val="22"/>
          <w:szCs w:val="22"/>
          <w:u w:val="single"/>
        </w:rPr>
        <w:t xml:space="preserve">valoración indebidamente baja y no justificada de la oferta </w:t>
      </w:r>
      <w:r w:rsidR="005870B1" w:rsidRPr="001E3AD4">
        <w:rPr>
          <w:sz w:val="22"/>
          <w:szCs w:val="22"/>
          <w:u w:val="single"/>
        </w:rPr>
        <w:t>de la UTE</w:t>
      </w:r>
      <w:r w:rsidR="005870B1" w:rsidRPr="00C93983">
        <w:rPr>
          <w:sz w:val="22"/>
          <w:szCs w:val="22"/>
        </w:rPr>
        <w:t xml:space="preserve"> (apdo. A del F.D. VI del recurso)</w:t>
      </w:r>
      <w:r w:rsidR="00BC3317" w:rsidRPr="00C93983">
        <w:rPr>
          <w:sz w:val="22"/>
          <w:szCs w:val="22"/>
        </w:rPr>
        <w:t>. A su vez, este apdo. se estructura en torno a 7 aspectos:</w:t>
      </w:r>
    </w:p>
    <w:p w14:paraId="48F969B6" w14:textId="77777777" w:rsidR="00C93983" w:rsidRPr="00C93983" w:rsidRDefault="00C93983" w:rsidP="004344C4">
      <w:pPr>
        <w:jc w:val="both"/>
        <w:rPr>
          <w:sz w:val="22"/>
          <w:szCs w:val="22"/>
        </w:rPr>
      </w:pPr>
    </w:p>
    <w:p w14:paraId="604F35CF" w14:textId="6848F212" w:rsidR="00BC3317" w:rsidRPr="00C93983" w:rsidRDefault="00BC3317" w:rsidP="001E3AD4">
      <w:pPr>
        <w:pStyle w:val="Prrafodelista"/>
        <w:numPr>
          <w:ilvl w:val="0"/>
          <w:numId w:val="11"/>
        </w:numPr>
        <w:jc w:val="both"/>
        <w:rPr>
          <w:rFonts w:ascii="Times New Roman" w:hAnsi="Times New Roman" w:cs="Times New Roman"/>
        </w:rPr>
      </w:pPr>
      <w:r w:rsidRPr="00C93983">
        <w:rPr>
          <w:rFonts w:ascii="Times New Roman" w:hAnsi="Times New Roman" w:cs="Times New Roman"/>
        </w:rPr>
        <w:t>Sobre el cumplimiento íntegro y detallado de los requisitos del pliego de prescripciones técnicas.</w:t>
      </w:r>
    </w:p>
    <w:p w14:paraId="09FA6796" w14:textId="6611A4F9" w:rsidR="00BC3317" w:rsidRPr="00C93983" w:rsidRDefault="00BC3317" w:rsidP="001E3AD4">
      <w:pPr>
        <w:pStyle w:val="Prrafodelista"/>
        <w:numPr>
          <w:ilvl w:val="0"/>
          <w:numId w:val="11"/>
        </w:numPr>
        <w:jc w:val="both"/>
        <w:rPr>
          <w:rFonts w:ascii="Times New Roman" w:hAnsi="Times New Roman" w:cs="Times New Roman"/>
        </w:rPr>
      </w:pPr>
      <w:r w:rsidRPr="00C93983">
        <w:rPr>
          <w:rFonts w:ascii="Times New Roman" w:hAnsi="Times New Roman" w:cs="Times New Roman"/>
        </w:rPr>
        <w:t>Comparativa objetiva frente al resto de licitadores.</w:t>
      </w:r>
    </w:p>
    <w:p w14:paraId="7780787D" w14:textId="67669C33" w:rsidR="00BC3317" w:rsidRPr="00C93983" w:rsidRDefault="00BC3317" w:rsidP="001E3AD4">
      <w:pPr>
        <w:pStyle w:val="Prrafodelista"/>
        <w:numPr>
          <w:ilvl w:val="0"/>
          <w:numId w:val="11"/>
        </w:numPr>
        <w:jc w:val="both"/>
        <w:rPr>
          <w:rFonts w:ascii="Times New Roman" w:hAnsi="Times New Roman" w:cs="Times New Roman"/>
        </w:rPr>
      </w:pPr>
      <w:r w:rsidRPr="00C93983">
        <w:rPr>
          <w:rFonts w:ascii="Times New Roman" w:hAnsi="Times New Roman" w:cs="Times New Roman"/>
        </w:rPr>
        <w:t>Incongruencia con la propia valoración del órgano de contratación.</w:t>
      </w:r>
    </w:p>
    <w:p w14:paraId="53C8E99E" w14:textId="51E90EB9" w:rsidR="00BC3317" w:rsidRPr="00C93983" w:rsidRDefault="00BC3317" w:rsidP="001E3AD4">
      <w:pPr>
        <w:pStyle w:val="Prrafodelista"/>
        <w:numPr>
          <w:ilvl w:val="0"/>
          <w:numId w:val="11"/>
        </w:numPr>
        <w:jc w:val="both"/>
        <w:rPr>
          <w:rFonts w:ascii="Times New Roman" w:hAnsi="Times New Roman" w:cs="Times New Roman"/>
        </w:rPr>
      </w:pPr>
      <w:r w:rsidRPr="00C93983">
        <w:rPr>
          <w:rFonts w:ascii="Times New Roman" w:hAnsi="Times New Roman" w:cs="Times New Roman"/>
        </w:rPr>
        <w:t>Vulneración del principio de igualdad y objetividad.</w:t>
      </w:r>
    </w:p>
    <w:p w14:paraId="4FED2329" w14:textId="5939FC76" w:rsidR="00BC3317" w:rsidRPr="00C93983" w:rsidRDefault="00BC3317" w:rsidP="001E3AD4">
      <w:pPr>
        <w:pStyle w:val="Prrafodelista"/>
        <w:numPr>
          <w:ilvl w:val="0"/>
          <w:numId w:val="11"/>
        </w:numPr>
        <w:jc w:val="both"/>
        <w:rPr>
          <w:rFonts w:ascii="Times New Roman" w:hAnsi="Times New Roman" w:cs="Times New Roman"/>
        </w:rPr>
      </w:pPr>
      <w:r w:rsidRPr="00C93983">
        <w:rPr>
          <w:rFonts w:ascii="Times New Roman" w:hAnsi="Times New Roman" w:cs="Times New Roman"/>
        </w:rPr>
        <w:t>Insuficiente motivación en la asignación de puntuaciones equivalentes en apartados clave.</w:t>
      </w:r>
    </w:p>
    <w:p w14:paraId="620492C4" w14:textId="162D2288" w:rsidR="00BC3317" w:rsidRPr="00C93983" w:rsidRDefault="00BC3317" w:rsidP="001E3AD4">
      <w:pPr>
        <w:pStyle w:val="Prrafodelista"/>
        <w:numPr>
          <w:ilvl w:val="0"/>
          <w:numId w:val="11"/>
        </w:numPr>
        <w:jc w:val="both"/>
        <w:rPr>
          <w:rFonts w:ascii="Times New Roman" w:hAnsi="Times New Roman" w:cs="Times New Roman"/>
        </w:rPr>
      </w:pPr>
      <w:r w:rsidRPr="00C93983">
        <w:rPr>
          <w:rFonts w:ascii="Times New Roman" w:hAnsi="Times New Roman" w:cs="Times New Roman"/>
        </w:rPr>
        <w:t>Incoherencia en el criterio de proporcionalidad.</w:t>
      </w:r>
    </w:p>
    <w:p w14:paraId="77F6EE4E" w14:textId="3A48D03E" w:rsidR="00BC3317" w:rsidRPr="00C93983" w:rsidRDefault="00BC3317" w:rsidP="001E3AD4">
      <w:pPr>
        <w:pStyle w:val="Prrafodelista"/>
        <w:numPr>
          <w:ilvl w:val="0"/>
          <w:numId w:val="11"/>
        </w:numPr>
        <w:jc w:val="both"/>
        <w:rPr>
          <w:rFonts w:ascii="Times New Roman" w:hAnsi="Times New Roman" w:cs="Times New Roman"/>
        </w:rPr>
      </w:pPr>
      <w:r w:rsidRPr="00C93983">
        <w:rPr>
          <w:rFonts w:ascii="Times New Roman" w:hAnsi="Times New Roman" w:cs="Times New Roman"/>
        </w:rPr>
        <w:t>Perjuicio para la UTE.</w:t>
      </w:r>
    </w:p>
    <w:bookmarkEnd w:id="0"/>
    <w:p w14:paraId="089D8803" w14:textId="77777777" w:rsidR="00981F92" w:rsidRPr="00C93983" w:rsidRDefault="00981F92" w:rsidP="003F3986">
      <w:pPr>
        <w:rPr>
          <w:bCs/>
          <w:sz w:val="22"/>
          <w:szCs w:val="22"/>
        </w:rPr>
      </w:pPr>
    </w:p>
    <w:p w14:paraId="7E1425F1" w14:textId="00253EB7" w:rsidR="00900B29" w:rsidRDefault="00A21B88" w:rsidP="00900B29">
      <w:pPr>
        <w:jc w:val="both"/>
        <w:rPr>
          <w:bCs/>
          <w:sz w:val="22"/>
          <w:szCs w:val="22"/>
        </w:rPr>
      </w:pPr>
      <w:r w:rsidRPr="00C93983">
        <w:rPr>
          <w:bCs/>
          <w:sz w:val="22"/>
          <w:szCs w:val="22"/>
        </w:rPr>
        <w:t xml:space="preserve">Como corolario de su exposición, la recurrente solicita que se revise al alza la puntuación en el apartado “previsión de las tareas a realizar”, y entiende plausible obtener la máxima puntuación prevista en ese apartado, 6 puntos, en lugar de los 4,5 puntos que obtuvo. </w:t>
      </w:r>
      <w:r w:rsidR="00900B29">
        <w:rPr>
          <w:bCs/>
          <w:sz w:val="22"/>
          <w:szCs w:val="22"/>
        </w:rPr>
        <w:t xml:space="preserve">La recurrente alega que es injustificada la diferencia de puntos con el resto de las licitadoras en ese </w:t>
      </w:r>
      <w:r w:rsidR="00B43EC5">
        <w:rPr>
          <w:bCs/>
          <w:sz w:val="22"/>
          <w:szCs w:val="22"/>
        </w:rPr>
        <w:t>apartado “</w:t>
      </w:r>
      <w:r w:rsidR="00900B29" w:rsidRPr="00C93983">
        <w:rPr>
          <w:bCs/>
          <w:sz w:val="22"/>
          <w:szCs w:val="22"/>
        </w:rPr>
        <w:t>previsión de las tareas a realizar”, y entiende plausible obtener la máxima puntuación prevista en ese apartado, 6 puntos, en lugar de los 4,5 puntos que obtuvo</w:t>
      </w:r>
      <w:r w:rsidR="00900B29">
        <w:rPr>
          <w:bCs/>
          <w:sz w:val="22"/>
          <w:szCs w:val="22"/>
        </w:rPr>
        <w:t>, porque considera que su oferta cumple y supera los requisitos del pliego técnico.</w:t>
      </w:r>
    </w:p>
    <w:p w14:paraId="03C9F088" w14:textId="77777777" w:rsidR="002F12BC" w:rsidRPr="00C93983" w:rsidRDefault="002F12BC" w:rsidP="002F12BC">
      <w:pPr>
        <w:jc w:val="both"/>
        <w:rPr>
          <w:bCs/>
          <w:sz w:val="22"/>
          <w:szCs w:val="22"/>
        </w:rPr>
      </w:pPr>
    </w:p>
    <w:p w14:paraId="2E9867E0" w14:textId="318CEA2B" w:rsidR="006A2C6F" w:rsidRDefault="00C93983" w:rsidP="006A2C6F">
      <w:pPr>
        <w:jc w:val="both"/>
        <w:rPr>
          <w:bCs/>
          <w:sz w:val="22"/>
          <w:szCs w:val="22"/>
        </w:rPr>
      </w:pPr>
      <w:r>
        <w:rPr>
          <w:bCs/>
          <w:sz w:val="22"/>
          <w:szCs w:val="22"/>
        </w:rPr>
        <w:t>Para empezar</w:t>
      </w:r>
      <w:r w:rsidR="002F12BC" w:rsidRPr="00C93983">
        <w:rPr>
          <w:bCs/>
          <w:sz w:val="22"/>
          <w:szCs w:val="22"/>
        </w:rPr>
        <w:t xml:space="preserve">, este órgano debe determinar si la motivación en la adjudicación de este lote 3 del contrato ha sido suficiente </w:t>
      </w:r>
      <w:r w:rsidRPr="00C93983">
        <w:rPr>
          <w:bCs/>
          <w:sz w:val="22"/>
          <w:szCs w:val="22"/>
        </w:rPr>
        <w:t>o puede resultar, en su defecto,</w:t>
      </w:r>
      <w:r w:rsidR="002F12BC" w:rsidRPr="00C93983">
        <w:rPr>
          <w:bCs/>
          <w:sz w:val="22"/>
          <w:szCs w:val="22"/>
        </w:rPr>
        <w:t xml:space="preserve"> una decisión arbitraria. La jurisprudencia ha declarado que la motivación exigida no es de carácter exhaustivo, </w:t>
      </w:r>
      <w:r w:rsidR="00B728EA" w:rsidRPr="00C93983">
        <w:rPr>
          <w:bCs/>
          <w:sz w:val="22"/>
          <w:szCs w:val="22"/>
        </w:rPr>
        <w:t xml:space="preserve">pero debe ser suficiente para </w:t>
      </w:r>
      <w:r w:rsidR="002F12BC" w:rsidRPr="00C93983">
        <w:rPr>
          <w:bCs/>
          <w:sz w:val="22"/>
          <w:szCs w:val="22"/>
        </w:rPr>
        <w:t>permit</w:t>
      </w:r>
      <w:r w:rsidR="00B728EA" w:rsidRPr="00C93983">
        <w:rPr>
          <w:bCs/>
          <w:sz w:val="22"/>
          <w:szCs w:val="22"/>
        </w:rPr>
        <w:t xml:space="preserve">ir </w:t>
      </w:r>
      <w:r w:rsidR="002F12BC" w:rsidRPr="00C93983">
        <w:rPr>
          <w:bCs/>
          <w:sz w:val="22"/>
          <w:szCs w:val="22"/>
        </w:rPr>
        <w:t xml:space="preserve">a los licitadores discutir dichas puntuaciones y no </w:t>
      </w:r>
      <w:r w:rsidR="00B728EA" w:rsidRPr="00C93983">
        <w:rPr>
          <w:bCs/>
          <w:sz w:val="22"/>
          <w:szCs w:val="22"/>
        </w:rPr>
        <w:t xml:space="preserve">causar </w:t>
      </w:r>
      <w:r w:rsidR="002F12BC" w:rsidRPr="00C93983">
        <w:rPr>
          <w:bCs/>
          <w:sz w:val="22"/>
          <w:szCs w:val="22"/>
        </w:rPr>
        <w:t>indefensión.</w:t>
      </w:r>
      <w:r w:rsidR="006A2C6F" w:rsidRPr="00C93983">
        <w:rPr>
          <w:bCs/>
          <w:sz w:val="22"/>
          <w:szCs w:val="22"/>
        </w:rPr>
        <w:t xml:space="preserve"> El </w:t>
      </w:r>
      <w:r w:rsidR="006A2C6F" w:rsidRPr="00C93983">
        <w:rPr>
          <w:bCs/>
          <w:sz w:val="22"/>
          <w:szCs w:val="22"/>
        </w:rPr>
        <w:lastRenderedPageBreak/>
        <w:t>art. 151.1 LCSP requiere que la adjudicación esté motivada: “</w:t>
      </w:r>
      <w:r w:rsidR="006A2C6F" w:rsidRPr="00C93983">
        <w:rPr>
          <w:bCs/>
          <w:i/>
          <w:iCs/>
          <w:sz w:val="22"/>
          <w:szCs w:val="22"/>
        </w:rPr>
        <w:t xml:space="preserve">La resolución de adjudicación deberá ser motivada y se notificará a los candidatos y licitadores, debiendo ser publicada en el perfil de contratante en el plazo de 15 días.”. </w:t>
      </w:r>
      <w:r w:rsidR="006A2C6F" w:rsidRPr="00C93983">
        <w:rPr>
          <w:bCs/>
          <w:sz w:val="22"/>
          <w:szCs w:val="22"/>
        </w:rPr>
        <w:t>Y en el apartado segundo de este artículo se dan las claves de cómo debe ser esa motivación:</w:t>
      </w:r>
    </w:p>
    <w:p w14:paraId="3862B54A" w14:textId="77777777" w:rsidR="00715389" w:rsidRPr="00C93983" w:rsidRDefault="00715389" w:rsidP="006A2C6F">
      <w:pPr>
        <w:jc w:val="both"/>
        <w:rPr>
          <w:bCs/>
          <w:sz w:val="22"/>
          <w:szCs w:val="22"/>
        </w:rPr>
      </w:pPr>
    </w:p>
    <w:p w14:paraId="56C49768" w14:textId="4A1B88A5" w:rsidR="006A2C6F" w:rsidRPr="00C93983" w:rsidRDefault="006A2C6F" w:rsidP="00C93983">
      <w:pPr>
        <w:ind w:left="360"/>
        <w:jc w:val="both"/>
        <w:rPr>
          <w:bCs/>
          <w:i/>
          <w:iCs/>
          <w:sz w:val="22"/>
          <w:szCs w:val="22"/>
        </w:rPr>
      </w:pPr>
      <w:r w:rsidRPr="00C93983">
        <w:rPr>
          <w:bCs/>
          <w:i/>
          <w:iCs/>
          <w:sz w:val="22"/>
          <w:szCs w:val="22"/>
        </w:rPr>
        <w:t>“...la notificación y la publicidad a que se refiere el apartado anterior deberán contener la información necesaria que permita a los interesados en el procedimiento de adjudicación interponer recurso suficientemente fundado contra la decisión de adjudicación, y entre ella en todo caso deberá figurar la siguiente:</w:t>
      </w:r>
    </w:p>
    <w:p w14:paraId="3D829942" w14:textId="77777777" w:rsidR="00B172E8" w:rsidRPr="00C93983" w:rsidRDefault="00B172E8" w:rsidP="00C93983">
      <w:pPr>
        <w:ind w:left="360"/>
        <w:jc w:val="both"/>
        <w:rPr>
          <w:bCs/>
          <w:i/>
          <w:iCs/>
          <w:sz w:val="22"/>
          <w:szCs w:val="22"/>
        </w:rPr>
      </w:pPr>
    </w:p>
    <w:p w14:paraId="10EE7410" w14:textId="2DCDF5DE" w:rsidR="006A2C6F" w:rsidRPr="00C93983" w:rsidRDefault="006A2C6F" w:rsidP="00C93983">
      <w:pPr>
        <w:pStyle w:val="Prrafodelista"/>
        <w:numPr>
          <w:ilvl w:val="0"/>
          <w:numId w:val="9"/>
        </w:numPr>
        <w:ind w:left="1080"/>
        <w:jc w:val="both"/>
        <w:rPr>
          <w:rFonts w:ascii="Times New Roman" w:hAnsi="Times New Roman" w:cs="Times New Roman"/>
          <w:bCs/>
          <w:i/>
          <w:iCs/>
        </w:rPr>
      </w:pPr>
      <w:r w:rsidRPr="00C93983">
        <w:rPr>
          <w:rFonts w:ascii="Times New Roman" w:hAnsi="Times New Roman" w:cs="Times New Roman"/>
          <w:bCs/>
          <w:i/>
          <w:iCs/>
        </w:rPr>
        <w:t>En relación con los candidatos descartados, la exposición resumida de las razones por las que</w:t>
      </w:r>
      <w:r w:rsidR="00B172E8" w:rsidRPr="00C93983">
        <w:rPr>
          <w:rFonts w:ascii="Times New Roman" w:hAnsi="Times New Roman" w:cs="Times New Roman"/>
          <w:bCs/>
          <w:i/>
          <w:iCs/>
        </w:rPr>
        <w:t xml:space="preserve"> </w:t>
      </w:r>
      <w:r w:rsidRPr="00C93983">
        <w:rPr>
          <w:rFonts w:ascii="Times New Roman" w:hAnsi="Times New Roman" w:cs="Times New Roman"/>
          <w:bCs/>
          <w:i/>
          <w:iCs/>
        </w:rPr>
        <w:t>se haya desestimado su candidatura.</w:t>
      </w:r>
    </w:p>
    <w:p w14:paraId="6967E702" w14:textId="72BD7476" w:rsidR="006A2C6F" w:rsidRPr="00C93983" w:rsidRDefault="00B172E8" w:rsidP="00C93983">
      <w:pPr>
        <w:ind w:left="360"/>
        <w:jc w:val="both"/>
        <w:rPr>
          <w:bCs/>
          <w:i/>
          <w:iCs/>
          <w:sz w:val="22"/>
          <w:szCs w:val="22"/>
        </w:rPr>
      </w:pPr>
      <w:r w:rsidRPr="00C93983">
        <w:rPr>
          <w:bCs/>
          <w:i/>
          <w:iCs/>
          <w:sz w:val="22"/>
          <w:szCs w:val="22"/>
        </w:rPr>
        <w:t>...</w:t>
      </w:r>
    </w:p>
    <w:p w14:paraId="57CA050E" w14:textId="6B9915B8" w:rsidR="006A2C6F" w:rsidRPr="00C93983" w:rsidRDefault="006A2C6F" w:rsidP="00C93983">
      <w:pPr>
        <w:pStyle w:val="Prrafodelista"/>
        <w:numPr>
          <w:ilvl w:val="0"/>
          <w:numId w:val="9"/>
        </w:numPr>
        <w:ind w:left="1080"/>
        <w:jc w:val="both"/>
        <w:rPr>
          <w:rFonts w:ascii="Times New Roman" w:hAnsi="Times New Roman" w:cs="Times New Roman"/>
          <w:bCs/>
          <w:i/>
          <w:iCs/>
        </w:rPr>
      </w:pPr>
      <w:proofErr w:type="gramStart"/>
      <w:r w:rsidRPr="00C93983">
        <w:rPr>
          <w:rFonts w:ascii="Times New Roman" w:hAnsi="Times New Roman" w:cs="Times New Roman"/>
          <w:bCs/>
          <w:i/>
          <w:iCs/>
        </w:rPr>
        <w:t xml:space="preserve">En todo caso, el nombre del adjudicatario, las características y ventajas de la proposición </w:t>
      </w:r>
      <w:r w:rsidR="0097107A" w:rsidRPr="00C93983">
        <w:rPr>
          <w:rFonts w:ascii="Times New Roman" w:hAnsi="Times New Roman" w:cs="Times New Roman"/>
          <w:bCs/>
          <w:i/>
          <w:iCs/>
        </w:rPr>
        <w:t>de los adjudicatarios determinantes</w:t>
      </w:r>
      <w:r w:rsidRPr="00C93983">
        <w:rPr>
          <w:rFonts w:ascii="Times New Roman" w:hAnsi="Times New Roman" w:cs="Times New Roman"/>
          <w:bCs/>
          <w:i/>
          <w:iCs/>
        </w:rPr>
        <w:t xml:space="preserve"> de que haya sido seleccionada la oferta de este con preferencia</w:t>
      </w:r>
      <w:r w:rsidR="00B172E8" w:rsidRPr="00C93983">
        <w:rPr>
          <w:rFonts w:ascii="Times New Roman" w:hAnsi="Times New Roman" w:cs="Times New Roman"/>
          <w:bCs/>
          <w:i/>
          <w:iCs/>
        </w:rPr>
        <w:t xml:space="preserve"> </w:t>
      </w:r>
      <w:r w:rsidRPr="00C93983">
        <w:rPr>
          <w:rFonts w:ascii="Times New Roman" w:hAnsi="Times New Roman" w:cs="Times New Roman"/>
          <w:bCs/>
          <w:i/>
          <w:iCs/>
        </w:rPr>
        <w:t>respecto de las que hayan presentado los restantes licitadores cuyas ofertas hayan sido</w:t>
      </w:r>
      <w:r w:rsidR="00B172E8" w:rsidRPr="00C93983">
        <w:rPr>
          <w:rFonts w:ascii="Times New Roman" w:hAnsi="Times New Roman" w:cs="Times New Roman"/>
          <w:bCs/>
          <w:i/>
          <w:iCs/>
        </w:rPr>
        <w:t xml:space="preserve"> </w:t>
      </w:r>
      <w:r w:rsidRPr="00C93983">
        <w:rPr>
          <w:rFonts w:ascii="Times New Roman" w:hAnsi="Times New Roman" w:cs="Times New Roman"/>
          <w:bCs/>
          <w:i/>
          <w:iCs/>
        </w:rPr>
        <w:t>admitidas;</w:t>
      </w:r>
      <w:proofErr w:type="gramEnd"/>
      <w:r w:rsidRPr="00C93983">
        <w:rPr>
          <w:rFonts w:ascii="Times New Roman" w:hAnsi="Times New Roman" w:cs="Times New Roman"/>
          <w:bCs/>
          <w:i/>
          <w:iCs/>
        </w:rPr>
        <w:t xml:space="preserve"> y, en su caso, el desarrollo de las negociaciones o el diálogo con los licitadores.</w:t>
      </w:r>
    </w:p>
    <w:p w14:paraId="35C94ABC" w14:textId="77777777" w:rsidR="002F12BC" w:rsidRPr="00C93983" w:rsidRDefault="002F12BC" w:rsidP="002F12BC">
      <w:pPr>
        <w:jc w:val="both"/>
        <w:rPr>
          <w:bCs/>
          <w:i/>
          <w:iCs/>
          <w:sz w:val="24"/>
          <w:szCs w:val="24"/>
        </w:rPr>
      </w:pPr>
    </w:p>
    <w:p w14:paraId="5E6E64A0" w14:textId="6B3849D6" w:rsidR="00907CD7" w:rsidRDefault="0097107A" w:rsidP="002F12BC">
      <w:pPr>
        <w:jc w:val="both"/>
        <w:rPr>
          <w:bCs/>
          <w:sz w:val="22"/>
          <w:szCs w:val="22"/>
        </w:rPr>
      </w:pPr>
      <w:r w:rsidRPr="00C93983">
        <w:rPr>
          <w:bCs/>
          <w:sz w:val="22"/>
          <w:szCs w:val="22"/>
        </w:rPr>
        <w:t xml:space="preserve">Por tanto, para dar por cumplida la obligación de motivación, la clave está en </w:t>
      </w:r>
      <w:r w:rsidR="00C93983">
        <w:rPr>
          <w:bCs/>
          <w:sz w:val="22"/>
          <w:szCs w:val="22"/>
        </w:rPr>
        <w:t>comprobar</w:t>
      </w:r>
      <w:r w:rsidRPr="00C93983">
        <w:rPr>
          <w:bCs/>
          <w:sz w:val="22"/>
          <w:szCs w:val="22"/>
        </w:rPr>
        <w:t xml:space="preserve"> </w:t>
      </w:r>
      <w:r w:rsidRPr="00C93983">
        <w:rPr>
          <w:bCs/>
          <w:i/>
          <w:iCs/>
          <w:sz w:val="22"/>
          <w:szCs w:val="22"/>
        </w:rPr>
        <w:t xml:space="preserve">si la decisión de adjudicación contenía o no un mínimo razonamiento valorativo al respecto que permitiera conocer el motivo de las distintas puntuaciones otorgadas a los licitadores, lo que incluye tanto a la demandante como a los restantes participantes en la licitación del contrato </w:t>
      </w:r>
      <w:r w:rsidRPr="00C93983">
        <w:rPr>
          <w:bCs/>
          <w:sz w:val="22"/>
          <w:szCs w:val="22"/>
        </w:rPr>
        <w:t>(Sentencia 316</w:t>
      </w:r>
      <w:r w:rsidR="00C93983">
        <w:rPr>
          <w:bCs/>
          <w:sz w:val="22"/>
          <w:szCs w:val="22"/>
        </w:rPr>
        <w:t>,</w:t>
      </w:r>
      <w:r w:rsidRPr="00C93983">
        <w:rPr>
          <w:bCs/>
          <w:sz w:val="22"/>
          <w:szCs w:val="22"/>
        </w:rPr>
        <w:t xml:space="preserve"> de 24 de setiembre de </w:t>
      </w:r>
      <w:r w:rsidR="00C93983" w:rsidRPr="00C93983">
        <w:rPr>
          <w:bCs/>
          <w:sz w:val="22"/>
          <w:szCs w:val="22"/>
        </w:rPr>
        <w:t>2024, de</w:t>
      </w:r>
      <w:r w:rsidRPr="00C93983">
        <w:rPr>
          <w:bCs/>
          <w:sz w:val="22"/>
          <w:szCs w:val="22"/>
        </w:rPr>
        <w:t xml:space="preserve"> la Sala de lo Contencioso-Administrativo del TSJ Galicia, </w:t>
      </w:r>
      <w:proofErr w:type="spellStart"/>
      <w:r w:rsidRPr="00C93983">
        <w:rPr>
          <w:bCs/>
          <w:sz w:val="22"/>
          <w:szCs w:val="22"/>
        </w:rPr>
        <w:t>rec.</w:t>
      </w:r>
      <w:proofErr w:type="spellEnd"/>
      <w:r w:rsidRPr="00C93983">
        <w:rPr>
          <w:bCs/>
          <w:sz w:val="22"/>
          <w:szCs w:val="22"/>
        </w:rPr>
        <w:t xml:space="preserve"> 7099/2023)</w:t>
      </w:r>
      <w:r w:rsidR="00C93983">
        <w:rPr>
          <w:bCs/>
          <w:sz w:val="22"/>
          <w:szCs w:val="22"/>
        </w:rPr>
        <w:t xml:space="preserve">. </w:t>
      </w:r>
      <w:r w:rsidR="00BF2391" w:rsidRPr="00C93983">
        <w:rPr>
          <w:bCs/>
          <w:sz w:val="22"/>
          <w:szCs w:val="22"/>
        </w:rPr>
        <w:t xml:space="preserve">Consta publicado en el perfil del contratante el informe de valoración de las ofertas técnicas, de </w:t>
      </w:r>
      <w:r w:rsidR="00BF2391" w:rsidRPr="00B83F99">
        <w:rPr>
          <w:bCs/>
          <w:sz w:val="22"/>
          <w:szCs w:val="22"/>
        </w:rPr>
        <w:t>11 de marzo de 2025</w:t>
      </w:r>
      <w:r w:rsidR="00BF2391" w:rsidRPr="00C93983">
        <w:rPr>
          <w:bCs/>
          <w:sz w:val="22"/>
          <w:szCs w:val="22"/>
        </w:rPr>
        <w:t xml:space="preserve">, </w:t>
      </w:r>
      <w:r w:rsidR="00505BB3" w:rsidRPr="00C93983">
        <w:rPr>
          <w:bCs/>
          <w:sz w:val="22"/>
          <w:szCs w:val="22"/>
        </w:rPr>
        <w:t xml:space="preserve">que sustenta la decisión de adjudicación. En el mencionado informe, los técnicos recogen en primer lugar los criterios que se tomarían en cuenta para la valoración, según el apdo. M del Cuadro de Características. A continuación, describe el contenido de </w:t>
      </w:r>
      <w:r w:rsidR="004D5F81">
        <w:rPr>
          <w:bCs/>
          <w:sz w:val="22"/>
          <w:szCs w:val="22"/>
        </w:rPr>
        <w:t>cada uno de los</w:t>
      </w:r>
      <w:r w:rsidR="00505BB3" w:rsidRPr="00C93983">
        <w:rPr>
          <w:bCs/>
          <w:sz w:val="22"/>
          <w:szCs w:val="22"/>
        </w:rPr>
        <w:t xml:space="preserve"> apartados </w:t>
      </w:r>
      <w:r w:rsidR="004D5F81">
        <w:rPr>
          <w:bCs/>
          <w:sz w:val="22"/>
          <w:szCs w:val="22"/>
        </w:rPr>
        <w:t xml:space="preserve">a valorar, </w:t>
      </w:r>
      <w:r w:rsidR="00505BB3" w:rsidRPr="00C93983">
        <w:rPr>
          <w:bCs/>
          <w:sz w:val="22"/>
          <w:szCs w:val="22"/>
        </w:rPr>
        <w:t>no sujetos a fórmulas matemáticas, según se recogen en los pliegos de la contratación.</w:t>
      </w:r>
      <w:r w:rsidR="004D5F81">
        <w:rPr>
          <w:bCs/>
          <w:sz w:val="22"/>
          <w:szCs w:val="22"/>
        </w:rPr>
        <w:t xml:space="preserve"> El primero es PRESENTACIÓN Y DESCRIPCIÓN DE LA PROPUESTA (15 puntos)</w:t>
      </w:r>
      <w:r w:rsidR="001E3AD4">
        <w:rPr>
          <w:bCs/>
          <w:sz w:val="22"/>
          <w:szCs w:val="22"/>
        </w:rPr>
        <w:t>, METODOLOGÍAY PLANIFICACIÓN DEL PROYECTO (17 puntos) y EQUIPO DE TRABAJO (17 puntos),</w:t>
      </w:r>
      <w:r w:rsidR="004D5F81">
        <w:rPr>
          <w:bCs/>
          <w:sz w:val="22"/>
          <w:szCs w:val="22"/>
        </w:rPr>
        <w:t xml:space="preserve"> que</w:t>
      </w:r>
      <w:r w:rsidR="001E3AD4">
        <w:rPr>
          <w:bCs/>
          <w:sz w:val="22"/>
          <w:szCs w:val="22"/>
        </w:rPr>
        <w:t xml:space="preserve"> a su vez contienen</w:t>
      </w:r>
      <w:r w:rsidR="004D5F81">
        <w:rPr>
          <w:bCs/>
          <w:sz w:val="22"/>
          <w:szCs w:val="22"/>
        </w:rPr>
        <w:t xml:space="preserve"> varios subcriterios. A continuación, se describen las propuestas recibidas: SAITEC, TEKIA </w:t>
      </w:r>
      <w:r w:rsidR="001E3AD4">
        <w:rPr>
          <w:bCs/>
          <w:sz w:val="22"/>
          <w:szCs w:val="22"/>
        </w:rPr>
        <w:t>e</w:t>
      </w:r>
      <w:r w:rsidR="004D5F81">
        <w:rPr>
          <w:bCs/>
          <w:sz w:val="22"/>
          <w:szCs w:val="22"/>
        </w:rPr>
        <w:t xml:space="preserve"> INGARTEK-TICMOVEO</w:t>
      </w:r>
      <w:r w:rsidR="001E3AD4">
        <w:rPr>
          <w:bCs/>
          <w:sz w:val="22"/>
          <w:szCs w:val="22"/>
        </w:rPr>
        <w:t>, se explica la valoración que se hace de su contenido y finalmente se procede a asignar puntuaciones a las tres ofertas.</w:t>
      </w:r>
      <w:r w:rsidR="006519A7">
        <w:rPr>
          <w:bCs/>
          <w:sz w:val="22"/>
          <w:szCs w:val="22"/>
        </w:rPr>
        <w:t xml:space="preserve"> </w:t>
      </w:r>
    </w:p>
    <w:p w14:paraId="5CB9EFDA" w14:textId="77777777" w:rsidR="00900B29" w:rsidRDefault="00900B29" w:rsidP="002F12BC">
      <w:pPr>
        <w:jc w:val="both"/>
        <w:rPr>
          <w:bCs/>
          <w:sz w:val="22"/>
          <w:szCs w:val="22"/>
        </w:rPr>
      </w:pPr>
    </w:p>
    <w:p w14:paraId="24265C04" w14:textId="50B6C74B" w:rsidR="00900B29" w:rsidRDefault="00900B29" w:rsidP="002F12BC">
      <w:pPr>
        <w:jc w:val="both"/>
        <w:rPr>
          <w:bCs/>
          <w:sz w:val="22"/>
          <w:szCs w:val="22"/>
        </w:rPr>
      </w:pPr>
      <w:r>
        <w:rPr>
          <w:bCs/>
          <w:sz w:val="22"/>
          <w:szCs w:val="22"/>
        </w:rPr>
        <w:t>A la vista del contenido del informe técnico de valoración, este órgano considera que se cumplen los requerimientos de motivación legalmente exigidos. El informe describe cómo son las ofertas de los licitadores en ese apartado</w:t>
      </w:r>
      <w:r w:rsidR="000A5541">
        <w:rPr>
          <w:bCs/>
          <w:sz w:val="22"/>
          <w:szCs w:val="22"/>
        </w:rPr>
        <w:t>, igual que en el resto</w:t>
      </w:r>
      <w:r>
        <w:rPr>
          <w:bCs/>
          <w:sz w:val="22"/>
          <w:szCs w:val="22"/>
        </w:rPr>
        <w:t xml:space="preserve">. Además, se puede apreciar que, en el caso de las ofertas de SAITEC y TEKIA, </w:t>
      </w:r>
      <w:r w:rsidR="000A5541">
        <w:rPr>
          <w:bCs/>
          <w:sz w:val="22"/>
          <w:szCs w:val="22"/>
        </w:rPr>
        <w:t>los técnicos consideran que son ofertas que describen “</w:t>
      </w:r>
      <w:r w:rsidR="000A5541" w:rsidRPr="00715389">
        <w:rPr>
          <w:bCs/>
          <w:i/>
          <w:iCs/>
          <w:sz w:val="22"/>
          <w:szCs w:val="22"/>
        </w:rPr>
        <w:t>muy detalladamente”</w:t>
      </w:r>
      <w:r w:rsidR="000A5541">
        <w:rPr>
          <w:bCs/>
          <w:sz w:val="22"/>
          <w:szCs w:val="22"/>
        </w:rPr>
        <w:t xml:space="preserve"> la distribución de tareas a realizar en cada fase del proyecto, calificativo que no se extiende a la oferta de INGARTEK-TICMOVEO.</w:t>
      </w:r>
      <w:r w:rsidR="00B83F99">
        <w:rPr>
          <w:bCs/>
          <w:sz w:val="22"/>
          <w:szCs w:val="22"/>
        </w:rPr>
        <w:t xml:space="preserve"> Finalmente, en la asignación de puntos se respeta la escala establecida en el apartado M del Cuadro de Características sobre los criterios de adjudicación no evaluables mediante fórmulas, de tal forma que se valoraría con un 75% de la </w:t>
      </w:r>
      <w:r w:rsidR="00B83F99">
        <w:rPr>
          <w:bCs/>
          <w:sz w:val="22"/>
          <w:szCs w:val="22"/>
        </w:rPr>
        <w:lastRenderedPageBreak/>
        <w:t>puntuación total aquellas propuestas con un grado de calidad “bueno”. En el criterio analizado,</w:t>
      </w:r>
      <w:r w:rsidR="00715389">
        <w:rPr>
          <w:bCs/>
          <w:sz w:val="22"/>
          <w:szCs w:val="22"/>
        </w:rPr>
        <w:t xml:space="preserve"> el 75%</w:t>
      </w:r>
      <w:r w:rsidR="00B83F99">
        <w:rPr>
          <w:bCs/>
          <w:sz w:val="22"/>
          <w:szCs w:val="22"/>
        </w:rPr>
        <w:t xml:space="preserve"> se corresponde con los 4,5 puntos obtenidos por la recurrente.</w:t>
      </w:r>
    </w:p>
    <w:p w14:paraId="3339344E" w14:textId="77777777" w:rsidR="00907CD7" w:rsidRDefault="00907CD7" w:rsidP="002F12BC">
      <w:pPr>
        <w:jc w:val="both"/>
        <w:rPr>
          <w:bCs/>
          <w:sz w:val="22"/>
          <w:szCs w:val="22"/>
        </w:rPr>
      </w:pPr>
    </w:p>
    <w:p w14:paraId="68B8F96C" w14:textId="77777777" w:rsidR="00900B29" w:rsidRDefault="00900B29" w:rsidP="002F12BC">
      <w:pPr>
        <w:jc w:val="both"/>
        <w:rPr>
          <w:bCs/>
          <w:sz w:val="22"/>
          <w:szCs w:val="22"/>
        </w:rPr>
      </w:pPr>
    </w:p>
    <w:p w14:paraId="023A60AC" w14:textId="70D8CB21" w:rsidR="00872DFC" w:rsidRPr="00C93983" w:rsidRDefault="00B83F99" w:rsidP="002F12BC">
      <w:pPr>
        <w:jc w:val="both"/>
        <w:rPr>
          <w:bCs/>
          <w:sz w:val="22"/>
          <w:szCs w:val="22"/>
        </w:rPr>
      </w:pPr>
      <w:r>
        <w:rPr>
          <w:bCs/>
          <w:sz w:val="22"/>
          <w:szCs w:val="22"/>
        </w:rPr>
        <w:t>D</w:t>
      </w:r>
      <w:r w:rsidR="00CD5E36">
        <w:rPr>
          <w:bCs/>
          <w:sz w:val="22"/>
          <w:szCs w:val="22"/>
        </w:rPr>
        <w:t xml:space="preserve">ebemos acoger las alegaciones formuladas por TEKIA cuando afirma que no es posible sustituir el criterio técnico especializado del órgano de contratación por el postulado por el recurrente. Es decir, el OAFRC no puede acoger la pretensión </w:t>
      </w:r>
      <w:r w:rsidR="00C55A47">
        <w:rPr>
          <w:bCs/>
          <w:sz w:val="22"/>
          <w:szCs w:val="22"/>
        </w:rPr>
        <w:t>de la recurrente referida</w:t>
      </w:r>
      <w:r w:rsidR="00CD5E36">
        <w:rPr>
          <w:bCs/>
          <w:sz w:val="22"/>
          <w:szCs w:val="22"/>
        </w:rPr>
        <w:t xml:space="preserve"> a la obtención de mayor puntuación en un concreto criterio sujeto a juicios de valor. En efecto, de las resoluciones de los tribunales de recursos contractuales </w:t>
      </w:r>
      <w:r w:rsidR="00CF77B5">
        <w:rPr>
          <w:bCs/>
          <w:sz w:val="22"/>
          <w:szCs w:val="22"/>
        </w:rPr>
        <w:t>citadas</w:t>
      </w:r>
      <w:r w:rsidR="00CD5E36">
        <w:rPr>
          <w:bCs/>
          <w:sz w:val="22"/>
          <w:szCs w:val="22"/>
        </w:rPr>
        <w:t xml:space="preserve"> por TEKIA</w:t>
      </w:r>
      <w:r w:rsidR="00C55A47">
        <w:rPr>
          <w:bCs/>
          <w:sz w:val="22"/>
          <w:szCs w:val="22"/>
        </w:rPr>
        <w:t xml:space="preserve"> (</w:t>
      </w:r>
      <w:r w:rsidR="00C55A47" w:rsidRPr="00C55A47">
        <w:rPr>
          <w:bCs/>
          <w:sz w:val="22"/>
          <w:szCs w:val="22"/>
        </w:rPr>
        <w:t>Tribunal Administrativo de Contratos Públicos de Navarra</w:t>
      </w:r>
      <w:r w:rsidR="00C55A47">
        <w:rPr>
          <w:bCs/>
          <w:sz w:val="22"/>
          <w:szCs w:val="22"/>
        </w:rPr>
        <w:t xml:space="preserve">, </w:t>
      </w:r>
      <w:r w:rsidR="00C55A47" w:rsidRPr="00C55A47">
        <w:rPr>
          <w:bCs/>
          <w:sz w:val="22"/>
          <w:szCs w:val="22"/>
        </w:rPr>
        <w:t xml:space="preserve">Acuerdo </w:t>
      </w:r>
      <w:proofErr w:type="spellStart"/>
      <w:r w:rsidR="00C55A47" w:rsidRPr="00C55A47">
        <w:rPr>
          <w:bCs/>
          <w:sz w:val="22"/>
          <w:szCs w:val="22"/>
        </w:rPr>
        <w:t>nº</w:t>
      </w:r>
      <w:proofErr w:type="spellEnd"/>
      <w:r w:rsidR="00C55A47" w:rsidRPr="00C55A47">
        <w:rPr>
          <w:bCs/>
          <w:sz w:val="22"/>
          <w:szCs w:val="22"/>
        </w:rPr>
        <w:t xml:space="preserve"> 5/2025, de 21 de enero</w:t>
      </w:r>
      <w:r w:rsidR="00C55A47">
        <w:rPr>
          <w:bCs/>
          <w:sz w:val="22"/>
          <w:szCs w:val="22"/>
        </w:rPr>
        <w:t>;</w:t>
      </w:r>
      <w:r w:rsidR="00C55A47" w:rsidRPr="00C55A47">
        <w:rPr>
          <w:bCs/>
          <w:sz w:val="22"/>
          <w:szCs w:val="22"/>
        </w:rPr>
        <w:t xml:space="preserve"> Tribunal Administrativo Central de Recursos Contractuales</w:t>
      </w:r>
      <w:r w:rsidR="00C55A47">
        <w:rPr>
          <w:bCs/>
          <w:sz w:val="22"/>
          <w:szCs w:val="22"/>
        </w:rPr>
        <w:t xml:space="preserve">, </w:t>
      </w:r>
      <w:r w:rsidR="00C55A47" w:rsidRPr="00C55A47">
        <w:rPr>
          <w:bCs/>
          <w:sz w:val="22"/>
          <w:szCs w:val="22"/>
        </w:rPr>
        <w:t xml:space="preserve">Resolución </w:t>
      </w:r>
      <w:proofErr w:type="spellStart"/>
      <w:r w:rsidR="00C55A47" w:rsidRPr="00C55A47">
        <w:rPr>
          <w:bCs/>
          <w:sz w:val="22"/>
          <w:szCs w:val="22"/>
        </w:rPr>
        <w:t>nº</w:t>
      </w:r>
      <w:proofErr w:type="spellEnd"/>
      <w:r w:rsidR="00C55A47" w:rsidRPr="00C55A47">
        <w:rPr>
          <w:bCs/>
          <w:sz w:val="22"/>
          <w:szCs w:val="22"/>
        </w:rPr>
        <w:t xml:space="preserve"> 1478/2024, de 20 de noviembre</w:t>
      </w:r>
      <w:r w:rsidR="00C55A47">
        <w:rPr>
          <w:bCs/>
          <w:sz w:val="22"/>
          <w:szCs w:val="22"/>
        </w:rPr>
        <w:t xml:space="preserve">, </w:t>
      </w:r>
      <w:r w:rsidR="00C55A47" w:rsidRPr="00C55A47">
        <w:rPr>
          <w:bCs/>
          <w:sz w:val="22"/>
          <w:szCs w:val="22"/>
        </w:rPr>
        <w:t xml:space="preserve">Resolución </w:t>
      </w:r>
      <w:proofErr w:type="spellStart"/>
      <w:r w:rsidR="00C55A47" w:rsidRPr="00C55A47">
        <w:rPr>
          <w:bCs/>
          <w:sz w:val="22"/>
          <w:szCs w:val="22"/>
        </w:rPr>
        <w:t>nº</w:t>
      </w:r>
      <w:proofErr w:type="spellEnd"/>
      <w:r w:rsidR="00C55A47" w:rsidRPr="00C55A47">
        <w:rPr>
          <w:bCs/>
          <w:sz w:val="22"/>
          <w:szCs w:val="22"/>
        </w:rPr>
        <w:t xml:space="preserve"> 65/2024, de 25 de enero</w:t>
      </w:r>
      <w:r w:rsidR="00C55A47">
        <w:rPr>
          <w:bCs/>
          <w:sz w:val="22"/>
          <w:szCs w:val="22"/>
        </w:rPr>
        <w:t xml:space="preserve">; </w:t>
      </w:r>
      <w:r w:rsidR="00C55A47" w:rsidRPr="00C55A47">
        <w:rPr>
          <w:bCs/>
          <w:sz w:val="22"/>
          <w:szCs w:val="22"/>
        </w:rPr>
        <w:t>Tribunal Administrativo de Contratos Públicos de Canarias</w:t>
      </w:r>
      <w:r w:rsidR="00C55A47">
        <w:rPr>
          <w:bCs/>
          <w:sz w:val="22"/>
          <w:szCs w:val="22"/>
        </w:rPr>
        <w:t xml:space="preserve">, </w:t>
      </w:r>
      <w:r w:rsidR="00C55A47" w:rsidRPr="00C55A47">
        <w:rPr>
          <w:bCs/>
          <w:sz w:val="22"/>
          <w:szCs w:val="22"/>
        </w:rPr>
        <w:t xml:space="preserve">Resolución </w:t>
      </w:r>
      <w:proofErr w:type="spellStart"/>
      <w:r w:rsidR="00C55A47" w:rsidRPr="00C55A47">
        <w:rPr>
          <w:bCs/>
          <w:sz w:val="22"/>
          <w:szCs w:val="22"/>
        </w:rPr>
        <w:t>nº</w:t>
      </w:r>
      <w:proofErr w:type="spellEnd"/>
      <w:r w:rsidR="00C55A47" w:rsidRPr="00C55A47">
        <w:rPr>
          <w:bCs/>
          <w:sz w:val="22"/>
          <w:szCs w:val="22"/>
        </w:rPr>
        <w:t xml:space="preserve"> 261/2024, de 11 de noviembre</w:t>
      </w:r>
      <w:r w:rsidR="00C55A47">
        <w:rPr>
          <w:bCs/>
          <w:sz w:val="22"/>
          <w:szCs w:val="22"/>
        </w:rPr>
        <w:t xml:space="preserve">, entre otras) </w:t>
      </w:r>
      <w:r w:rsidR="00CF77B5">
        <w:rPr>
          <w:bCs/>
          <w:sz w:val="22"/>
          <w:szCs w:val="22"/>
        </w:rPr>
        <w:t xml:space="preserve">se </w:t>
      </w:r>
      <w:r w:rsidR="00285820">
        <w:rPr>
          <w:bCs/>
          <w:sz w:val="22"/>
          <w:szCs w:val="22"/>
        </w:rPr>
        <w:t>puede concluir</w:t>
      </w:r>
      <w:r w:rsidR="00CF77B5">
        <w:rPr>
          <w:bCs/>
          <w:sz w:val="22"/>
          <w:szCs w:val="22"/>
        </w:rPr>
        <w:t xml:space="preserve"> que la función que debe llevar a cabo este órgano administrativo es revisar los elementos reglados del juicio técnico </w:t>
      </w:r>
      <w:r w:rsidR="00C55A47">
        <w:rPr>
          <w:bCs/>
          <w:sz w:val="22"/>
          <w:szCs w:val="22"/>
        </w:rPr>
        <w:t xml:space="preserve">que subyace en </w:t>
      </w:r>
      <w:r w:rsidR="00CF77B5">
        <w:rPr>
          <w:bCs/>
          <w:sz w:val="22"/>
          <w:szCs w:val="22"/>
        </w:rPr>
        <w:t>una valoración</w:t>
      </w:r>
      <w:r w:rsidR="00C55A47">
        <w:rPr>
          <w:bCs/>
          <w:sz w:val="22"/>
          <w:szCs w:val="22"/>
        </w:rPr>
        <w:t xml:space="preserve"> de ofertas según los </w:t>
      </w:r>
      <w:r w:rsidR="00CF77B5">
        <w:rPr>
          <w:bCs/>
          <w:sz w:val="22"/>
          <w:szCs w:val="22"/>
        </w:rPr>
        <w:t>criterios previamente aprobados en los correspondientes pliegos que rigen la licitación. Así, deberá comprobar que se ha respetado el procedimiento legamente establecido, el contenido de los pliegos, que no se ha incurrido en error relevante y manifiesto en la valoración y que la selección del adjudicatario está suficientemente motivada. Cualquiera de estas circunstancias puede ser motivo para anular la adjudicación, pero este órgano no podrá alterar</w:t>
      </w:r>
      <w:r w:rsidR="00C55A47">
        <w:rPr>
          <w:bCs/>
          <w:sz w:val="22"/>
          <w:szCs w:val="22"/>
        </w:rPr>
        <w:t xml:space="preserve"> (o sustituir) </w:t>
      </w:r>
      <w:r w:rsidR="00CF77B5">
        <w:rPr>
          <w:bCs/>
          <w:sz w:val="22"/>
          <w:szCs w:val="22"/>
        </w:rPr>
        <w:t>las puntuaciones asignadas por el órgano de contratación al evaluar los criterios no sujetos a fórmulas automáticas.</w:t>
      </w:r>
      <w:r w:rsidR="00C55A47" w:rsidRPr="00C55A47">
        <w:t xml:space="preserve"> </w:t>
      </w:r>
      <w:r w:rsidR="00C55A47">
        <w:rPr>
          <w:bCs/>
          <w:sz w:val="22"/>
          <w:szCs w:val="22"/>
        </w:rPr>
        <w:t>Por tanto, e</w:t>
      </w:r>
      <w:r w:rsidR="00C55A47" w:rsidRPr="00C55A47">
        <w:rPr>
          <w:bCs/>
          <w:sz w:val="22"/>
          <w:szCs w:val="22"/>
        </w:rPr>
        <w:t>n la resolución de los recursos especiales en materia de contratación</w:t>
      </w:r>
      <w:r w:rsidR="00C55A47">
        <w:rPr>
          <w:bCs/>
          <w:sz w:val="22"/>
          <w:szCs w:val="22"/>
        </w:rPr>
        <w:t xml:space="preserve"> </w:t>
      </w:r>
      <w:r w:rsidR="00C55A47" w:rsidRPr="00C55A47">
        <w:rPr>
          <w:bCs/>
          <w:sz w:val="22"/>
          <w:szCs w:val="22"/>
        </w:rPr>
        <w:t xml:space="preserve">el Tribunal </w:t>
      </w:r>
      <w:r w:rsidR="00C55A47">
        <w:rPr>
          <w:bCs/>
          <w:sz w:val="22"/>
          <w:szCs w:val="22"/>
        </w:rPr>
        <w:t>administrativo correspondiente</w:t>
      </w:r>
      <w:r w:rsidR="00C55A47" w:rsidRPr="00C55A47">
        <w:rPr>
          <w:bCs/>
          <w:sz w:val="22"/>
          <w:szCs w:val="22"/>
        </w:rPr>
        <w:t xml:space="preserve"> debe limitarse a comprobar si se han seguido los trámites procedimentales y de competencia, analizar si se ha incurrido en error material y si se han aplicado formulaciones arbitrarias o discriminatorias (TACRC Resol 785/2017; 28/2015; 184/2014; 176/201</w:t>
      </w:r>
      <w:r w:rsidR="00C55A47">
        <w:rPr>
          <w:bCs/>
          <w:sz w:val="22"/>
          <w:szCs w:val="22"/>
        </w:rPr>
        <w:t>1)</w:t>
      </w:r>
      <w:r w:rsidR="00C63B40">
        <w:rPr>
          <w:bCs/>
          <w:sz w:val="22"/>
          <w:szCs w:val="22"/>
        </w:rPr>
        <w:t xml:space="preserve">. </w:t>
      </w:r>
      <w:r w:rsidR="00872DFC" w:rsidRPr="00C93983">
        <w:rPr>
          <w:bCs/>
          <w:sz w:val="22"/>
          <w:szCs w:val="22"/>
        </w:rPr>
        <w:t xml:space="preserve">La Sentencia de la Sala de lo Contencioso-Administrativo del TSJ Aragón de 01-09-2022, </w:t>
      </w:r>
      <w:proofErr w:type="spellStart"/>
      <w:r w:rsidR="00872DFC" w:rsidRPr="00C93983">
        <w:rPr>
          <w:bCs/>
          <w:sz w:val="22"/>
          <w:szCs w:val="22"/>
        </w:rPr>
        <w:t>rec.</w:t>
      </w:r>
      <w:proofErr w:type="spellEnd"/>
      <w:r w:rsidR="00872DFC" w:rsidRPr="00C93983">
        <w:rPr>
          <w:bCs/>
          <w:sz w:val="22"/>
          <w:szCs w:val="22"/>
        </w:rPr>
        <w:t xml:space="preserve"> 381/2019, ilustraba sobre esta materia de la siguiente forma:</w:t>
      </w:r>
    </w:p>
    <w:p w14:paraId="292A503E" w14:textId="77777777" w:rsidR="00872DFC" w:rsidRPr="00C93983" w:rsidRDefault="00872DFC" w:rsidP="002F12BC">
      <w:pPr>
        <w:jc w:val="both"/>
        <w:rPr>
          <w:bCs/>
          <w:sz w:val="22"/>
          <w:szCs w:val="22"/>
        </w:rPr>
      </w:pPr>
    </w:p>
    <w:p w14:paraId="7A67C9B9" w14:textId="237254E8" w:rsidR="00872DFC" w:rsidRPr="00C93983" w:rsidRDefault="00872DFC" w:rsidP="00872DFC">
      <w:pPr>
        <w:ind w:left="708"/>
        <w:jc w:val="both"/>
        <w:rPr>
          <w:bCs/>
          <w:i/>
          <w:iCs/>
          <w:sz w:val="22"/>
          <w:szCs w:val="22"/>
        </w:rPr>
      </w:pPr>
      <w:proofErr w:type="gramStart"/>
      <w:r w:rsidRPr="00C93983">
        <w:rPr>
          <w:bCs/>
          <w:i/>
          <w:iCs/>
          <w:sz w:val="22"/>
          <w:szCs w:val="22"/>
        </w:rPr>
        <w:t>“..</w:t>
      </w:r>
      <w:proofErr w:type="gramEnd"/>
      <w:r w:rsidRPr="00C93983">
        <w:rPr>
          <w:bCs/>
          <w:i/>
          <w:iCs/>
          <w:sz w:val="22"/>
          <w:szCs w:val="22"/>
        </w:rPr>
        <w:t>la Sala Tercera en su relativamente lejana sentencia de la sección 4ª de 27 de mayo de 2009, (</w:t>
      </w:r>
      <w:proofErr w:type="spellStart"/>
      <w:r w:rsidRPr="00C93983">
        <w:rPr>
          <w:bCs/>
          <w:i/>
          <w:iCs/>
          <w:sz w:val="22"/>
          <w:szCs w:val="22"/>
        </w:rPr>
        <w:t>rec.</w:t>
      </w:r>
      <w:proofErr w:type="spellEnd"/>
      <w:r w:rsidRPr="00C93983">
        <w:rPr>
          <w:bCs/>
          <w:i/>
          <w:iCs/>
          <w:sz w:val="22"/>
          <w:szCs w:val="22"/>
        </w:rPr>
        <w:t xml:space="preserve"> 4580/2006), evocando otras anteriores, ya vino a decir que la discrecionalidad técnica "... reduce las posibilidades del control de dicha actividad evaluadora, que prácticamente estarán constituidas por estos dos básicos supuestos: el de la inobservancia de los elementos reglados -cuando estos existan-, y el del error ostensible o manifiesto; y, consiguientemente, deja fuera de ese limitado control posible a aquellas pretensiones de los interesados que solo postulen una evaluación alternativa a la del órgano calificador, pero moviéndose también dentro de ese aceptado espacio de libre apreciación, y no estén sustentadas con un posible error manifiesto.".</w:t>
      </w:r>
    </w:p>
    <w:p w14:paraId="67F1CF09" w14:textId="77777777" w:rsidR="00872DFC" w:rsidRPr="00C93983" w:rsidRDefault="00872DFC" w:rsidP="002F12BC">
      <w:pPr>
        <w:jc w:val="both"/>
        <w:rPr>
          <w:bCs/>
          <w:i/>
          <w:iCs/>
          <w:sz w:val="22"/>
          <w:szCs w:val="22"/>
        </w:rPr>
      </w:pPr>
    </w:p>
    <w:p w14:paraId="548A333E" w14:textId="77777777" w:rsidR="00564206" w:rsidRPr="00C93983" w:rsidRDefault="00564206" w:rsidP="002F12BC">
      <w:pPr>
        <w:jc w:val="both"/>
        <w:rPr>
          <w:bCs/>
          <w:i/>
          <w:iCs/>
          <w:sz w:val="22"/>
          <w:szCs w:val="22"/>
        </w:rPr>
      </w:pPr>
    </w:p>
    <w:p w14:paraId="77D9C433" w14:textId="53307458" w:rsidR="00CD5E36" w:rsidRDefault="0024224E" w:rsidP="00CD5E36">
      <w:pPr>
        <w:autoSpaceDE w:val="0"/>
        <w:autoSpaceDN w:val="0"/>
        <w:adjustRightInd w:val="0"/>
        <w:spacing w:after="360" w:line="276" w:lineRule="auto"/>
        <w:jc w:val="both"/>
        <w:rPr>
          <w:sz w:val="22"/>
          <w:szCs w:val="22"/>
        </w:rPr>
      </w:pPr>
      <w:r>
        <w:rPr>
          <w:bCs/>
          <w:sz w:val="22"/>
          <w:szCs w:val="22"/>
        </w:rPr>
        <w:t>En</w:t>
      </w:r>
      <w:r w:rsidR="00B83F99" w:rsidRPr="00C93983">
        <w:rPr>
          <w:bCs/>
          <w:sz w:val="22"/>
          <w:szCs w:val="22"/>
        </w:rPr>
        <w:t xml:space="preserve"> otros apartados</w:t>
      </w:r>
      <w:r w:rsidR="00B83F99">
        <w:rPr>
          <w:bCs/>
          <w:sz w:val="22"/>
          <w:szCs w:val="22"/>
        </w:rPr>
        <w:t xml:space="preserve"> sometidos a valoración</w:t>
      </w:r>
      <w:r>
        <w:rPr>
          <w:bCs/>
          <w:sz w:val="22"/>
          <w:szCs w:val="22"/>
        </w:rPr>
        <w:t>,</w:t>
      </w:r>
      <w:r w:rsidR="00B83F99">
        <w:rPr>
          <w:bCs/>
          <w:sz w:val="22"/>
          <w:szCs w:val="22"/>
        </w:rPr>
        <w:t xml:space="preserve"> el recurrente </w:t>
      </w:r>
      <w:r w:rsidR="00285820">
        <w:rPr>
          <w:bCs/>
          <w:sz w:val="22"/>
          <w:szCs w:val="22"/>
        </w:rPr>
        <w:t xml:space="preserve">también </w:t>
      </w:r>
      <w:r w:rsidR="00B83F99" w:rsidRPr="00C93983">
        <w:rPr>
          <w:bCs/>
          <w:sz w:val="22"/>
          <w:szCs w:val="22"/>
        </w:rPr>
        <w:t xml:space="preserve">alega insuficiente motivación </w:t>
      </w:r>
      <w:r w:rsidR="00B83F99">
        <w:rPr>
          <w:bCs/>
          <w:sz w:val="22"/>
          <w:szCs w:val="22"/>
        </w:rPr>
        <w:t>del órgano de contratación porque ha asignado el mismo número de puntos</w:t>
      </w:r>
      <w:r w:rsidR="00B83F99" w:rsidRPr="00C93983">
        <w:rPr>
          <w:bCs/>
          <w:sz w:val="22"/>
          <w:szCs w:val="22"/>
        </w:rPr>
        <w:t xml:space="preserve"> a </w:t>
      </w:r>
      <w:r w:rsidR="00B83F99">
        <w:rPr>
          <w:bCs/>
          <w:sz w:val="22"/>
          <w:szCs w:val="22"/>
        </w:rPr>
        <w:t>todos los</w:t>
      </w:r>
      <w:r w:rsidR="00B83F99" w:rsidRPr="00C93983">
        <w:rPr>
          <w:bCs/>
          <w:sz w:val="22"/>
          <w:szCs w:val="22"/>
        </w:rPr>
        <w:t xml:space="preserve"> licitadores</w:t>
      </w:r>
      <w:r w:rsidR="00B83F99">
        <w:rPr>
          <w:bCs/>
          <w:sz w:val="22"/>
          <w:szCs w:val="22"/>
        </w:rPr>
        <w:t xml:space="preserve">, cuando considera que su oferta era superior </w:t>
      </w:r>
      <w:r w:rsidR="008402AF">
        <w:rPr>
          <w:bCs/>
          <w:sz w:val="22"/>
          <w:szCs w:val="22"/>
        </w:rPr>
        <w:t xml:space="preserve">al resto. Para resolver la alegación debemos revisar nuevamente el informe de valoración de ofertas técnicas </w:t>
      </w:r>
      <w:r w:rsidR="00C63B40">
        <w:rPr>
          <w:bCs/>
          <w:sz w:val="22"/>
          <w:szCs w:val="22"/>
        </w:rPr>
        <w:t>de 11 de marzo de 2025</w:t>
      </w:r>
      <w:r w:rsidR="008402AF">
        <w:rPr>
          <w:bCs/>
          <w:sz w:val="22"/>
          <w:szCs w:val="22"/>
        </w:rPr>
        <w:t>. Al igual que en el caso anterior, primero se describe</w:t>
      </w:r>
      <w:r w:rsidR="00C63B40">
        <w:rPr>
          <w:bCs/>
          <w:sz w:val="22"/>
          <w:szCs w:val="22"/>
        </w:rPr>
        <w:t xml:space="preserve"> en el informe</w:t>
      </w:r>
      <w:r w:rsidR="008402AF">
        <w:rPr>
          <w:bCs/>
          <w:sz w:val="22"/>
          <w:szCs w:val="22"/>
        </w:rPr>
        <w:t xml:space="preserve"> el contenido de las ofertas, posteriormente se valora </w:t>
      </w:r>
      <w:r w:rsidR="00C63B40">
        <w:rPr>
          <w:bCs/>
          <w:sz w:val="22"/>
          <w:szCs w:val="22"/>
        </w:rPr>
        <w:t>su contenido</w:t>
      </w:r>
      <w:r w:rsidR="008402AF">
        <w:rPr>
          <w:bCs/>
          <w:sz w:val="22"/>
          <w:szCs w:val="22"/>
        </w:rPr>
        <w:t xml:space="preserve"> y </w:t>
      </w:r>
      <w:r w:rsidR="00C63B40">
        <w:rPr>
          <w:bCs/>
          <w:sz w:val="22"/>
          <w:szCs w:val="22"/>
        </w:rPr>
        <w:t>finalmente</w:t>
      </w:r>
      <w:r w:rsidR="008402AF">
        <w:rPr>
          <w:bCs/>
          <w:sz w:val="22"/>
          <w:szCs w:val="22"/>
        </w:rPr>
        <w:t xml:space="preserve"> se asigna puntuación. </w:t>
      </w:r>
      <w:r w:rsidR="00CD5E36">
        <w:rPr>
          <w:sz w:val="22"/>
          <w:szCs w:val="22"/>
        </w:rPr>
        <w:t xml:space="preserve">Por tanto, aunque la recurrente se considere merecedora de </w:t>
      </w:r>
      <w:r w:rsidR="00C63B40">
        <w:rPr>
          <w:sz w:val="22"/>
          <w:szCs w:val="22"/>
        </w:rPr>
        <w:t xml:space="preserve">una “diferenciación positiva” de su oferta con respecto a los puntos </w:t>
      </w:r>
      <w:r w:rsidR="00C63B40">
        <w:rPr>
          <w:sz w:val="22"/>
          <w:szCs w:val="22"/>
        </w:rPr>
        <w:lastRenderedPageBreak/>
        <w:t>otorgados al resto de licitadores</w:t>
      </w:r>
      <w:r w:rsidR="00CD5E36">
        <w:rPr>
          <w:sz w:val="22"/>
          <w:szCs w:val="22"/>
        </w:rPr>
        <w:t xml:space="preserve">, lo cierto es que </w:t>
      </w:r>
      <w:r w:rsidR="00CD5E36" w:rsidRPr="00C93983">
        <w:rPr>
          <w:sz w:val="22"/>
          <w:szCs w:val="22"/>
        </w:rPr>
        <w:t>el margen de discrecionalidad que asiste a la administración a la hora de valorar técnicamente</w:t>
      </w:r>
      <w:r w:rsidR="00CD5E36">
        <w:rPr>
          <w:sz w:val="22"/>
          <w:szCs w:val="22"/>
        </w:rPr>
        <w:t xml:space="preserve"> las ofertas </w:t>
      </w:r>
      <w:r w:rsidR="00CD5E36" w:rsidRPr="00C93983">
        <w:rPr>
          <w:sz w:val="22"/>
          <w:szCs w:val="22"/>
        </w:rPr>
        <w:t xml:space="preserve">impone respetar su </w:t>
      </w:r>
      <w:r w:rsidR="00CD5E36">
        <w:rPr>
          <w:sz w:val="22"/>
          <w:szCs w:val="22"/>
        </w:rPr>
        <w:t>criterio</w:t>
      </w:r>
      <w:r w:rsidR="00CD5E36" w:rsidRPr="00C93983">
        <w:rPr>
          <w:sz w:val="22"/>
          <w:szCs w:val="22"/>
        </w:rPr>
        <w:t xml:space="preserve"> mientras no conste </w:t>
      </w:r>
      <w:r w:rsidR="00CD5E36" w:rsidRPr="00C63B40">
        <w:rPr>
          <w:i/>
          <w:iCs/>
          <w:sz w:val="22"/>
          <w:szCs w:val="22"/>
        </w:rPr>
        <w:t>de manera inequívoca y patente</w:t>
      </w:r>
      <w:r w:rsidR="00CD5E36" w:rsidRPr="00C93983">
        <w:rPr>
          <w:sz w:val="22"/>
          <w:szCs w:val="22"/>
        </w:rPr>
        <w:t xml:space="preserve"> que incurre en error técnico (STS de 14 de marzo de 2018, </w:t>
      </w:r>
      <w:proofErr w:type="spellStart"/>
      <w:r w:rsidR="00CD5E36" w:rsidRPr="00C93983">
        <w:rPr>
          <w:sz w:val="22"/>
          <w:szCs w:val="22"/>
        </w:rPr>
        <w:t>rec.</w:t>
      </w:r>
      <w:proofErr w:type="spellEnd"/>
      <w:r w:rsidR="00CD5E36" w:rsidRPr="00C93983">
        <w:rPr>
          <w:sz w:val="22"/>
          <w:szCs w:val="22"/>
        </w:rPr>
        <w:t xml:space="preserve"> 2762/2015)</w:t>
      </w:r>
      <w:r w:rsidR="00C63B40">
        <w:rPr>
          <w:sz w:val="22"/>
          <w:szCs w:val="22"/>
        </w:rPr>
        <w:t>.</w:t>
      </w:r>
    </w:p>
    <w:p w14:paraId="3ADBCD11" w14:textId="259FE339" w:rsidR="000A5541" w:rsidRDefault="0024224E" w:rsidP="00564206">
      <w:pPr>
        <w:autoSpaceDE w:val="0"/>
        <w:autoSpaceDN w:val="0"/>
        <w:adjustRightInd w:val="0"/>
        <w:spacing w:after="360" w:line="276" w:lineRule="auto"/>
        <w:jc w:val="both"/>
        <w:rPr>
          <w:sz w:val="22"/>
          <w:szCs w:val="22"/>
        </w:rPr>
      </w:pPr>
      <w:r>
        <w:rPr>
          <w:sz w:val="22"/>
          <w:szCs w:val="22"/>
        </w:rPr>
        <w:t>E</w:t>
      </w:r>
      <w:r w:rsidR="00752BDD">
        <w:rPr>
          <w:sz w:val="22"/>
          <w:szCs w:val="22"/>
        </w:rPr>
        <w:t>n cuanto a</w:t>
      </w:r>
      <w:r w:rsidR="008A5833">
        <w:rPr>
          <w:sz w:val="22"/>
          <w:szCs w:val="22"/>
        </w:rPr>
        <w:t>l alegato de falta de motivación suficiente en el informe de valoración</w:t>
      </w:r>
      <w:r w:rsidR="00752BDD">
        <w:rPr>
          <w:sz w:val="22"/>
          <w:szCs w:val="22"/>
        </w:rPr>
        <w:t xml:space="preserve"> de la baja temeraria</w:t>
      </w:r>
      <w:r w:rsidR="008A5833">
        <w:rPr>
          <w:sz w:val="22"/>
          <w:szCs w:val="22"/>
        </w:rPr>
        <w:t xml:space="preserve"> de TEKIA INGENIEROS SA, lo primero es acudir al Acuerdo de adjudicación recurrido. En él consta que la oferta económica de TEKIA se encontraba incursa en presunción de anormalidad según los criterios establecidos en el pliego de cláusulas administrativas particulares y en el cuadro de características. Por tanto, era de aplicación el procedimiento previsto en el art. 149 LCSP y, en consecuencia, se requirió a TEKIA que justificase la suficiencia de la oferta económica presentada para la realización de la totalidad de los servicios requeridos. TEKIA presentó la justificación el 8 de abril de 2025 y el Servicio de Movilidad y Transportes dicta</w:t>
      </w:r>
      <w:r w:rsidR="002F1502">
        <w:rPr>
          <w:sz w:val="22"/>
          <w:szCs w:val="22"/>
        </w:rPr>
        <w:t xml:space="preserve"> un informe el 15 de abril de 2025 por el que considera que la baja está debidamente justificada y es coherente con la estructura de costes planteada por la licitadora.</w:t>
      </w:r>
    </w:p>
    <w:p w14:paraId="688F96B8" w14:textId="6C6AC3F9" w:rsidR="008A5833" w:rsidRDefault="002F1502" w:rsidP="00564206">
      <w:pPr>
        <w:autoSpaceDE w:val="0"/>
        <w:autoSpaceDN w:val="0"/>
        <w:adjustRightInd w:val="0"/>
        <w:spacing w:after="360" w:line="276" w:lineRule="auto"/>
        <w:jc w:val="both"/>
        <w:rPr>
          <w:sz w:val="22"/>
          <w:szCs w:val="22"/>
        </w:rPr>
      </w:pPr>
      <w:r>
        <w:rPr>
          <w:sz w:val="22"/>
          <w:szCs w:val="22"/>
        </w:rPr>
        <w:t>Según lo establecido en el apdo. 6 del art. 149 LCSP:</w:t>
      </w:r>
    </w:p>
    <w:p w14:paraId="60B8CB5A" w14:textId="441B1DA1" w:rsidR="002F1502" w:rsidRPr="002F1502" w:rsidRDefault="002F1502" w:rsidP="002F1502">
      <w:pPr>
        <w:autoSpaceDE w:val="0"/>
        <w:autoSpaceDN w:val="0"/>
        <w:adjustRightInd w:val="0"/>
        <w:spacing w:after="360" w:line="276" w:lineRule="auto"/>
        <w:ind w:left="708"/>
        <w:jc w:val="both"/>
        <w:rPr>
          <w:i/>
          <w:iCs/>
          <w:sz w:val="22"/>
          <w:szCs w:val="22"/>
        </w:rPr>
      </w:pPr>
      <w:r>
        <w:rPr>
          <w:i/>
          <w:iCs/>
          <w:sz w:val="22"/>
          <w:szCs w:val="22"/>
        </w:rPr>
        <w:t>“</w:t>
      </w:r>
      <w:r w:rsidRPr="002F1502">
        <w:rPr>
          <w:i/>
          <w:iCs/>
          <w:sz w:val="22"/>
          <w:szCs w:val="22"/>
        </w:rPr>
        <w:t>6. La mesa de contratación, o en su defecto, el órgano de contratación evaluará toda la información y documentación proporcionada por el licitador en plazo y, en el caso de que se trate de la mesa de contratación, elevará de forma motivada la correspondiente propuesta de aceptación o rechazo al órgano de contratación. En ningún caso se acordará la aceptación de una oferta sin que la propuesta de la mesa de contratación en este sentido esté debidamente motivada.</w:t>
      </w:r>
      <w:r>
        <w:rPr>
          <w:i/>
          <w:iCs/>
          <w:sz w:val="22"/>
          <w:szCs w:val="22"/>
        </w:rPr>
        <w:t>”</w:t>
      </w:r>
    </w:p>
    <w:p w14:paraId="5F4034D4" w14:textId="0F0860F7" w:rsidR="000B55BE" w:rsidRDefault="003E53B8" w:rsidP="003E53B8">
      <w:pPr>
        <w:autoSpaceDE w:val="0"/>
        <w:autoSpaceDN w:val="0"/>
        <w:adjustRightInd w:val="0"/>
        <w:spacing w:after="360" w:line="276" w:lineRule="auto"/>
        <w:jc w:val="both"/>
        <w:rPr>
          <w:sz w:val="22"/>
          <w:szCs w:val="22"/>
        </w:rPr>
      </w:pPr>
      <w:r>
        <w:rPr>
          <w:sz w:val="22"/>
          <w:szCs w:val="22"/>
        </w:rPr>
        <w:t xml:space="preserve">Debemos añadir una precisión: </w:t>
      </w:r>
      <w:r w:rsidRPr="003E53B8">
        <w:rPr>
          <w:sz w:val="22"/>
          <w:szCs w:val="22"/>
        </w:rPr>
        <w:t xml:space="preserve">no es necesario que la empresa licitadora aporte justificación exhaustiva, sino solamente que facilite a la Administración información que le permita llegar a la convicción de que su oferta se puede cumplir (TACRC Resol 309/2019). </w:t>
      </w:r>
      <w:r w:rsidR="000B55BE">
        <w:rPr>
          <w:sz w:val="22"/>
          <w:szCs w:val="22"/>
        </w:rPr>
        <w:t xml:space="preserve">Y la motivación del órgano de contratación ha de ser reforzada en el caso de excluir la oferta por baja temeraria, pues esa </w:t>
      </w:r>
      <w:r w:rsidR="000B55BE" w:rsidRPr="003E53B8">
        <w:rPr>
          <w:sz w:val="22"/>
          <w:szCs w:val="22"/>
        </w:rPr>
        <w:t>debe ser una solución excepcional (TACRC Resol 1079/2018).</w:t>
      </w:r>
    </w:p>
    <w:p w14:paraId="7BA5AD75" w14:textId="00CB2FE7" w:rsidR="00B43EC5" w:rsidRDefault="00B43EC5" w:rsidP="003E53B8">
      <w:pPr>
        <w:autoSpaceDE w:val="0"/>
        <w:autoSpaceDN w:val="0"/>
        <w:adjustRightInd w:val="0"/>
        <w:spacing w:after="360" w:line="276" w:lineRule="auto"/>
        <w:jc w:val="both"/>
        <w:rPr>
          <w:sz w:val="22"/>
          <w:szCs w:val="22"/>
        </w:rPr>
      </w:pPr>
      <w:r>
        <w:rPr>
          <w:sz w:val="22"/>
          <w:szCs w:val="22"/>
        </w:rPr>
        <w:t>En el informe del órgano de contratación de 15 de abril de 2025 se recoge lo siguiente:</w:t>
      </w:r>
    </w:p>
    <w:p w14:paraId="20AD137D" w14:textId="2D5C45B5" w:rsidR="00B43EC5" w:rsidRPr="00B43EC5" w:rsidRDefault="00B43EC5" w:rsidP="00B43EC5">
      <w:pPr>
        <w:autoSpaceDE w:val="0"/>
        <w:autoSpaceDN w:val="0"/>
        <w:adjustRightInd w:val="0"/>
        <w:spacing w:after="360" w:line="276" w:lineRule="auto"/>
        <w:ind w:left="708"/>
        <w:jc w:val="both"/>
        <w:rPr>
          <w:i/>
          <w:iCs/>
          <w:sz w:val="22"/>
          <w:szCs w:val="22"/>
        </w:rPr>
      </w:pPr>
      <w:r w:rsidRPr="00B43EC5">
        <w:rPr>
          <w:i/>
          <w:iCs/>
          <w:sz w:val="22"/>
          <w:szCs w:val="22"/>
        </w:rPr>
        <w:t>“En la documentación presentada por TEKIA INGENIEROS S.A. se hace una descripción detallada de los costes directos relacionados con el equipo de trabajo presentado en función del porcentaje de dedicación al proyecto de cada uno de los perfiles; en donde se desglosa el salario anual, los costes de Seguridad Social y los incrementos de salario según convenio durante la duración del contrato (29 meses). Estos importes son superiores a lo establecido en el convenio laboral que les aplica.</w:t>
      </w:r>
    </w:p>
    <w:p w14:paraId="2AD16BFE" w14:textId="77777777" w:rsidR="00B43EC5" w:rsidRPr="00B43EC5" w:rsidRDefault="00B43EC5" w:rsidP="00B43EC5">
      <w:pPr>
        <w:autoSpaceDE w:val="0"/>
        <w:autoSpaceDN w:val="0"/>
        <w:adjustRightInd w:val="0"/>
        <w:spacing w:after="360" w:line="276" w:lineRule="auto"/>
        <w:ind w:left="708"/>
        <w:jc w:val="both"/>
        <w:rPr>
          <w:i/>
          <w:iCs/>
          <w:sz w:val="22"/>
          <w:szCs w:val="22"/>
        </w:rPr>
      </w:pPr>
      <w:r w:rsidRPr="00B43EC5">
        <w:rPr>
          <w:i/>
          <w:iCs/>
          <w:sz w:val="22"/>
          <w:szCs w:val="22"/>
        </w:rPr>
        <w:lastRenderedPageBreak/>
        <w:t>Además, se desglosa una serie de costes directos relacionados con horas de dedicación del personal adicional de apoyo al que hacen referencia en su oferta.</w:t>
      </w:r>
    </w:p>
    <w:p w14:paraId="3F28B0FC" w14:textId="77777777" w:rsidR="00B43EC5" w:rsidRPr="00B43EC5" w:rsidRDefault="00B43EC5" w:rsidP="00B43EC5">
      <w:pPr>
        <w:autoSpaceDE w:val="0"/>
        <w:autoSpaceDN w:val="0"/>
        <w:adjustRightInd w:val="0"/>
        <w:spacing w:after="360" w:line="276" w:lineRule="auto"/>
        <w:ind w:left="708"/>
        <w:jc w:val="both"/>
        <w:rPr>
          <w:i/>
          <w:iCs/>
          <w:sz w:val="22"/>
          <w:szCs w:val="22"/>
        </w:rPr>
      </w:pPr>
      <w:r w:rsidRPr="00B43EC5">
        <w:rPr>
          <w:i/>
          <w:iCs/>
          <w:sz w:val="22"/>
          <w:szCs w:val="22"/>
        </w:rPr>
        <w:t>Por otra parte, realizan un cálculo de los gastos generales y del beneficio industrial que son acordes a lo establecido en la Ley de Contratos de las Administraciones Públicas.</w:t>
      </w:r>
    </w:p>
    <w:p w14:paraId="3090AAC4" w14:textId="6EB9BEF3" w:rsidR="00B43EC5" w:rsidRPr="00B43EC5" w:rsidRDefault="00B43EC5" w:rsidP="00B43EC5">
      <w:pPr>
        <w:autoSpaceDE w:val="0"/>
        <w:autoSpaceDN w:val="0"/>
        <w:adjustRightInd w:val="0"/>
        <w:spacing w:after="360" w:line="276" w:lineRule="auto"/>
        <w:ind w:left="708"/>
        <w:jc w:val="both"/>
        <w:rPr>
          <w:i/>
          <w:iCs/>
          <w:sz w:val="22"/>
          <w:szCs w:val="22"/>
        </w:rPr>
      </w:pPr>
      <w:r w:rsidRPr="00B43EC5">
        <w:rPr>
          <w:i/>
          <w:iCs/>
          <w:sz w:val="22"/>
          <w:szCs w:val="22"/>
        </w:rPr>
        <w:t>Finalmente, demuestran amplia experiencia en la ejecución de contratos similares y en el uso de herramientas tecnológicas que facilitan una gestión de proyectos eficiente; lo que implica una disminución de costes de ejecución en contraposición a si su experiencia en proyectos similares fuese mucho menor.”</w:t>
      </w:r>
    </w:p>
    <w:p w14:paraId="222075FC" w14:textId="322E2B01" w:rsidR="00564206" w:rsidRPr="00C93983" w:rsidRDefault="000B55BE" w:rsidP="003E53B8">
      <w:pPr>
        <w:autoSpaceDE w:val="0"/>
        <w:autoSpaceDN w:val="0"/>
        <w:adjustRightInd w:val="0"/>
        <w:spacing w:after="360" w:line="276" w:lineRule="auto"/>
        <w:jc w:val="both"/>
        <w:rPr>
          <w:i/>
          <w:iCs/>
          <w:sz w:val="22"/>
          <w:szCs w:val="22"/>
        </w:rPr>
      </w:pPr>
      <w:r>
        <w:rPr>
          <w:sz w:val="22"/>
          <w:szCs w:val="22"/>
        </w:rPr>
        <w:t xml:space="preserve">Una vez </w:t>
      </w:r>
      <w:r w:rsidR="00B43EC5">
        <w:rPr>
          <w:sz w:val="22"/>
          <w:szCs w:val="22"/>
        </w:rPr>
        <w:t>expuesto</w:t>
      </w:r>
      <w:r>
        <w:rPr>
          <w:sz w:val="22"/>
          <w:szCs w:val="22"/>
        </w:rPr>
        <w:t xml:space="preserve"> lo anterior</w:t>
      </w:r>
      <w:r w:rsidR="003E53B8">
        <w:rPr>
          <w:sz w:val="22"/>
          <w:szCs w:val="22"/>
        </w:rPr>
        <w:t>, el recurrente no aporta ningún argumento</w:t>
      </w:r>
      <w:r>
        <w:rPr>
          <w:sz w:val="22"/>
          <w:szCs w:val="22"/>
        </w:rPr>
        <w:t xml:space="preserve"> sólido que permita cuestionar la justificación de la viabilidad de la oferta de TEKIA, </w:t>
      </w:r>
      <w:r w:rsidR="00B43EC5">
        <w:rPr>
          <w:sz w:val="22"/>
          <w:szCs w:val="22"/>
        </w:rPr>
        <w:t>teniendo en cuenta que</w:t>
      </w:r>
      <w:r>
        <w:rPr>
          <w:sz w:val="22"/>
          <w:szCs w:val="22"/>
        </w:rPr>
        <w:t xml:space="preserve"> esta decisión del órgano de contratación</w:t>
      </w:r>
      <w:r w:rsidR="00B43EC5">
        <w:rPr>
          <w:sz w:val="22"/>
          <w:szCs w:val="22"/>
        </w:rPr>
        <w:t xml:space="preserve">, de carácter </w:t>
      </w:r>
      <w:r>
        <w:rPr>
          <w:sz w:val="22"/>
          <w:szCs w:val="22"/>
        </w:rPr>
        <w:t xml:space="preserve">técnico, </w:t>
      </w:r>
      <w:r w:rsidR="00B43EC5">
        <w:rPr>
          <w:sz w:val="22"/>
          <w:szCs w:val="22"/>
        </w:rPr>
        <w:t>sólo puede</w:t>
      </w:r>
      <w:r>
        <w:rPr>
          <w:sz w:val="22"/>
          <w:szCs w:val="22"/>
        </w:rPr>
        <w:t xml:space="preserve"> ser revisad</w:t>
      </w:r>
      <w:r w:rsidR="00B43EC5">
        <w:rPr>
          <w:sz w:val="22"/>
          <w:szCs w:val="22"/>
        </w:rPr>
        <w:t>a dentro de</w:t>
      </w:r>
      <w:r>
        <w:rPr>
          <w:sz w:val="22"/>
          <w:szCs w:val="22"/>
        </w:rPr>
        <w:t xml:space="preserve"> los límites del control de la discrecionalidad técnica, esto es, </w:t>
      </w:r>
      <w:r w:rsidR="00B43EC5">
        <w:rPr>
          <w:sz w:val="22"/>
          <w:szCs w:val="22"/>
        </w:rPr>
        <w:t>si resulta ser una decisión</w:t>
      </w:r>
      <w:r>
        <w:rPr>
          <w:sz w:val="22"/>
          <w:szCs w:val="22"/>
        </w:rPr>
        <w:t xml:space="preserve"> injustificad</w:t>
      </w:r>
      <w:r w:rsidR="00B43EC5">
        <w:rPr>
          <w:sz w:val="22"/>
          <w:szCs w:val="22"/>
        </w:rPr>
        <w:t>a</w:t>
      </w:r>
      <w:r>
        <w:rPr>
          <w:sz w:val="22"/>
          <w:szCs w:val="22"/>
        </w:rPr>
        <w:t xml:space="preserve"> o que está viciad</w:t>
      </w:r>
      <w:r w:rsidR="00B43EC5">
        <w:rPr>
          <w:sz w:val="22"/>
          <w:szCs w:val="22"/>
        </w:rPr>
        <w:t>a</w:t>
      </w:r>
      <w:r>
        <w:rPr>
          <w:sz w:val="22"/>
          <w:szCs w:val="22"/>
        </w:rPr>
        <w:t xml:space="preserve"> por algún</w:t>
      </w:r>
      <w:r w:rsidR="003E53B8" w:rsidRPr="003E53B8">
        <w:rPr>
          <w:sz w:val="22"/>
          <w:szCs w:val="22"/>
        </w:rPr>
        <w:t xml:space="preserve"> </w:t>
      </w:r>
      <w:r w:rsidR="00B43EC5" w:rsidRPr="003E53B8">
        <w:rPr>
          <w:sz w:val="22"/>
          <w:szCs w:val="22"/>
        </w:rPr>
        <w:t>error manifiesto</w:t>
      </w:r>
      <w:r w:rsidR="003E53B8" w:rsidRPr="003E53B8">
        <w:rPr>
          <w:sz w:val="22"/>
          <w:szCs w:val="22"/>
        </w:rPr>
        <w:t xml:space="preserve"> y constatable (TACRC Resol 786/2014). </w:t>
      </w:r>
      <w:r w:rsidR="00B43EC5">
        <w:rPr>
          <w:sz w:val="22"/>
          <w:szCs w:val="22"/>
        </w:rPr>
        <w:t>A efectos ilustrativos, cabe indicar que l</w:t>
      </w:r>
      <w:r w:rsidR="00564206" w:rsidRPr="00C93983">
        <w:rPr>
          <w:sz w:val="22"/>
          <w:szCs w:val="22"/>
        </w:rPr>
        <w:t xml:space="preserve">a Audiencia Nacional, Sala de lo Contencioso-administrativo, Sección 4ª, en Sentencia de 13 Mar. 2019, Rec. 1118/2016, </w:t>
      </w:r>
      <w:r w:rsidR="00B43EC5" w:rsidRPr="00B43EC5">
        <w:rPr>
          <w:sz w:val="22"/>
          <w:szCs w:val="22"/>
        </w:rPr>
        <w:t>ampara la interpretación de la viabilidad de la oferta realizada</w:t>
      </w:r>
      <w:r w:rsidR="00564206" w:rsidRPr="00B43EC5">
        <w:rPr>
          <w:sz w:val="22"/>
          <w:szCs w:val="22"/>
        </w:rPr>
        <w:t xml:space="preserve"> por el órgano de contratación </w:t>
      </w:r>
      <w:r w:rsidR="00B43EC5">
        <w:rPr>
          <w:sz w:val="22"/>
          <w:szCs w:val="22"/>
        </w:rPr>
        <w:t>cuando</w:t>
      </w:r>
      <w:r w:rsidR="00564206" w:rsidRPr="00B43EC5">
        <w:rPr>
          <w:sz w:val="22"/>
          <w:szCs w:val="22"/>
        </w:rPr>
        <w:t xml:space="preserve"> no se ha </w:t>
      </w:r>
      <w:r w:rsidR="00B43EC5" w:rsidRPr="00B43EC5">
        <w:rPr>
          <w:sz w:val="22"/>
          <w:szCs w:val="22"/>
        </w:rPr>
        <w:t>revelado</w:t>
      </w:r>
      <w:r w:rsidR="00B43EC5">
        <w:rPr>
          <w:i/>
          <w:iCs/>
          <w:sz w:val="22"/>
          <w:szCs w:val="22"/>
        </w:rPr>
        <w:t xml:space="preserve"> </w:t>
      </w:r>
      <w:r w:rsidR="00B43EC5" w:rsidRPr="00C93983">
        <w:rPr>
          <w:i/>
          <w:iCs/>
          <w:sz w:val="22"/>
          <w:szCs w:val="22"/>
        </w:rPr>
        <w:t>“</w:t>
      </w:r>
      <w:r w:rsidR="00564206" w:rsidRPr="00C93983">
        <w:rPr>
          <w:i/>
          <w:iCs/>
          <w:sz w:val="22"/>
          <w:szCs w:val="22"/>
        </w:rPr>
        <w:t>manifiestamente equivocada, irracional o arbitraria.”</w:t>
      </w:r>
    </w:p>
    <w:p w14:paraId="1BCEEA04" w14:textId="51E99247" w:rsidR="003F3986" w:rsidRPr="00C93983" w:rsidRDefault="003F3986" w:rsidP="003F3986">
      <w:pPr>
        <w:rPr>
          <w:bCs/>
          <w:sz w:val="22"/>
          <w:szCs w:val="22"/>
        </w:rPr>
      </w:pPr>
      <w:r w:rsidRPr="00C93983">
        <w:rPr>
          <w:bCs/>
          <w:sz w:val="22"/>
          <w:szCs w:val="22"/>
        </w:rPr>
        <w:t>Vistos los preceptos legales de aplicación, este Órgano Administrativo Foral de Recursos Contractuales emite la siguiente</w:t>
      </w:r>
    </w:p>
    <w:p w14:paraId="6BF462EF" w14:textId="77777777" w:rsidR="003F3986" w:rsidRPr="00C93983" w:rsidRDefault="003F3986" w:rsidP="003F3986">
      <w:pPr>
        <w:rPr>
          <w:bCs/>
          <w:sz w:val="22"/>
          <w:szCs w:val="22"/>
        </w:rPr>
      </w:pPr>
    </w:p>
    <w:p w14:paraId="19844F9B" w14:textId="77777777" w:rsidR="003F3986" w:rsidRPr="00C93983" w:rsidRDefault="003F3986" w:rsidP="003F3986">
      <w:pPr>
        <w:jc w:val="center"/>
        <w:rPr>
          <w:b/>
          <w:sz w:val="22"/>
          <w:szCs w:val="22"/>
          <w:lang w:val="es-ES_tradnl"/>
        </w:rPr>
      </w:pPr>
      <w:r w:rsidRPr="00C93983">
        <w:rPr>
          <w:b/>
          <w:sz w:val="22"/>
          <w:szCs w:val="22"/>
          <w:lang w:val="es-ES_tradnl"/>
        </w:rPr>
        <w:t>RESOLUCIÓN</w:t>
      </w:r>
    </w:p>
    <w:p w14:paraId="1F3FC0A2" w14:textId="77777777" w:rsidR="003F3986" w:rsidRPr="00C93983" w:rsidRDefault="003F3986" w:rsidP="003F3986">
      <w:pPr>
        <w:rPr>
          <w:b/>
          <w:bCs/>
          <w:sz w:val="22"/>
          <w:szCs w:val="22"/>
        </w:rPr>
      </w:pPr>
    </w:p>
    <w:p w14:paraId="03EEACA1" w14:textId="28D9A954" w:rsidR="003F3986" w:rsidRPr="00C93983" w:rsidRDefault="003F3986" w:rsidP="003F3986">
      <w:pPr>
        <w:jc w:val="both"/>
        <w:rPr>
          <w:bCs/>
          <w:sz w:val="22"/>
          <w:szCs w:val="22"/>
        </w:rPr>
      </w:pPr>
      <w:r w:rsidRPr="00C93983">
        <w:rPr>
          <w:b/>
          <w:bCs/>
          <w:sz w:val="22"/>
          <w:szCs w:val="22"/>
        </w:rPr>
        <w:t xml:space="preserve">Primero. - </w:t>
      </w:r>
      <w:r w:rsidRPr="00C93983">
        <w:rPr>
          <w:sz w:val="22"/>
          <w:szCs w:val="22"/>
        </w:rPr>
        <w:t xml:space="preserve">Desestimar el recurso especial en materia de contratación interpuesto </w:t>
      </w:r>
      <w:r w:rsidR="00002A8E" w:rsidRPr="00C93983">
        <w:rPr>
          <w:sz w:val="22"/>
          <w:szCs w:val="22"/>
        </w:rPr>
        <w:t>por</w:t>
      </w:r>
      <w:r w:rsidR="00DC1A55" w:rsidRPr="00C93983">
        <w:rPr>
          <w:sz w:val="22"/>
          <w:szCs w:val="22"/>
        </w:rPr>
        <w:t xml:space="preserve"> </w:t>
      </w:r>
      <w:r w:rsidR="00C43916">
        <w:rPr>
          <w:sz w:val="22"/>
          <w:szCs w:val="22"/>
        </w:rPr>
        <w:t>XXXXX XXXXXXX</w:t>
      </w:r>
      <w:r w:rsidR="00002A8E" w:rsidRPr="00C93983">
        <w:rPr>
          <w:sz w:val="22"/>
          <w:szCs w:val="22"/>
        </w:rPr>
        <w:t xml:space="preserve">, en representación de la entidad </w:t>
      </w:r>
      <w:r w:rsidR="00DC1A55" w:rsidRPr="00C93983">
        <w:rPr>
          <w:sz w:val="22"/>
          <w:szCs w:val="22"/>
        </w:rPr>
        <w:t>UTE INGARTEK-TICMOVEO SL</w:t>
      </w:r>
      <w:r w:rsidR="00002A8E" w:rsidRPr="00C93983">
        <w:rPr>
          <w:sz w:val="22"/>
          <w:szCs w:val="22"/>
        </w:rPr>
        <w:t xml:space="preserve"> contra Acuerdo del Consejo de Gobierno Foral </w:t>
      </w:r>
      <w:r w:rsidR="003C387E" w:rsidRPr="00C93983">
        <w:rPr>
          <w:sz w:val="22"/>
          <w:szCs w:val="22"/>
        </w:rPr>
        <w:t>353/2024</w:t>
      </w:r>
      <w:r w:rsidR="00002A8E" w:rsidRPr="00C93983">
        <w:rPr>
          <w:sz w:val="22"/>
          <w:szCs w:val="22"/>
        </w:rPr>
        <w:t xml:space="preserve">, </w:t>
      </w:r>
      <w:r w:rsidR="003C387E" w:rsidRPr="00C93983">
        <w:rPr>
          <w:sz w:val="22"/>
          <w:szCs w:val="22"/>
        </w:rPr>
        <w:t xml:space="preserve">de 17 de junio, </w:t>
      </w:r>
      <w:r w:rsidR="00002A8E" w:rsidRPr="00C93983">
        <w:rPr>
          <w:sz w:val="22"/>
          <w:szCs w:val="22"/>
        </w:rPr>
        <w:t xml:space="preserve">que decide adjudicar el contrato a la </w:t>
      </w:r>
      <w:r w:rsidR="003C387E" w:rsidRPr="00C93983">
        <w:rPr>
          <w:sz w:val="22"/>
          <w:szCs w:val="22"/>
        </w:rPr>
        <w:t>empresa TEKIA INGENIEROS, SA.</w:t>
      </w:r>
    </w:p>
    <w:p w14:paraId="76613C41" w14:textId="77777777" w:rsidR="003F3986" w:rsidRPr="00C93983" w:rsidRDefault="003F3986" w:rsidP="003F3986">
      <w:pPr>
        <w:jc w:val="both"/>
        <w:rPr>
          <w:bCs/>
          <w:sz w:val="22"/>
          <w:szCs w:val="22"/>
        </w:rPr>
      </w:pPr>
    </w:p>
    <w:p w14:paraId="0B518A6B" w14:textId="3CDE4647" w:rsidR="003F3986" w:rsidRPr="00C93983" w:rsidRDefault="003F3986" w:rsidP="003F3986">
      <w:pPr>
        <w:jc w:val="both"/>
        <w:rPr>
          <w:bCs/>
          <w:sz w:val="22"/>
          <w:szCs w:val="22"/>
        </w:rPr>
      </w:pPr>
      <w:r w:rsidRPr="00C93983">
        <w:rPr>
          <w:b/>
          <w:sz w:val="22"/>
          <w:szCs w:val="22"/>
        </w:rPr>
        <w:t>Segundo.</w:t>
      </w:r>
      <w:r w:rsidRPr="00C93983">
        <w:rPr>
          <w:bCs/>
          <w:sz w:val="22"/>
          <w:szCs w:val="22"/>
        </w:rPr>
        <w:t xml:space="preserve"> - Levantar la suspensión cautelar acordada por este OAFRC, por Resolución</w:t>
      </w:r>
      <w:r w:rsidR="0055197F" w:rsidRPr="00C93983">
        <w:rPr>
          <w:bCs/>
          <w:sz w:val="22"/>
          <w:szCs w:val="22"/>
        </w:rPr>
        <w:t xml:space="preserve"> </w:t>
      </w:r>
      <w:r w:rsidR="00752BDD">
        <w:rPr>
          <w:bCs/>
          <w:sz w:val="22"/>
          <w:szCs w:val="22"/>
        </w:rPr>
        <w:t>21/2025</w:t>
      </w:r>
      <w:r w:rsidRPr="00C93983">
        <w:rPr>
          <w:bCs/>
          <w:sz w:val="22"/>
          <w:szCs w:val="22"/>
        </w:rPr>
        <w:t xml:space="preserve"> </w:t>
      </w:r>
      <w:r w:rsidR="0055197F" w:rsidRPr="00C93983">
        <w:rPr>
          <w:bCs/>
          <w:sz w:val="22"/>
          <w:szCs w:val="22"/>
        </w:rPr>
        <w:t xml:space="preserve">de </w:t>
      </w:r>
      <w:r w:rsidR="00752BDD">
        <w:rPr>
          <w:bCs/>
          <w:sz w:val="22"/>
          <w:szCs w:val="22"/>
        </w:rPr>
        <w:t>10 de julio</w:t>
      </w:r>
      <w:r w:rsidR="0055197F" w:rsidRPr="00C93983">
        <w:rPr>
          <w:bCs/>
          <w:sz w:val="22"/>
          <w:szCs w:val="22"/>
        </w:rPr>
        <w:t>.</w:t>
      </w:r>
    </w:p>
    <w:p w14:paraId="5237E7A3" w14:textId="77777777" w:rsidR="003F3986" w:rsidRPr="00C93983" w:rsidRDefault="003F3986" w:rsidP="003F3986">
      <w:pPr>
        <w:jc w:val="both"/>
        <w:rPr>
          <w:bCs/>
          <w:sz w:val="22"/>
          <w:szCs w:val="22"/>
        </w:rPr>
      </w:pPr>
    </w:p>
    <w:p w14:paraId="45BE3DF8" w14:textId="77777777" w:rsidR="003F3986" w:rsidRPr="00C93983" w:rsidRDefault="003F3986" w:rsidP="003F3986">
      <w:pPr>
        <w:jc w:val="both"/>
        <w:rPr>
          <w:bCs/>
          <w:sz w:val="22"/>
          <w:szCs w:val="22"/>
        </w:rPr>
      </w:pPr>
      <w:r w:rsidRPr="00C93983">
        <w:rPr>
          <w:b/>
          <w:sz w:val="22"/>
          <w:szCs w:val="22"/>
        </w:rPr>
        <w:t>Tercero.</w:t>
      </w:r>
      <w:r w:rsidRPr="00C93983">
        <w:rPr>
          <w:bCs/>
          <w:sz w:val="22"/>
          <w:szCs w:val="22"/>
        </w:rPr>
        <w:t xml:space="preserve"> - Declarar que no se aprecia la concurrencia de mala fe o temeridad en la interposición del recurso, por lo que no procede la imposición de sanción prevista en el artículo 58.2 de la LCSP. </w:t>
      </w:r>
    </w:p>
    <w:p w14:paraId="2E5C2032" w14:textId="77777777" w:rsidR="003F3986" w:rsidRPr="00C93983" w:rsidRDefault="003F3986" w:rsidP="003F3986">
      <w:pPr>
        <w:jc w:val="both"/>
        <w:rPr>
          <w:bCs/>
          <w:sz w:val="22"/>
          <w:szCs w:val="22"/>
        </w:rPr>
      </w:pPr>
    </w:p>
    <w:p w14:paraId="0B62237C" w14:textId="63E4FE09" w:rsidR="006F0492" w:rsidRPr="00C93983" w:rsidRDefault="003F3986" w:rsidP="003F3986">
      <w:pPr>
        <w:jc w:val="both"/>
        <w:rPr>
          <w:sz w:val="24"/>
          <w:szCs w:val="24"/>
        </w:rPr>
      </w:pPr>
      <w:r w:rsidRPr="00C93983">
        <w:rPr>
          <w:sz w:val="22"/>
          <w:szCs w:val="22"/>
        </w:rPr>
        <w:t>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recepción de esta notificación, de conformidad con lo dispuesto en los artículos 11.1.f) y 46.1 de la Ley 29/1998, de 13 de julio, Reguladora de la Jurisdicción Contencioso-Administrativa.</w:t>
      </w:r>
    </w:p>
    <w:sectPr w:rsidR="006F0492" w:rsidRPr="00C93983">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EB81D" w14:textId="77777777" w:rsidR="005E5A55" w:rsidRDefault="005E5A55" w:rsidP="005E5A55">
      <w:r>
        <w:separator/>
      </w:r>
    </w:p>
  </w:endnote>
  <w:endnote w:type="continuationSeparator" w:id="0">
    <w:p w14:paraId="6F111F58" w14:textId="77777777" w:rsidR="005E5A55" w:rsidRDefault="005E5A55" w:rsidP="005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658470"/>
      <w:docPartObj>
        <w:docPartGallery w:val="Page Numbers (Bottom of Page)"/>
        <w:docPartUnique/>
      </w:docPartObj>
    </w:sdtPr>
    <w:sdtEndPr/>
    <w:sdtContent>
      <w:p w14:paraId="0EAC5AB7" w14:textId="5700F73A" w:rsidR="00413051" w:rsidRDefault="00413051">
        <w:pPr>
          <w:pStyle w:val="Piedepgina"/>
          <w:jc w:val="right"/>
        </w:pPr>
        <w:r>
          <w:fldChar w:fldCharType="begin"/>
        </w:r>
        <w:r>
          <w:instrText>PAGE   \* MERGEFORMAT</w:instrText>
        </w:r>
        <w:r>
          <w:fldChar w:fldCharType="separate"/>
        </w:r>
        <w:r>
          <w:t>2</w:t>
        </w:r>
        <w:r>
          <w:fldChar w:fldCharType="end"/>
        </w:r>
      </w:p>
    </w:sdtContent>
  </w:sdt>
  <w:p w14:paraId="178F0562" w14:textId="77777777" w:rsidR="005E5A55" w:rsidRDefault="005E5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AE89" w14:textId="77777777" w:rsidR="005E5A55" w:rsidRDefault="005E5A55" w:rsidP="005E5A55">
      <w:r>
        <w:separator/>
      </w:r>
    </w:p>
  </w:footnote>
  <w:footnote w:type="continuationSeparator" w:id="0">
    <w:p w14:paraId="2587B2CF" w14:textId="77777777" w:rsidR="005E5A55" w:rsidRDefault="005E5A55" w:rsidP="005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1C37FB" w:rsidRPr="00814F6B" w14:paraId="59FC5CDC" w14:textId="77777777" w:rsidTr="003F7CBE">
      <w:tc>
        <w:tcPr>
          <w:tcW w:w="4890" w:type="dxa"/>
        </w:tcPr>
        <w:p w14:paraId="0C19174C" w14:textId="77777777" w:rsidR="001C37FB" w:rsidRPr="00814F6B" w:rsidRDefault="001C37FB" w:rsidP="001C37FB">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667D0A20" wp14:editId="65FA5EFD">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99F711D" w14:textId="77777777" w:rsidR="001C37FB" w:rsidRPr="00814F6B" w:rsidRDefault="001C37FB" w:rsidP="001C37FB">
          <w:pPr>
            <w:tabs>
              <w:tab w:val="center" w:pos="4819"/>
              <w:tab w:val="right" w:pos="9071"/>
            </w:tabs>
            <w:ind w:left="1064"/>
            <w:rPr>
              <w:rFonts w:ascii="Arial" w:hAnsi="Arial"/>
              <w:noProof/>
              <w:sz w:val="16"/>
              <w:lang w:val="es-ES_tradnl"/>
            </w:rPr>
          </w:pPr>
        </w:p>
      </w:tc>
      <w:tc>
        <w:tcPr>
          <w:tcW w:w="4961" w:type="dxa"/>
        </w:tcPr>
        <w:p w14:paraId="34C32959" w14:textId="77777777" w:rsidR="001C37FB" w:rsidRPr="00814F6B" w:rsidRDefault="001C37FB" w:rsidP="001C37FB">
          <w:pPr>
            <w:tabs>
              <w:tab w:val="center" w:pos="4819"/>
              <w:tab w:val="right" w:pos="9071"/>
            </w:tabs>
            <w:spacing w:after="40" w:line="240" w:lineRule="exact"/>
            <w:ind w:left="-68"/>
            <w:rPr>
              <w:rFonts w:ascii="Arial" w:hAnsi="Arial"/>
              <w:b/>
              <w:noProof/>
              <w:sz w:val="18"/>
              <w:lang w:val="es-ES_tradnl"/>
            </w:rPr>
          </w:pPr>
        </w:p>
        <w:p w14:paraId="3E15FD92" w14:textId="77777777" w:rsidR="001C37FB" w:rsidRPr="00814F6B" w:rsidRDefault="001C37FB" w:rsidP="001C37FB">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6CAD9364" w14:textId="77777777" w:rsidR="001C37FB" w:rsidRPr="00814F6B" w:rsidRDefault="001C37FB" w:rsidP="001C37FB">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18355BD" w14:textId="77777777" w:rsidR="001C37FB" w:rsidRDefault="001C37FB" w:rsidP="001C37FB">
    <w:pPr>
      <w:pStyle w:val="Encabezado"/>
      <w:rPr>
        <w:lang w:val="es-ES_tradnl"/>
      </w:rPr>
    </w:pPr>
  </w:p>
  <w:p w14:paraId="0811B1B8" w14:textId="77777777" w:rsidR="001C37FB" w:rsidRDefault="001C37FB" w:rsidP="001C37FB">
    <w:pPr>
      <w:pStyle w:val="Encabezado"/>
      <w:rPr>
        <w:lang w:val="es-ES_tradnl"/>
      </w:rPr>
    </w:pPr>
  </w:p>
  <w:p w14:paraId="679B635D" w14:textId="77777777" w:rsidR="001C37FB" w:rsidRPr="00D70071" w:rsidRDefault="001C37FB" w:rsidP="001C37FB">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C5116"/>
    <w:multiLevelType w:val="hybridMultilevel"/>
    <w:tmpl w:val="9AECEFCA"/>
    <w:lvl w:ilvl="0" w:tplc="844AAEC8">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6DA4EF4"/>
    <w:multiLevelType w:val="hybridMultilevel"/>
    <w:tmpl w:val="15244638"/>
    <w:lvl w:ilvl="0" w:tplc="0C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29039A6"/>
    <w:multiLevelType w:val="hybridMultilevel"/>
    <w:tmpl w:val="69CE96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A7C01FD"/>
    <w:multiLevelType w:val="hybridMultilevel"/>
    <w:tmpl w:val="DF0A1622"/>
    <w:lvl w:ilvl="0" w:tplc="D166C494">
      <w:start w:val="1"/>
      <w:numFmt w:val="ordin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F920FCF"/>
    <w:multiLevelType w:val="hybridMultilevel"/>
    <w:tmpl w:val="4D3693B0"/>
    <w:lvl w:ilvl="0" w:tplc="FFFFFFFF">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442F743F"/>
    <w:multiLevelType w:val="hybridMultilevel"/>
    <w:tmpl w:val="43A6A24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B8E39EA"/>
    <w:multiLevelType w:val="hybridMultilevel"/>
    <w:tmpl w:val="FD345E8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60B24FF"/>
    <w:multiLevelType w:val="multilevel"/>
    <w:tmpl w:val="0476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DA7795"/>
    <w:multiLevelType w:val="hybridMultilevel"/>
    <w:tmpl w:val="B62A1C48"/>
    <w:lvl w:ilvl="0" w:tplc="FFFFFFFF">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59263E65"/>
    <w:multiLevelType w:val="multilevel"/>
    <w:tmpl w:val="F3CC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4F1F43"/>
    <w:multiLevelType w:val="hybridMultilevel"/>
    <w:tmpl w:val="96B8A1FC"/>
    <w:lvl w:ilvl="0" w:tplc="85FCA45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69445312">
    <w:abstractNumId w:val="9"/>
  </w:num>
  <w:num w:numId="2" w16cid:durableId="636762707">
    <w:abstractNumId w:val="7"/>
  </w:num>
  <w:num w:numId="3" w16cid:durableId="193006363">
    <w:abstractNumId w:val="10"/>
  </w:num>
  <w:num w:numId="4" w16cid:durableId="1694530507">
    <w:abstractNumId w:val="5"/>
  </w:num>
  <w:num w:numId="5" w16cid:durableId="2056196996">
    <w:abstractNumId w:val="8"/>
  </w:num>
  <w:num w:numId="6" w16cid:durableId="1263027402">
    <w:abstractNumId w:val="4"/>
  </w:num>
  <w:num w:numId="7" w16cid:durableId="1000355013">
    <w:abstractNumId w:val="2"/>
  </w:num>
  <w:num w:numId="8" w16cid:durableId="1842547346">
    <w:abstractNumId w:val="0"/>
  </w:num>
  <w:num w:numId="9" w16cid:durableId="434133694">
    <w:abstractNumId w:val="6"/>
  </w:num>
  <w:num w:numId="10" w16cid:durableId="769660315">
    <w:abstractNumId w:val="1"/>
  </w:num>
  <w:num w:numId="11" w16cid:durableId="1748264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F3"/>
    <w:rsid w:val="00002A8E"/>
    <w:rsid w:val="00050449"/>
    <w:rsid w:val="00054CC7"/>
    <w:rsid w:val="0006490F"/>
    <w:rsid w:val="00086F0F"/>
    <w:rsid w:val="000A0768"/>
    <w:rsid w:val="000A5541"/>
    <w:rsid w:val="000B1F6A"/>
    <w:rsid w:val="000B4A59"/>
    <w:rsid w:val="000B55BE"/>
    <w:rsid w:val="000B5E2E"/>
    <w:rsid w:val="000C5B85"/>
    <w:rsid w:val="00111391"/>
    <w:rsid w:val="00115CA3"/>
    <w:rsid w:val="0012484D"/>
    <w:rsid w:val="00152382"/>
    <w:rsid w:val="0015655B"/>
    <w:rsid w:val="00167740"/>
    <w:rsid w:val="00171012"/>
    <w:rsid w:val="00186C4C"/>
    <w:rsid w:val="001923B5"/>
    <w:rsid w:val="001A7920"/>
    <w:rsid w:val="001C37FB"/>
    <w:rsid w:val="001C3979"/>
    <w:rsid w:val="001E3AD4"/>
    <w:rsid w:val="001F5CEE"/>
    <w:rsid w:val="0024224E"/>
    <w:rsid w:val="00243A4B"/>
    <w:rsid w:val="00284327"/>
    <w:rsid w:val="00285820"/>
    <w:rsid w:val="00295E96"/>
    <w:rsid w:val="002A182D"/>
    <w:rsid w:val="002C68AE"/>
    <w:rsid w:val="002F12BC"/>
    <w:rsid w:val="002F1502"/>
    <w:rsid w:val="002F52CC"/>
    <w:rsid w:val="003011D0"/>
    <w:rsid w:val="003057D9"/>
    <w:rsid w:val="00305823"/>
    <w:rsid w:val="00331B93"/>
    <w:rsid w:val="00343DB5"/>
    <w:rsid w:val="00362A27"/>
    <w:rsid w:val="003819FF"/>
    <w:rsid w:val="003B7FC8"/>
    <w:rsid w:val="003C387E"/>
    <w:rsid w:val="003E0E2E"/>
    <w:rsid w:val="003E53B8"/>
    <w:rsid w:val="003F0601"/>
    <w:rsid w:val="003F3986"/>
    <w:rsid w:val="00413051"/>
    <w:rsid w:val="00422DF2"/>
    <w:rsid w:val="00426DBA"/>
    <w:rsid w:val="004344C4"/>
    <w:rsid w:val="004A2DB5"/>
    <w:rsid w:val="004B0DA6"/>
    <w:rsid w:val="004B6522"/>
    <w:rsid w:val="004D5F81"/>
    <w:rsid w:val="004E347C"/>
    <w:rsid w:val="004E6C1B"/>
    <w:rsid w:val="00500AF7"/>
    <w:rsid w:val="00502FFA"/>
    <w:rsid w:val="00505BB3"/>
    <w:rsid w:val="00515BA7"/>
    <w:rsid w:val="00521BB2"/>
    <w:rsid w:val="00537527"/>
    <w:rsid w:val="00537B71"/>
    <w:rsid w:val="0055197F"/>
    <w:rsid w:val="00563C27"/>
    <w:rsid w:val="00564206"/>
    <w:rsid w:val="00564C50"/>
    <w:rsid w:val="00566102"/>
    <w:rsid w:val="0056640A"/>
    <w:rsid w:val="00574F5B"/>
    <w:rsid w:val="005870B1"/>
    <w:rsid w:val="005B253D"/>
    <w:rsid w:val="005E5A55"/>
    <w:rsid w:val="005F4D77"/>
    <w:rsid w:val="005F67C7"/>
    <w:rsid w:val="00624496"/>
    <w:rsid w:val="00627944"/>
    <w:rsid w:val="00643597"/>
    <w:rsid w:val="006462B9"/>
    <w:rsid w:val="006519A7"/>
    <w:rsid w:val="00651D7D"/>
    <w:rsid w:val="006545C8"/>
    <w:rsid w:val="006657C4"/>
    <w:rsid w:val="006901E2"/>
    <w:rsid w:val="006A2C6F"/>
    <w:rsid w:val="006B58F3"/>
    <w:rsid w:val="006D1D17"/>
    <w:rsid w:val="006E1AA5"/>
    <w:rsid w:val="006F0492"/>
    <w:rsid w:val="006F1531"/>
    <w:rsid w:val="00701A5B"/>
    <w:rsid w:val="00715389"/>
    <w:rsid w:val="00752BDD"/>
    <w:rsid w:val="00753F9A"/>
    <w:rsid w:val="00755CED"/>
    <w:rsid w:val="00762BD5"/>
    <w:rsid w:val="00765621"/>
    <w:rsid w:val="0078202B"/>
    <w:rsid w:val="007A1AFB"/>
    <w:rsid w:val="007A7CE2"/>
    <w:rsid w:val="007C743C"/>
    <w:rsid w:val="007D082A"/>
    <w:rsid w:val="008032DD"/>
    <w:rsid w:val="00804EA3"/>
    <w:rsid w:val="00837910"/>
    <w:rsid w:val="008402AF"/>
    <w:rsid w:val="00861F2B"/>
    <w:rsid w:val="0086404A"/>
    <w:rsid w:val="008643B7"/>
    <w:rsid w:val="00872DFC"/>
    <w:rsid w:val="00884D0E"/>
    <w:rsid w:val="008A1DBB"/>
    <w:rsid w:val="008A5833"/>
    <w:rsid w:val="008C5382"/>
    <w:rsid w:val="008E0324"/>
    <w:rsid w:val="008F3486"/>
    <w:rsid w:val="00900B29"/>
    <w:rsid w:val="00907CD7"/>
    <w:rsid w:val="00911C45"/>
    <w:rsid w:val="009370A6"/>
    <w:rsid w:val="0097107A"/>
    <w:rsid w:val="00981F92"/>
    <w:rsid w:val="009937BC"/>
    <w:rsid w:val="009B728D"/>
    <w:rsid w:val="009C4D25"/>
    <w:rsid w:val="009E1531"/>
    <w:rsid w:val="009E3DEC"/>
    <w:rsid w:val="009F4109"/>
    <w:rsid w:val="00A171DB"/>
    <w:rsid w:val="00A21B88"/>
    <w:rsid w:val="00A236F0"/>
    <w:rsid w:val="00A50142"/>
    <w:rsid w:val="00A654E4"/>
    <w:rsid w:val="00AC0C80"/>
    <w:rsid w:val="00AD408B"/>
    <w:rsid w:val="00AD69CE"/>
    <w:rsid w:val="00AE5B09"/>
    <w:rsid w:val="00B172E8"/>
    <w:rsid w:val="00B357C3"/>
    <w:rsid w:val="00B43EC5"/>
    <w:rsid w:val="00B472E2"/>
    <w:rsid w:val="00B559F0"/>
    <w:rsid w:val="00B728EA"/>
    <w:rsid w:val="00B83F99"/>
    <w:rsid w:val="00BC3317"/>
    <w:rsid w:val="00BC60C6"/>
    <w:rsid w:val="00BF2391"/>
    <w:rsid w:val="00C36535"/>
    <w:rsid w:val="00C40A5B"/>
    <w:rsid w:val="00C43916"/>
    <w:rsid w:val="00C44ACA"/>
    <w:rsid w:val="00C47FCE"/>
    <w:rsid w:val="00C55A47"/>
    <w:rsid w:val="00C63B40"/>
    <w:rsid w:val="00C65046"/>
    <w:rsid w:val="00C65488"/>
    <w:rsid w:val="00C67EB1"/>
    <w:rsid w:val="00C93983"/>
    <w:rsid w:val="00CA5719"/>
    <w:rsid w:val="00CA61B5"/>
    <w:rsid w:val="00CC39CD"/>
    <w:rsid w:val="00CD5E36"/>
    <w:rsid w:val="00CF77B5"/>
    <w:rsid w:val="00D36E63"/>
    <w:rsid w:val="00DA3269"/>
    <w:rsid w:val="00DA3FA1"/>
    <w:rsid w:val="00DA5057"/>
    <w:rsid w:val="00DB1A99"/>
    <w:rsid w:val="00DC1A55"/>
    <w:rsid w:val="00DF5BB6"/>
    <w:rsid w:val="00E175E0"/>
    <w:rsid w:val="00E17CF4"/>
    <w:rsid w:val="00E22C1F"/>
    <w:rsid w:val="00E411AD"/>
    <w:rsid w:val="00E47FE8"/>
    <w:rsid w:val="00E57EAB"/>
    <w:rsid w:val="00E63822"/>
    <w:rsid w:val="00E700C8"/>
    <w:rsid w:val="00E72B32"/>
    <w:rsid w:val="00E9406C"/>
    <w:rsid w:val="00F1751D"/>
    <w:rsid w:val="00F7050C"/>
    <w:rsid w:val="00F820B9"/>
    <w:rsid w:val="00FB5025"/>
    <w:rsid w:val="00FC5B43"/>
    <w:rsid w:val="00FD0EB7"/>
    <w:rsid w:val="00FF34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5A98"/>
  <w15:chartTrackingRefBased/>
  <w15:docId w15:val="{60E4B13B-93A3-4B21-97E9-6AEAE608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F3"/>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B58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58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58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58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B58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B58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B58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B58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B58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58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8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8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8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8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8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8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8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8F3"/>
    <w:rPr>
      <w:rFonts w:eastAsiaTheme="majorEastAsia" w:cstheme="majorBidi"/>
      <w:color w:val="272727" w:themeColor="text1" w:themeTint="D8"/>
    </w:rPr>
  </w:style>
  <w:style w:type="paragraph" w:styleId="Ttulo">
    <w:name w:val="Title"/>
    <w:basedOn w:val="Normal"/>
    <w:next w:val="Normal"/>
    <w:link w:val="TtuloCar"/>
    <w:uiPriority w:val="10"/>
    <w:qFormat/>
    <w:rsid w:val="006B5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8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5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8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B58F3"/>
    <w:rPr>
      <w:i/>
      <w:iCs/>
      <w:color w:val="404040" w:themeColor="text1" w:themeTint="BF"/>
    </w:rPr>
  </w:style>
  <w:style w:type="paragraph" w:styleId="Prrafodelista">
    <w:name w:val="List Paragraph"/>
    <w:basedOn w:val="Normal"/>
    <w:uiPriority w:val="34"/>
    <w:qFormat/>
    <w:rsid w:val="006B58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B58F3"/>
    <w:rPr>
      <w:i/>
      <w:iCs/>
      <w:color w:val="0F4761" w:themeColor="accent1" w:themeShade="BF"/>
    </w:rPr>
  </w:style>
  <w:style w:type="paragraph" w:styleId="Citadestacada">
    <w:name w:val="Intense Quote"/>
    <w:basedOn w:val="Normal"/>
    <w:next w:val="Normal"/>
    <w:link w:val="CitadestacadaCar"/>
    <w:uiPriority w:val="30"/>
    <w:qFormat/>
    <w:rsid w:val="006B58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B58F3"/>
    <w:rPr>
      <w:i/>
      <w:iCs/>
      <w:color w:val="0F4761" w:themeColor="accent1" w:themeShade="BF"/>
    </w:rPr>
  </w:style>
  <w:style w:type="character" w:styleId="Referenciaintensa">
    <w:name w:val="Intense Reference"/>
    <w:basedOn w:val="Fuentedeprrafopredeter"/>
    <w:uiPriority w:val="32"/>
    <w:qFormat/>
    <w:rsid w:val="006B58F3"/>
    <w:rPr>
      <w:b/>
      <w:bCs/>
      <w:smallCaps/>
      <w:color w:val="0F4761" w:themeColor="accent1" w:themeShade="BF"/>
      <w:spacing w:val="5"/>
    </w:rPr>
  </w:style>
  <w:style w:type="paragraph" w:styleId="Piedepgina">
    <w:name w:val="footer"/>
    <w:basedOn w:val="Normal"/>
    <w:link w:val="PiedepginaCar"/>
    <w:uiPriority w:val="99"/>
    <w:unhideWhenUsed/>
    <w:rsid w:val="006B58F3"/>
    <w:pPr>
      <w:tabs>
        <w:tab w:val="center" w:pos="4252"/>
        <w:tab w:val="right" w:pos="8504"/>
      </w:tabs>
    </w:pPr>
  </w:style>
  <w:style w:type="character" w:customStyle="1" w:styleId="PiedepginaCar">
    <w:name w:val="Pie de página Car"/>
    <w:basedOn w:val="Fuentedeprrafopredeter"/>
    <w:link w:val="Piedepgina"/>
    <w:uiPriority w:val="99"/>
    <w:rsid w:val="006B58F3"/>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B58F3"/>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B58F3"/>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B58F3"/>
    <w:pPr>
      <w:jc w:val="both"/>
    </w:pPr>
    <w:rPr>
      <w:i/>
      <w:sz w:val="24"/>
    </w:rPr>
  </w:style>
  <w:style w:type="character" w:customStyle="1" w:styleId="Textoindependiente2Car">
    <w:name w:val="Texto independiente 2 Car"/>
    <w:basedOn w:val="Fuentedeprrafopredeter"/>
    <w:link w:val="Textoindependiente2"/>
    <w:rsid w:val="006B58F3"/>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B58F3"/>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5E5A55"/>
    <w:pPr>
      <w:tabs>
        <w:tab w:val="center" w:pos="4252"/>
        <w:tab w:val="right" w:pos="8504"/>
      </w:tabs>
    </w:pPr>
  </w:style>
  <w:style w:type="character" w:customStyle="1" w:styleId="EncabezadoCar">
    <w:name w:val="Encabezado Car"/>
    <w:basedOn w:val="Fuentedeprrafopredeter"/>
    <w:link w:val="Encabezado"/>
    <w:uiPriority w:val="99"/>
    <w:rsid w:val="005E5A55"/>
    <w:rPr>
      <w:rFonts w:ascii="Times New Roman" w:eastAsia="Times New Roman" w:hAnsi="Times New Roman" w:cs="Times New Roman"/>
      <w:kern w:val="0"/>
      <w:sz w:val="20"/>
      <w:szCs w:val="20"/>
      <w:lang w:eastAsia="es-ES"/>
      <w14:ligatures w14:val="none"/>
    </w:rPr>
  </w:style>
  <w:style w:type="character" w:styleId="Hipervnculo">
    <w:name w:val="Hyperlink"/>
    <w:basedOn w:val="Fuentedeprrafopredeter"/>
    <w:uiPriority w:val="99"/>
    <w:unhideWhenUsed/>
    <w:rsid w:val="004E6C1B"/>
    <w:rPr>
      <w:color w:val="467886" w:themeColor="hyperlink"/>
      <w:u w:val="single"/>
    </w:rPr>
  </w:style>
  <w:style w:type="character" w:styleId="Mencinsinresolver">
    <w:name w:val="Unresolved Mention"/>
    <w:basedOn w:val="Fuentedeprrafopredeter"/>
    <w:uiPriority w:val="99"/>
    <w:semiHidden/>
    <w:unhideWhenUsed/>
    <w:rsid w:val="004E6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1617">
      <w:bodyDiv w:val="1"/>
      <w:marLeft w:val="0"/>
      <w:marRight w:val="0"/>
      <w:marTop w:val="0"/>
      <w:marBottom w:val="0"/>
      <w:divBdr>
        <w:top w:val="none" w:sz="0" w:space="0" w:color="auto"/>
        <w:left w:val="none" w:sz="0" w:space="0" w:color="auto"/>
        <w:bottom w:val="none" w:sz="0" w:space="0" w:color="auto"/>
        <w:right w:val="none" w:sz="0" w:space="0" w:color="auto"/>
      </w:divBdr>
    </w:div>
    <w:div w:id="737674927">
      <w:bodyDiv w:val="1"/>
      <w:marLeft w:val="0"/>
      <w:marRight w:val="0"/>
      <w:marTop w:val="0"/>
      <w:marBottom w:val="0"/>
      <w:divBdr>
        <w:top w:val="none" w:sz="0" w:space="0" w:color="auto"/>
        <w:left w:val="none" w:sz="0" w:space="0" w:color="auto"/>
        <w:bottom w:val="none" w:sz="0" w:space="0" w:color="auto"/>
        <w:right w:val="none" w:sz="0" w:space="0" w:color="auto"/>
      </w:divBdr>
    </w:div>
    <w:div w:id="808980821">
      <w:bodyDiv w:val="1"/>
      <w:marLeft w:val="0"/>
      <w:marRight w:val="0"/>
      <w:marTop w:val="0"/>
      <w:marBottom w:val="0"/>
      <w:divBdr>
        <w:top w:val="none" w:sz="0" w:space="0" w:color="auto"/>
        <w:left w:val="none" w:sz="0" w:space="0" w:color="auto"/>
        <w:bottom w:val="none" w:sz="0" w:space="0" w:color="auto"/>
        <w:right w:val="none" w:sz="0" w:space="0" w:color="auto"/>
      </w:divBdr>
    </w:div>
    <w:div w:id="826630903">
      <w:bodyDiv w:val="1"/>
      <w:marLeft w:val="0"/>
      <w:marRight w:val="0"/>
      <w:marTop w:val="0"/>
      <w:marBottom w:val="0"/>
      <w:divBdr>
        <w:top w:val="none" w:sz="0" w:space="0" w:color="auto"/>
        <w:left w:val="none" w:sz="0" w:space="0" w:color="auto"/>
        <w:bottom w:val="none" w:sz="0" w:space="0" w:color="auto"/>
        <w:right w:val="none" w:sz="0" w:space="0" w:color="auto"/>
      </w:divBdr>
    </w:div>
    <w:div w:id="1024677041">
      <w:bodyDiv w:val="1"/>
      <w:marLeft w:val="0"/>
      <w:marRight w:val="0"/>
      <w:marTop w:val="0"/>
      <w:marBottom w:val="0"/>
      <w:divBdr>
        <w:top w:val="none" w:sz="0" w:space="0" w:color="auto"/>
        <w:left w:val="none" w:sz="0" w:space="0" w:color="auto"/>
        <w:bottom w:val="none" w:sz="0" w:space="0" w:color="auto"/>
        <w:right w:val="none" w:sz="0" w:space="0" w:color="auto"/>
      </w:divBdr>
    </w:div>
    <w:div w:id="1367440578">
      <w:bodyDiv w:val="1"/>
      <w:marLeft w:val="0"/>
      <w:marRight w:val="0"/>
      <w:marTop w:val="0"/>
      <w:marBottom w:val="0"/>
      <w:divBdr>
        <w:top w:val="none" w:sz="0" w:space="0" w:color="auto"/>
        <w:left w:val="none" w:sz="0" w:space="0" w:color="auto"/>
        <w:bottom w:val="none" w:sz="0" w:space="0" w:color="auto"/>
        <w:right w:val="none" w:sz="0" w:space="0" w:color="auto"/>
      </w:divBdr>
    </w:div>
    <w:div w:id="1712725375">
      <w:bodyDiv w:val="1"/>
      <w:marLeft w:val="0"/>
      <w:marRight w:val="0"/>
      <w:marTop w:val="0"/>
      <w:marBottom w:val="0"/>
      <w:divBdr>
        <w:top w:val="none" w:sz="0" w:space="0" w:color="auto"/>
        <w:left w:val="none" w:sz="0" w:space="0" w:color="auto"/>
        <w:bottom w:val="none" w:sz="0" w:space="0" w:color="auto"/>
        <w:right w:val="none" w:sz="0" w:space="0" w:color="auto"/>
      </w:divBdr>
    </w:div>
    <w:div w:id="214014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4942</Words>
  <Characters>26388</Characters>
  <Application>Microsoft Office Word</Application>
  <DocSecurity>0</DocSecurity>
  <Lines>428</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4</cp:revision>
  <cp:lastPrinted>2025-10-02T07:40:00Z</cp:lastPrinted>
  <dcterms:created xsi:type="dcterms:W3CDTF">2025-10-02T07:38:00Z</dcterms:created>
  <dcterms:modified xsi:type="dcterms:W3CDTF">2025-10-02T07:40:00Z</dcterms:modified>
</cp:coreProperties>
</file>