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5" w:type="dxa"/>
        <w:tblLayout w:type="fixed"/>
        <w:tblCellMar>
          <w:left w:w="0" w:type="dxa"/>
          <w:right w:w="0" w:type="dxa"/>
        </w:tblCellMar>
        <w:tblLook w:val="04A0" w:firstRow="1" w:lastRow="0" w:firstColumn="1" w:lastColumn="0" w:noHBand="0" w:noVBand="1"/>
      </w:tblPr>
      <w:tblGrid>
        <w:gridCol w:w="4375"/>
        <w:gridCol w:w="21"/>
        <w:gridCol w:w="4679"/>
      </w:tblGrid>
      <w:tr w:rsidR="006B58F3" w14:paraId="3EF67B35" w14:textId="77777777" w:rsidTr="001564A0">
        <w:trPr>
          <w:trHeight w:val="2093"/>
        </w:trPr>
        <w:tc>
          <w:tcPr>
            <w:tcW w:w="4375" w:type="dxa"/>
            <w:hideMark/>
          </w:tcPr>
          <w:p w14:paraId="5FF4579F" w14:textId="40580580" w:rsidR="006B58F3" w:rsidRPr="001923B5" w:rsidRDefault="006B58F3" w:rsidP="001564A0">
            <w:pPr>
              <w:pStyle w:val="Ttulo1"/>
              <w:spacing w:before="120" w:after="120"/>
              <w:jc w:val="both"/>
              <w:rPr>
                <w:rFonts w:ascii="Times New Roman" w:hAnsi="Times New Roman"/>
                <w:b/>
                <w:color w:val="auto"/>
                <w:sz w:val="22"/>
              </w:rPr>
            </w:pPr>
            <w:proofErr w:type="spellStart"/>
            <w:r w:rsidRPr="001923B5">
              <w:rPr>
                <w:rFonts w:ascii="Times New Roman" w:hAnsi="Times New Roman"/>
                <w:color w:val="auto"/>
                <w:sz w:val="22"/>
              </w:rPr>
              <w:t>Erref</w:t>
            </w:r>
            <w:proofErr w:type="spellEnd"/>
            <w:r w:rsidRPr="001923B5">
              <w:rPr>
                <w:rFonts w:ascii="Times New Roman" w:hAnsi="Times New Roman"/>
                <w:color w:val="auto"/>
                <w:sz w:val="22"/>
              </w:rPr>
              <w:t xml:space="preserve"> / </w:t>
            </w:r>
            <w:proofErr w:type="spellStart"/>
            <w:r w:rsidRPr="001923B5">
              <w:rPr>
                <w:rFonts w:ascii="Times New Roman" w:hAnsi="Times New Roman"/>
                <w:color w:val="auto"/>
                <w:sz w:val="22"/>
              </w:rPr>
              <w:t>Ref</w:t>
            </w:r>
            <w:proofErr w:type="spellEnd"/>
            <w:r w:rsidRPr="001923B5">
              <w:rPr>
                <w:rFonts w:ascii="Times New Roman" w:hAnsi="Times New Roman"/>
                <w:color w:val="auto"/>
                <w:sz w:val="22"/>
              </w:rPr>
              <w:t>: Recurso Especial de</w:t>
            </w:r>
            <w:r w:rsidR="00284327">
              <w:rPr>
                <w:rFonts w:ascii="Times New Roman" w:hAnsi="Times New Roman"/>
                <w:color w:val="auto"/>
                <w:sz w:val="22"/>
              </w:rPr>
              <w:t xml:space="preserve"> SOCIEDAD ESTATAL CORREOS Y TELEGRAFOS, SA, S.M.E.</w:t>
            </w:r>
            <w:r w:rsidRPr="001923B5">
              <w:rPr>
                <w:rFonts w:ascii="Times New Roman" w:hAnsi="Times New Roman"/>
                <w:color w:val="auto"/>
                <w:sz w:val="22"/>
              </w:rPr>
              <w:t xml:space="preserve">, </w:t>
            </w:r>
            <w:r w:rsidR="00E47FE8">
              <w:rPr>
                <w:rFonts w:ascii="Times New Roman" w:hAnsi="Times New Roman"/>
                <w:color w:val="auto"/>
                <w:sz w:val="22"/>
              </w:rPr>
              <w:t xml:space="preserve">unipersonal, </w:t>
            </w:r>
            <w:r w:rsidRPr="001923B5">
              <w:rPr>
                <w:rFonts w:ascii="Times New Roman" w:hAnsi="Times New Roman"/>
                <w:color w:val="auto"/>
                <w:sz w:val="22"/>
              </w:rPr>
              <w:t>contra la adjudicación de</w:t>
            </w:r>
            <w:r w:rsidR="0015655B" w:rsidRPr="001923B5">
              <w:rPr>
                <w:rFonts w:ascii="Times New Roman" w:hAnsi="Times New Roman"/>
                <w:color w:val="auto"/>
                <w:sz w:val="22"/>
              </w:rPr>
              <w:t xml:space="preserve">l Acuerdo Marco para </w:t>
            </w:r>
            <w:r w:rsidR="00284327">
              <w:rPr>
                <w:rFonts w:ascii="Times New Roman" w:hAnsi="Times New Roman"/>
                <w:color w:val="auto"/>
                <w:sz w:val="22"/>
              </w:rPr>
              <w:t>la prestación de servicios postales a la DFA y resto de entidades adheridas al acuerdo marco</w:t>
            </w:r>
            <w:r w:rsidR="0015655B" w:rsidRPr="001923B5">
              <w:rPr>
                <w:rFonts w:ascii="Times New Roman" w:hAnsi="Times New Roman"/>
                <w:color w:val="auto"/>
                <w:sz w:val="22"/>
              </w:rPr>
              <w:t>.</w:t>
            </w:r>
          </w:p>
          <w:p w14:paraId="3BD25C75" w14:textId="5F1CCDB0" w:rsidR="006B58F3" w:rsidRDefault="006B58F3" w:rsidP="001564A0">
            <w:pPr>
              <w:pStyle w:val="Ttulo1"/>
              <w:spacing w:before="120" w:after="120" w:line="276" w:lineRule="auto"/>
              <w:rPr>
                <w:rFonts w:ascii="Times New Roman" w:hAnsi="Times New Roman"/>
                <w:b/>
                <w:sz w:val="22"/>
              </w:rPr>
            </w:pPr>
            <w:proofErr w:type="spellStart"/>
            <w:r w:rsidRPr="001923B5">
              <w:rPr>
                <w:rFonts w:ascii="Times New Roman" w:hAnsi="Times New Roman"/>
                <w:color w:val="auto"/>
                <w:sz w:val="22"/>
              </w:rPr>
              <w:t>Esp</w:t>
            </w:r>
            <w:proofErr w:type="spellEnd"/>
            <w:r w:rsidRPr="001923B5">
              <w:rPr>
                <w:rFonts w:ascii="Times New Roman" w:hAnsi="Times New Roman"/>
                <w:color w:val="auto"/>
                <w:sz w:val="22"/>
              </w:rPr>
              <w:t xml:space="preserve"> </w:t>
            </w:r>
            <w:proofErr w:type="spellStart"/>
            <w:r w:rsidRPr="001923B5">
              <w:rPr>
                <w:rFonts w:ascii="Times New Roman" w:hAnsi="Times New Roman"/>
                <w:color w:val="auto"/>
                <w:sz w:val="22"/>
              </w:rPr>
              <w:t>Zenb</w:t>
            </w:r>
            <w:proofErr w:type="spellEnd"/>
            <w:r w:rsidRPr="001923B5">
              <w:rPr>
                <w:rFonts w:ascii="Times New Roman" w:hAnsi="Times New Roman"/>
                <w:color w:val="auto"/>
                <w:sz w:val="22"/>
              </w:rPr>
              <w:t xml:space="preserve"> / </w:t>
            </w:r>
            <w:proofErr w:type="spellStart"/>
            <w:r w:rsidRPr="001923B5">
              <w:rPr>
                <w:rFonts w:ascii="Times New Roman" w:hAnsi="Times New Roman"/>
                <w:color w:val="auto"/>
                <w:sz w:val="22"/>
              </w:rPr>
              <w:t>Nº</w:t>
            </w:r>
            <w:proofErr w:type="spellEnd"/>
            <w:r w:rsidRPr="001923B5">
              <w:rPr>
                <w:rFonts w:ascii="Times New Roman" w:hAnsi="Times New Roman"/>
                <w:color w:val="auto"/>
                <w:sz w:val="22"/>
              </w:rPr>
              <w:t xml:space="preserve"> </w:t>
            </w:r>
            <w:proofErr w:type="spellStart"/>
            <w:r w:rsidRPr="001923B5">
              <w:rPr>
                <w:rFonts w:ascii="Times New Roman" w:hAnsi="Times New Roman"/>
                <w:color w:val="auto"/>
                <w:sz w:val="22"/>
              </w:rPr>
              <w:t>exp</w:t>
            </w:r>
            <w:proofErr w:type="spellEnd"/>
            <w:r w:rsidRPr="00E175E0">
              <w:rPr>
                <w:rFonts w:ascii="Times New Roman" w:hAnsi="Times New Roman"/>
                <w:color w:val="000000" w:themeColor="text1"/>
                <w:sz w:val="22"/>
              </w:rPr>
              <w:t>: 202</w:t>
            </w:r>
            <w:r w:rsidR="0015655B" w:rsidRPr="00E175E0">
              <w:rPr>
                <w:rFonts w:ascii="Times New Roman" w:hAnsi="Times New Roman"/>
                <w:color w:val="000000" w:themeColor="text1"/>
                <w:sz w:val="22"/>
              </w:rPr>
              <w:t>5</w:t>
            </w:r>
            <w:r w:rsidRPr="00E175E0">
              <w:rPr>
                <w:rFonts w:ascii="Times New Roman" w:hAnsi="Times New Roman"/>
                <w:color w:val="000000" w:themeColor="text1"/>
                <w:sz w:val="22"/>
              </w:rPr>
              <w:t>/</w:t>
            </w:r>
            <w:r w:rsidR="00284327">
              <w:rPr>
                <w:rFonts w:ascii="Times New Roman" w:hAnsi="Times New Roman"/>
                <w:color w:val="000000" w:themeColor="text1"/>
                <w:sz w:val="22"/>
              </w:rPr>
              <w:t>7</w:t>
            </w:r>
          </w:p>
        </w:tc>
        <w:tc>
          <w:tcPr>
            <w:tcW w:w="21" w:type="dxa"/>
            <w:hideMark/>
          </w:tcPr>
          <w:p w14:paraId="1031CB59" w14:textId="77777777" w:rsidR="006B58F3" w:rsidRDefault="006B58F3" w:rsidP="001564A0">
            <w:pPr>
              <w:spacing w:before="120" w:after="120" w:line="276" w:lineRule="auto"/>
              <w:rPr>
                <w:lang w:eastAsia="en-US"/>
              </w:rPr>
            </w:pPr>
            <w:r>
              <w:rPr>
                <w:lang w:val="es-ES_tradnl" w:eastAsia="en-US"/>
              </w:rPr>
              <w:t xml:space="preserve"> </w:t>
            </w:r>
          </w:p>
        </w:tc>
        <w:tc>
          <w:tcPr>
            <w:tcW w:w="4679" w:type="dxa"/>
          </w:tcPr>
          <w:p w14:paraId="6152DCD0" w14:textId="77777777" w:rsidR="006B58F3" w:rsidRDefault="006B58F3" w:rsidP="001564A0">
            <w:pPr>
              <w:pStyle w:val="Piedepgina"/>
              <w:tabs>
                <w:tab w:val="clear" w:pos="4252"/>
                <w:tab w:val="right" w:pos="4677"/>
              </w:tabs>
              <w:spacing w:before="120" w:after="120" w:line="276" w:lineRule="auto"/>
              <w:rPr>
                <w:b/>
                <w:lang w:eastAsia="en-US"/>
              </w:rPr>
            </w:pPr>
          </w:p>
          <w:p w14:paraId="42EDFC57" w14:textId="77777777" w:rsidR="006B58F3" w:rsidRDefault="006B58F3" w:rsidP="001564A0">
            <w:pPr>
              <w:spacing w:line="276" w:lineRule="auto"/>
              <w:jc w:val="center"/>
              <w:rPr>
                <w:b/>
                <w:lang w:eastAsia="en-US"/>
              </w:rPr>
            </w:pPr>
          </w:p>
        </w:tc>
      </w:tr>
    </w:tbl>
    <w:p w14:paraId="10E185C9" w14:textId="37D9601D" w:rsidR="006B58F3" w:rsidRDefault="006B58F3" w:rsidP="006B58F3">
      <w:pPr>
        <w:spacing w:before="120" w:after="120"/>
        <w:jc w:val="center"/>
        <w:rPr>
          <w:b/>
          <w:sz w:val="24"/>
          <w:szCs w:val="24"/>
          <w:u w:val="single"/>
        </w:rPr>
      </w:pPr>
      <w:r>
        <w:rPr>
          <w:b/>
          <w:sz w:val="24"/>
          <w:szCs w:val="24"/>
          <w:u w:val="single"/>
        </w:rPr>
        <w:t xml:space="preserve">RESOLUCIÓN </w:t>
      </w:r>
      <w:r w:rsidR="00163ED7">
        <w:rPr>
          <w:b/>
          <w:sz w:val="24"/>
          <w:szCs w:val="24"/>
          <w:u w:val="single"/>
        </w:rPr>
        <w:t>17</w:t>
      </w:r>
      <w:r>
        <w:rPr>
          <w:b/>
          <w:sz w:val="24"/>
          <w:szCs w:val="24"/>
          <w:u w:val="single"/>
        </w:rPr>
        <w:t>/202</w:t>
      </w:r>
      <w:r w:rsidR="0015655B">
        <w:rPr>
          <w:b/>
          <w:sz w:val="24"/>
          <w:szCs w:val="24"/>
          <w:u w:val="single"/>
        </w:rPr>
        <w:t>5</w:t>
      </w:r>
    </w:p>
    <w:p w14:paraId="36D62837" w14:textId="77777777" w:rsidR="006B58F3" w:rsidRDefault="006B58F3" w:rsidP="006B58F3">
      <w:pPr>
        <w:spacing w:before="120" w:after="120"/>
        <w:jc w:val="center"/>
        <w:rPr>
          <w:b/>
          <w:sz w:val="24"/>
          <w:szCs w:val="24"/>
          <w:u w:val="single"/>
        </w:rPr>
      </w:pPr>
    </w:p>
    <w:p w14:paraId="50D1A8A9" w14:textId="1672A16A" w:rsidR="006B58F3" w:rsidRDefault="006B58F3" w:rsidP="006B58F3">
      <w:pPr>
        <w:spacing w:before="120" w:after="120"/>
        <w:rPr>
          <w:bCs/>
          <w:sz w:val="22"/>
          <w:szCs w:val="22"/>
        </w:rPr>
      </w:pPr>
      <w:r>
        <w:rPr>
          <w:bCs/>
          <w:sz w:val="22"/>
          <w:szCs w:val="22"/>
        </w:rPr>
        <w:t>En Vitoria-Gasteiz, a</w:t>
      </w:r>
      <w:r w:rsidR="00284327">
        <w:rPr>
          <w:bCs/>
          <w:sz w:val="22"/>
          <w:szCs w:val="22"/>
        </w:rPr>
        <w:t xml:space="preserve"> </w:t>
      </w:r>
      <w:r w:rsidR="00163ED7">
        <w:rPr>
          <w:bCs/>
          <w:sz w:val="22"/>
          <w:szCs w:val="22"/>
        </w:rPr>
        <w:t>13 de junio de 2025</w:t>
      </w:r>
    </w:p>
    <w:p w14:paraId="16403DB4" w14:textId="77777777" w:rsidR="006B58F3" w:rsidRPr="0038468A" w:rsidRDefault="006B58F3" w:rsidP="006B58F3">
      <w:pPr>
        <w:spacing w:before="120" w:after="120"/>
        <w:rPr>
          <w:bCs/>
          <w:sz w:val="22"/>
          <w:szCs w:val="22"/>
        </w:rPr>
      </w:pPr>
    </w:p>
    <w:p w14:paraId="398BE1DB" w14:textId="3EB9F368" w:rsidR="006B58F3" w:rsidRPr="000C6A30" w:rsidRDefault="006B58F3" w:rsidP="006B58F3">
      <w:pPr>
        <w:spacing w:before="120" w:after="120"/>
        <w:jc w:val="both"/>
        <w:rPr>
          <w:sz w:val="22"/>
        </w:rPr>
      </w:pPr>
      <w:bookmarkStart w:id="0" w:name="_Hlk161654240"/>
      <w:r>
        <w:rPr>
          <w:sz w:val="22"/>
        </w:rPr>
        <w:t>El Órgano Administrativo Foral de Recursos Contractuales de la Diputación Foral de Álava ha dictado la siguiente RESOLUCIÓN en relación con el Recurso Especial en materia de contratación interpuesto por D</w:t>
      </w:r>
      <w:r w:rsidR="00284327">
        <w:rPr>
          <w:sz w:val="22"/>
        </w:rPr>
        <w:t xml:space="preserve">. </w:t>
      </w:r>
      <w:r w:rsidR="006215AE">
        <w:rPr>
          <w:sz w:val="22"/>
        </w:rPr>
        <w:t>XXXXXXXXXXXXXXXXXXXXXXX</w:t>
      </w:r>
      <w:r>
        <w:rPr>
          <w:sz w:val="22"/>
        </w:rPr>
        <w:t>, en representación de la</w:t>
      </w:r>
      <w:r w:rsidR="00284327">
        <w:rPr>
          <w:sz w:val="22"/>
        </w:rPr>
        <w:t xml:space="preserve"> sociedad mercantil estatal CORREOS SA</w:t>
      </w:r>
      <w:r w:rsidR="001C3979">
        <w:rPr>
          <w:sz w:val="22"/>
        </w:rPr>
        <w:t>.</w:t>
      </w:r>
      <w:r>
        <w:rPr>
          <w:bCs/>
          <w:sz w:val="22"/>
          <w:lang w:eastAsia="en-US"/>
        </w:rPr>
        <w:t xml:space="preserve">, </w:t>
      </w:r>
      <w:r>
        <w:rPr>
          <w:sz w:val="22"/>
        </w:rPr>
        <w:t xml:space="preserve">contra </w:t>
      </w:r>
      <w:r w:rsidR="001C3979">
        <w:rPr>
          <w:sz w:val="22"/>
        </w:rPr>
        <w:t xml:space="preserve">el Acuerdo </w:t>
      </w:r>
      <w:r w:rsidR="009E3DEC">
        <w:rPr>
          <w:sz w:val="22"/>
        </w:rPr>
        <w:t xml:space="preserve">de </w:t>
      </w:r>
      <w:r w:rsidR="001C3979">
        <w:rPr>
          <w:sz w:val="22"/>
        </w:rPr>
        <w:t xml:space="preserve">adjudicación del acuerdo </w:t>
      </w:r>
      <w:r w:rsidR="00E175E0">
        <w:rPr>
          <w:sz w:val="22"/>
        </w:rPr>
        <w:t xml:space="preserve">marco </w:t>
      </w:r>
      <w:r w:rsidR="00E47FE8" w:rsidRPr="001923B5">
        <w:rPr>
          <w:sz w:val="22"/>
        </w:rPr>
        <w:t xml:space="preserve">para </w:t>
      </w:r>
      <w:r w:rsidR="00E47FE8">
        <w:rPr>
          <w:sz w:val="22"/>
        </w:rPr>
        <w:t>la prestación de servicios postales a la DFA y resto de entidades adheridas al acuerdo marco</w:t>
      </w:r>
      <w:r w:rsidR="00E47FE8" w:rsidRPr="001923B5">
        <w:rPr>
          <w:sz w:val="22"/>
        </w:rPr>
        <w:t>.</w:t>
      </w:r>
      <w:r w:rsidR="00E47FE8">
        <w:rPr>
          <w:sz w:val="22"/>
        </w:rPr>
        <w:t xml:space="preserve"> </w:t>
      </w:r>
      <w:r>
        <w:rPr>
          <w:sz w:val="22"/>
        </w:rPr>
        <w:t xml:space="preserve">(expte. </w:t>
      </w:r>
      <w:r w:rsidR="00E47FE8">
        <w:rPr>
          <w:sz w:val="22"/>
        </w:rPr>
        <w:t>2/25</w:t>
      </w:r>
      <w:r>
        <w:rPr>
          <w:sz w:val="22"/>
        </w:rPr>
        <w:t>).</w:t>
      </w:r>
    </w:p>
    <w:p w14:paraId="466462A1" w14:textId="20E66CCE" w:rsidR="006B58F3" w:rsidRDefault="006B58F3" w:rsidP="006B58F3">
      <w:pPr>
        <w:tabs>
          <w:tab w:val="left" w:pos="3261"/>
        </w:tabs>
        <w:spacing w:after="120" w:line="276" w:lineRule="auto"/>
        <w:jc w:val="both"/>
        <w:rPr>
          <w:sz w:val="22"/>
        </w:rPr>
      </w:pPr>
      <w:r>
        <w:rPr>
          <w:sz w:val="22"/>
        </w:rPr>
        <w:t>Son partes en dicho recurso: como RECURRENTE,</w:t>
      </w:r>
      <w:r w:rsidR="00E47FE8">
        <w:rPr>
          <w:sz w:val="22"/>
        </w:rPr>
        <w:t xml:space="preserve"> SOCIEDAD ESTATAL CORREOS Y TELEGRAFOS, SA, S.M.E</w:t>
      </w:r>
      <w:r w:rsidR="00CA61B5">
        <w:rPr>
          <w:sz w:val="22"/>
        </w:rPr>
        <w:t xml:space="preserve"> (en adelante CORREOS SA)</w:t>
      </w:r>
      <w:r w:rsidR="00E47FE8">
        <w:rPr>
          <w:sz w:val="22"/>
        </w:rPr>
        <w:t xml:space="preserve">. </w:t>
      </w:r>
      <w:r>
        <w:rPr>
          <w:sz w:val="22"/>
        </w:rPr>
        <w:t>y, como DEMANDADA</w:t>
      </w:r>
      <w:r w:rsidR="00981F92">
        <w:rPr>
          <w:sz w:val="22"/>
        </w:rPr>
        <w:t>,</w:t>
      </w:r>
      <w:r>
        <w:rPr>
          <w:sz w:val="22"/>
        </w:rPr>
        <w:t xml:space="preserve"> </w:t>
      </w:r>
      <w:r w:rsidR="00981F92">
        <w:rPr>
          <w:sz w:val="22"/>
        </w:rPr>
        <w:t>la</w:t>
      </w:r>
      <w:r w:rsidR="00E47FE8">
        <w:rPr>
          <w:sz w:val="22"/>
        </w:rPr>
        <w:t xml:space="preserve"> DIPUTACIÓN FORAL DE ALAVA</w:t>
      </w:r>
      <w:r w:rsidR="001C3979">
        <w:rPr>
          <w:sz w:val="22"/>
        </w:rPr>
        <w:t>.</w:t>
      </w:r>
    </w:p>
    <w:p w14:paraId="14288CB0" w14:textId="77777777" w:rsidR="006B58F3" w:rsidRDefault="006B58F3" w:rsidP="006B58F3">
      <w:pPr>
        <w:tabs>
          <w:tab w:val="left" w:pos="3261"/>
        </w:tabs>
        <w:spacing w:after="120"/>
        <w:jc w:val="both"/>
        <w:rPr>
          <w:sz w:val="22"/>
        </w:rPr>
      </w:pPr>
      <w:r>
        <w:rPr>
          <w:sz w:val="22"/>
        </w:rPr>
        <w:t>Visto el recurso especial interpuesto, este Órgano efectúa las siguientes consideraciones:</w:t>
      </w:r>
    </w:p>
    <w:p w14:paraId="72A9F960" w14:textId="77777777" w:rsidR="006B58F3" w:rsidRDefault="006B58F3" w:rsidP="006B58F3">
      <w:pPr>
        <w:spacing w:after="120"/>
        <w:jc w:val="center"/>
        <w:rPr>
          <w:b/>
          <w:sz w:val="22"/>
        </w:rPr>
      </w:pPr>
    </w:p>
    <w:p w14:paraId="7DD0D5FA" w14:textId="77777777" w:rsidR="006B58F3" w:rsidRDefault="006B58F3" w:rsidP="006B58F3">
      <w:pPr>
        <w:spacing w:after="120"/>
        <w:jc w:val="center"/>
        <w:rPr>
          <w:b/>
          <w:sz w:val="22"/>
        </w:rPr>
      </w:pPr>
      <w:r>
        <w:rPr>
          <w:b/>
          <w:sz w:val="22"/>
        </w:rPr>
        <w:t>ANTECEDENTES DE HECHO</w:t>
      </w:r>
    </w:p>
    <w:p w14:paraId="4FADCCA2" w14:textId="77777777" w:rsidR="006B58F3" w:rsidRDefault="006B58F3" w:rsidP="006B58F3">
      <w:pPr>
        <w:pStyle w:val="Estilo1"/>
        <w:tabs>
          <w:tab w:val="left" w:pos="567"/>
        </w:tabs>
        <w:ind w:firstLine="0"/>
        <w:rPr>
          <w:b/>
          <w:sz w:val="22"/>
          <w:szCs w:val="22"/>
          <w:lang w:val="es-ES"/>
        </w:rPr>
      </w:pPr>
    </w:p>
    <w:p w14:paraId="59904395" w14:textId="23B60E12" w:rsidR="006B58F3" w:rsidRDefault="006B58F3" w:rsidP="006B58F3">
      <w:pPr>
        <w:spacing w:before="120" w:after="120"/>
        <w:jc w:val="both"/>
        <w:rPr>
          <w:sz w:val="22"/>
        </w:rPr>
      </w:pPr>
      <w:r>
        <w:rPr>
          <w:b/>
          <w:sz w:val="22"/>
          <w:szCs w:val="22"/>
        </w:rPr>
        <w:t>1º.</w:t>
      </w:r>
      <w:r w:rsidR="001C3979" w:rsidRPr="001C3979">
        <w:rPr>
          <w:sz w:val="22"/>
        </w:rPr>
        <w:t xml:space="preserve"> </w:t>
      </w:r>
      <w:r w:rsidR="001C3979">
        <w:rPr>
          <w:sz w:val="22"/>
        </w:rPr>
        <w:t xml:space="preserve">Con fecha </w:t>
      </w:r>
      <w:r w:rsidR="00E47FE8">
        <w:rPr>
          <w:sz w:val="22"/>
        </w:rPr>
        <w:t>29 de octubre de 202</w:t>
      </w:r>
      <w:r w:rsidR="001C3979">
        <w:rPr>
          <w:sz w:val="22"/>
        </w:rPr>
        <w:t xml:space="preserve">4 el Consejo </w:t>
      </w:r>
      <w:r w:rsidR="00E47FE8">
        <w:rPr>
          <w:sz w:val="22"/>
        </w:rPr>
        <w:t>de Gobierno Foral de la DFA</w:t>
      </w:r>
      <w:r w:rsidR="001C3979">
        <w:rPr>
          <w:sz w:val="22"/>
          <w:szCs w:val="22"/>
        </w:rPr>
        <w:t xml:space="preserve"> aprueba </w:t>
      </w:r>
      <w:r>
        <w:rPr>
          <w:sz w:val="22"/>
          <w:szCs w:val="22"/>
        </w:rPr>
        <w:t xml:space="preserve">el procedimiento de licitación para </w:t>
      </w:r>
      <w:r w:rsidR="00FC5B43">
        <w:rPr>
          <w:sz w:val="22"/>
          <w:szCs w:val="22"/>
        </w:rPr>
        <w:t xml:space="preserve">la contratación del </w:t>
      </w:r>
      <w:r w:rsidR="00E47FE8">
        <w:rPr>
          <w:sz w:val="22"/>
        </w:rPr>
        <w:t xml:space="preserve">acuerdo marco </w:t>
      </w:r>
      <w:r w:rsidR="00E47FE8" w:rsidRPr="001923B5">
        <w:rPr>
          <w:sz w:val="22"/>
        </w:rPr>
        <w:t xml:space="preserve">para </w:t>
      </w:r>
      <w:r w:rsidR="00E47FE8">
        <w:rPr>
          <w:sz w:val="22"/>
        </w:rPr>
        <w:t>la prestación de servicios postales a la DFA y resto de entidades adheridas al acuerdo marco</w:t>
      </w:r>
      <w:r w:rsidR="00E47FE8" w:rsidRPr="001923B5">
        <w:rPr>
          <w:sz w:val="22"/>
        </w:rPr>
        <w:t>.</w:t>
      </w:r>
      <w:r w:rsidR="00E47FE8">
        <w:rPr>
          <w:sz w:val="22"/>
        </w:rPr>
        <w:t xml:space="preserve"> (expte. 2/25)</w:t>
      </w:r>
      <w:r>
        <w:rPr>
          <w:bCs/>
          <w:sz w:val="22"/>
          <w:lang w:eastAsia="en-US"/>
        </w:rPr>
        <w:t>, con un valor estimado</w:t>
      </w:r>
      <w:r w:rsidR="00E47FE8">
        <w:rPr>
          <w:bCs/>
          <w:sz w:val="22"/>
          <w:lang w:eastAsia="en-US"/>
        </w:rPr>
        <w:t xml:space="preserve"> total</w:t>
      </w:r>
      <w:r>
        <w:rPr>
          <w:bCs/>
          <w:sz w:val="22"/>
          <w:lang w:eastAsia="en-US"/>
        </w:rPr>
        <w:t xml:space="preserve"> </w:t>
      </w:r>
      <w:r w:rsidR="00FC5B43">
        <w:rPr>
          <w:bCs/>
          <w:sz w:val="22"/>
          <w:lang w:eastAsia="en-US"/>
        </w:rPr>
        <w:t xml:space="preserve">de </w:t>
      </w:r>
      <w:r w:rsidR="00E47FE8">
        <w:rPr>
          <w:bCs/>
          <w:sz w:val="22"/>
          <w:lang w:eastAsia="en-US"/>
        </w:rPr>
        <w:t>4.535.002,80</w:t>
      </w:r>
      <w:r w:rsidR="00FC5B43">
        <w:rPr>
          <w:bCs/>
          <w:sz w:val="22"/>
          <w:lang w:eastAsia="en-US"/>
        </w:rPr>
        <w:t xml:space="preserve"> euros</w:t>
      </w:r>
      <w:r>
        <w:rPr>
          <w:bCs/>
          <w:sz w:val="22"/>
          <w:lang w:eastAsia="en-US"/>
        </w:rPr>
        <w:t>, IVA excluido</w:t>
      </w:r>
      <w:r>
        <w:rPr>
          <w:sz w:val="22"/>
        </w:rPr>
        <w:t>.</w:t>
      </w:r>
    </w:p>
    <w:p w14:paraId="0E7D9814" w14:textId="46150614" w:rsidR="006B58F3" w:rsidRDefault="006B58F3" w:rsidP="006B58F3">
      <w:pPr>
        <w:pStyle w:val="Estilo1"/>
        <w:tabs>
          <w:tab w:val="left" w:pos="567"/>
        </w:tabs>
        <w:ind w:firstLine="0"/>
        <w:rPr>
          <w:sz w:val="22"/>
          <w:szCs w:val="22"/>
          <w:lang w:val="es-ES"/>
        </w:rPr>
      </w:pPr>
      <w:bookmarkStart w:id="1" w:name="_Hlk69195781"/>
      <w:r>
        <w:rPr>
          <w:b/>
          <w:sz w:val="22"/>
          <w:szCs w:val="22"/>
          <w:lang w:val="es-ES"/>
        </w:rPr>
        <w:t>2º.</w:t>
      </w:r>
      <w:r>
        <w:rPr>
          <w:sz w:val="22"/>
          <w:szCs w:val="22"/>
          <w:lang w:val="es-ES"/>
        </w:rPr>
        <w:t xml:space="preserve"> Por </w:t>
      </w:r>
      <w:r w:rsidR="00FC5B43">
        <w:rPr>
          <w:sz w:val="22"/>
          <w:szCs w:val="22"/>
          <w:lang w:val="es-ES"/>
        </w:rPr>
        <w:t xml:space="preserve">Acuerdo del </w:t>
      </w:r>
      <w:r w:rsidR="00FC5B43">
        <w:rPr>
          <w:sz w:val="22"/>
        </w:rPr>
        <w:t xml:space="preserve">Consejo </w:t>
      </w:r>
      <w:r w:rsidR="00E47FE8">
        <w:rPr>
          <w:sz w:val="22"/>
        </w:rPr>
        <w:t>de Gobierno Foral de la DFA</w:t>
      </w:r>
      <w:r w:rsidR="009E3DEC">
        <w:rPr>
          <w:sz w:val="22"/>
        </w:rPr>
        <w:t xml:space="preserve">, de 25 de </w:t>
      </w:r>
      <w:r w:rsidR="00E47FE8">
        <w:rPr>
          <w:sz w:val="22"/>
        </w:rPr>
        <w:t>febrero</w:t>
      </w:r>
      <w:r w:rsidR="009E3DEC">
        <w:rPr>
          <w:sz w:val="22"/>
        </w:rPr>
        <w:t xml:space="preserve"> de 2025,</w:t>
      </w:r>
      <w:r w:rsidR="00FC5B43">
        <w:rPr>
          <w:sz w:val="22"/>
          <w:szCs w:val="22"/>
        </w:rPr>
        <w:t xml:space="preserve"> </w:t>
      </w:r>
      <w:r>
        <w:rPr>
          <w:sz w:val="22"/>
          <w:szCs w:val="22"/>
          <w:lang w:val="es-ES"/>
        </w:rPr>
        <w:t xml:space="preserve">se adjudica el </w:t>
      </w:r>
      <w:r w:rsidR="009E3DEC">
        <w:rPr>
          <w:sz w:val="22"/>
          <w:szCs w:val="22"/>
          <w:lang w:val="es-ES"/>
        </w:rPr>
        <w:t>a</w:t>
      </w:r>
      <w:r w:rsidR="00FC5B43">
        <w:rPr>
          <w:sz w:val="22"/>
          <w:szCs w:val="22"/>
          <w:lang w:val="es-ES"/>
        </w:rPr>
        <w:t xml:space="preserve">cuerdo </w:t>
      </w:r>
      <w:r w:rsidR="009E3DEC">
        <w:rPr>
          <w:sz w:val="22"/>
          <w:szCs w:val="22"/>
          <w:lang w:val="es-ES"/>
        </w:rPr>
        <w:t>m</w:t>
      </w:r>
      <w:r w:rsidR="00FC5B43">
        <w:rPr>
          <w:sz w:val="22"/>
          <w:szCs w:val="22"/>
          <w:lang w:val="es-ES"/>
        </w:rPr>
        <w:t xml:space="preserve">arco </w:t>
      </w:r>
      <w:r w:rsidR="00E47FE8">
        <w:rPr>
          <w:sz w:val="22"/>
        </w:rPr>
        <w:t>a la UTE DFA AKROPOST SPPV SA-HISPAPOST SA, de conformidad con los precios unitarios que acompañan como anexo a la mencionada resolución.</w:t>
      </w:r>
    </w:p>
    <w:bookmarkEnd w:id="1"/>
    <w:p w14:paraId="033FEECB" w14:textId="4842007F" w:rsidR="006B58F3" w:rsidRDefault="006B58F3" w:rsidP="006B58F3">
      <w:pPr>
        <w:spacing w:after="120"/>
        <w:jc w:val="both"/>
        <w:rPr>
          <w:sz w:val="22"/>
          <w:szCs w:val="22"/>
        </w:rPr>
      </w:pPr>
      <w:r>
        <w:rPr>
          <w:b/>
          <w:sz w:val="22"/>
          <w:szCs w:val="22"/>
        </w:rPr>
        <w:t xml:space="preserve">3º. </w:t>
      </w:r>
      <w:r>
        <w:rPr>
          <w:sz w:val="22"/>
          <w:szCs w:val="22"/>
        </w:rPr>
        <w:t xml:space="preserve">El </w:t>
      </w:r>
      <w:r w:rsidR="00E47FE8">
        <w:rPr>
          <w:sz w:val="22"/>
          <w:szCs w:val="22"/>
        </w:rPr>
        <w:t>18 de marzo</w:t>
      </w:r>
      <w:r>
        <w:rPr>
          <w:sz w:val="22"/>
          <w:szCs w:val="22"/>
        </w:rPr>
        <w:t xml:space="preserve"> </w:t>
      </w:r>
      <w:r w:rsidR="009E3DEC">
        <w:rPr>
          <w:sz w:val="22"/>
          <w:szCs w:val="22"/>
        </w:rPr>
        <w:t>de 2025 tiene</w:t>
      </w:r>
      <w:r>
        <w:rPr>
          <w:sz w:val="22"/>
          <w:szCs w:val="22"/>
        </w:rPr>
        <w:t xml:space="preserve"> entrada en </w:t>
      </w:r>
      <w:r w:rsidR="00E47FE8">
        <w:rPr>
          <w:sz w:val="22"/>
          <w:szCs w:val="22"/>
        </w:rPr>
        <w:t>el Registro Electrónico Común el</w:t>
      </w:r>
      <w:r>
        <w:rPr>
          <w:sz w:val="22"/>
          <w:szCs w:val="22"/>
        </w:rPr>
        <w:t xml:space="preserve"> escrito de interposición de recurso especial en materia de contratación presentado por </w:t>
      </w:r>
      <w:r w:rsidR="00E47FE8">
        <w:rPr>
          <w:sz w:val="22"/>
          <w:szCs w:val="22"/>
        </w:rPr>
        <w:t>la mercantil CORREOS SA</w:t>
      </w:r>
      <w:r w:rsidR="00CA61B5">
        <w:rPr>
          <w:sz w:val="22"/>
          <w:szCs w:val="22"/>
        </w:rPr>
        <w:t>,</w:t>
      </w:r>
      <w:r w:rsidR="00E47FE8">
        <w:rPr>
          <w:sz w:val="22"/>
          <w:szCs w:val="22"/>
        </w:rPr>
        <w:t xml:space="preserve"> e</w:t>
      </w:r>
      <w:r>
        <w:rPr>
          <w:sz w:val="22"/>
          <w:szCs w:val="22"/>
        </w:rPr>
        <w:t>n impugnación del acto de adjudicación.</w:t>
      </w:r>
      <w:r w:rsidR="00CA61B5">
        <w:rPr>
          <w:sz w:val="22"/>
          <w:szCs w:val="22"/>
        </w:rPr>
        <w:t xml:space="preserve"> En el suplico del recurso, el recurrente solicita por otrosí que se acuerde la suspensión provisional del procedimiento de licitación hasta la resolución de este recurso especial.</w:t>
      </w:r>
    </w:p>
    <w:p w14:paraId="37C38835" w14:textId="1710BC18" w:rsidR="00563C27" w:rsidRPr="00DE2A0A" w:rsidRDefault="00563C27" w:rsidP="00563C27">
      <w:pPr>
        <w:spacing w:after="240"/>
        <w:jc w:val="both"/>
        <w:rPr>
          <w:sz w:val="22"/>
        </w:rPr>
      </w:pPr>
      <w:r>
        <w:rPr>
          <w:b/>
          <w:sz w:val="22"/>
        </w:rPr>
        <w:lastRenderedPageBreak/>
        <w:t>4</w:t>
      </w:r>
      <w:r w:rsidRPr="00B45972">
        <w:rPr>
          <w:b/>
          <w:sz w:val="22"/>
        </w:rPr>
        <w:t>º.-</w:t>
      </w:r>
      <w:r w:rsidRPr="00B45972">
        <w:rPr>
          <w:sz w:val="22"/>
        </w:rPr>
        <w:t xml:space="preserve"> En cumplimiento de lo previsto en el artículo 56.2 de la LCSP, </w:t>
      </w:r>
      <w:r w:rsidR="007C743C">
        <w:rPr>
          <w:sz w:val="22"/>
        </w:rPr>
        <w:t xml:space="preserve">por correo electrónico de 19 de marzo de 2025 </w:t>
      </w:r>
      <w:r w:rsidRPr="00B45972">
        <w:rPr>
          <w:sz w:val="22"/>
        </w:rPr>
        <w:t xml:space="preserve">se solicitó al órgano tramitador el expediente administrativo y su informe sobre el RE, </w:t>
      </w:r>
      <w:r w:rsidR="007C743C">
        <w:rPr>
          <w:sz w:val="22"/>
        </w:rPr>
        <w:t xml:space="preserve">recibido el 7 de abril de 2025, </w:t>
      </w:r>
      <w:r w:rsidRPr="00293945">
        <w:rPr>
          <w:sz w:val="22"/>
        </w:rPr>
        <w:t xml:space="preserve">en el que </w:t>
      </w:r>
      <w:r w:rsidRPr="00DE2A0A">
        <w:rPr>
          <w:sz w:val="22"/>
        </w:rPr>
        <w:t>se opone al recurso especial.</w:t>
      </w:r>
    </w:p>
    <w:p w14:paraId="22ED5A0F" w14:textId="16474062" w:rsidR="00563C27" w:rsidRDefault="00563C27" w:rsidP="00563C27">
      <w:pPr>
        <w:spacing w:after="240"/>
        <w:jc w:val="both"/>
        <w:rPr>
          <w:sz w:val="22"/>
          <w:szCs w:val="22"/>
        </w:rPr>
      </w:pPr>
      <w:r>
        <w:rPr>
          <w:b/>
          <w:bCs/>
          <w:sz w:val="22"/>
        </w:rPr>
        <w:t>5</w:t>
      </w:r>
      <w:r w:rsidRPr="00DE2A0A">
        <w:rPr>
          <w:b/>
          <w:bCs/>
          <w:sz w:val="22"/>
        </w:rPr>
        <w:t xml:space="preserve">º.- </w:t>
      </w:r>
      <w:r w:rsidRPr="00DE2A0A">
        <w:rPr>
          <w:sz w:val="22"/>
          <w:szCs w:val="22"/>
        </w:rPr>
        <w:t xml:space="preserve">En aplicación del artículo 56.3 de la LCSP, mediante correo electrónico </w:t>
      </w:r>
      <w:r w:rsidRPr="00F86F7C">
        <w:rPr>
          <w:sz w:val="22"/>
          <w:szCs w:val="22"/>
        </w:rPr>
        <w:t xml:space="preserve">de </w:t>
      </w:r>
      <w:r w:rsidR="007C743C">
        <w:rPr>
          <w:sz w:val="22"/>
          <w:szCs w:val="22"/>
        </w:rPr>
        <w:t>19 de marzo de 2025</w:t>
      </w:r>
      <w:r w:rsidRPr="00F86F7C">
        <w:rPr>
          <w:sz w:val="22"/>
          <w:szCs w:val="22"/>
        </w:rPr>
        <w:t xml:space="preserve"> se</w:t>
      </w:r>
      <w:r w:rsidRPr="00DE2A0A">
        <w:rPr>
          <w:sz w:val="22"/>
          <w:szCs w:val="22"/>
        </w:rPr>
        <w:t xml:space="preserve"> dio traslado de</w:t>
      </w:r>
      <w:r>
        <w:rPr>
          <w:sz w:val="22"/>
          <w:szCs w:val="22"/>
        </w:rPr>
        <w:t xml:space="preserve">l </w:t>
      </w:r>
      <w:r w:rsidRPr="00DE2A0A">
        <w:rPr>
          <w:sz w:val="22"/>
          <w:szCs w:val="22"/>
        </w:rPr>
        <w:t xml:space="preserve">recurso a la </w:t>
      </w:r>
      <w:r>
        <w:rPr>
          <w:sz w:val="22"/>
          <w:szCs w:val="22"/>
        </w:rPr>
        <w:t>empresa adjudicataria</w:t>
      </w:r>
      <w:r w:rsidRPr="00DE2A0A">
        <w:rPr>
          <w:sz w:val="22"/>
          <w:szCs w:val="22"/>
        </w:rPr>
        <w:t>, concediéndole un plazo de 5 días hábiles para formular cuantas alegaciones estimara convenientes.</w:t>
      </w:r>
      <w:r w:rsidR="007C743C">
        <w:rPr>
          <w:sz w:val="22"/>
          <w:szCs w:val="22"/>
        </w:rPr>
        <w:t xml:space="preserve"> L</w:t>
      </w:r>
      <w:r>
        <w:rPr>
          <w:sz w:val="22"/>
          <w:szCs w:val="22"/>
        </w:rPr>
        <w:t xml:space="preserve">a </w:t>
      </w:r>
      <w:r w:rsidR="007C743C">
        <w:rPr>
          <w:sz w:val="22"/>
          <w:szCs w:val="22"/>
        </w:rPr>
        <w:t>adjudicataria</w:t>
      </w:r>
      <w:r>
        <w:rPr>
          <w:sz w:val="22"/>
          <w:szCs w:val="22"/>
        </w:rPr>
        <w:t xml:space="preserve"> </w:t>
      </w:r>
      <w:r w:rsidR="00981F92">
        <w:rPr>
          <w:sz w:val="22"/>
          <w:szCs w:val="22"/>
        </w:rPr>
        <w:t>presentó</w:t>
      </w:r>
      <w:r>
        <w:rPr>
          <w:sz w:val="22"/>
          <w:szCs w:val="22"/>
        </w:rPr>
        <w:t xml:space="preserve"> alegaciones el día </w:t>
      </w:r>
      <w:r w:rsidR="007C743C">
        <w:rPr>
          <w:sz w:val="22"/>
          <w:szCs w:val="22"/>
        </w:rPr>
        <w:t>26 de marzo de 2025</w:t>
      </w:r>
      <w:r w:rsidR="00981F92">
        <w:rPr>
          <w:sz w:val="22"/>
          <w:szCs w:val="22"/>
        </w:rPr>
        <w:t>.</w:t>
      </w:r>
    </w:p>
    <w:p w14:paraId="06A4AC0C" w14:textId="45466AB8" w:rsidR="00563C27" w:rsidRDefault="00563C27" w:rsidP="00563C27">
      <w:pPr>
        <w:spacing w:after="240" w:line="276" w:lineRule="auto"/>
        <w:jc w:val="both"/>
        <w:rPr>
          <w:sz w:val="22"/>
          <w:szCs w:val="22"/>
          <w:lang w:val="es-ES_tradnl"/>
        </w:rPr>
      </w:pPr>
      <w:r>
        <w:rPr>
          <w:b/>
          <w:bCs/>
          <w:sz w:val="22"/>
          <w:szCs w:val="22"/>
        </w:rPr>
        <w:t>6</w:t>
      </w:r>
      <w:r w:rsidRPr="0010018F">
        <w:rPr>
          <w:b/>
          <w:bCs/>
          <w:sz w:val="22"/>
          <w:szCs w:val="22"/>
          <w:lang w:val="es-ES_tradnl"/>
        </w:rPr>
        <w:t>º.</w:t>
      </w:r>
      <w:r w:rsidRPr="0010018F">
        <w:rPr>
          <w:sz w:val="22"/>
          <w:szCs w:val="22"/>
          <w:lang w:val="es-ES_tradnl"/>
        </w:rPr>
        <w:t>-</w:t>
      </w:r>
      <w:r>
        <w:rPr>
          <w:sz w:val="22"/>
          <w:szCs w:val="22"/>
          <w:lang w:val="es-ES_tradnl"/>
        </w:rPr>
        <w:t xml:space="preserve">El día </w:t>
      </w:r>
      <w:r w:rsidR="007C743C">
        <w:rPr>
          <w:sz w:val="22"/>
          <w:szCs w:val="22"/>
          <w:lang w:val="es-ES_tradnl"/>
        </w:rPr>
        <w:t>21 de marzo de 2025</w:t>
      </w:r>
      <w:r>
        <w:rPr>
          <w:sz w:val="22"/>
          <w:szCs w:val="22"/>
          <w:lang w:val="es-ES_tradnl"/>
        </w:rPr>
        <w:t xml:space="preserve"> e</w:t>
      </w:r>
      <w:r w:rsidRPr="0010018F">
        <w:rPr>
          <w:sz w:val="22"/>
          <w:szCs w:val="22"/>
          <w:lang w:val="es-ES_tradnl"/>
        </w:rPr>
        <w:t xml:space="preserve">ste Órgano </w:t>
      </w:r>
      <w:r>
        <w:rPr>
          <w:sz w:val="22"/>
          <w:szCs w:val="22"/>
          <w:lang w:val="es-ES_tradnl"/>
        </w:rPr>
        <w:t>acordó</w:t>
      </w:r>
      <w:r w:rsidRPr="0010018F">
        <w:rPr>
          <w:sz w:val="22"/>
          <w:szCs w:val="22"/>
          <w:lang w:val="es-ES_tradnl"/>
        </w:rPr>
        <w:t xml:space="preserve"> por Resolución </w:t>
      </w:r>
      <w:r w:rsidR="007C743C">
        <w:rPr>
          <w:sz w:val="22"/>
          <w:szCs w:val="22"/>
          <w:lang w:val="es-ES_tradnl"/>
        </w:rPr>
        <w:t>8</w:t>
      </w:r>
      <w:r w:rsidRPr="0010018F">
        <w:rPr>
          <w:sz w:val="22"/>
          <w:szCs w:val="22"/>
          <w:lang w:val="es-ES_tradnl"/>
        </w:rPr>
        <w:t>/202</w:t>
      </w:r>
      <w:r>
        <w:rPr>
          <w:sz w:val="22"/>
          <w:szCs w:val="22"/>
          <w:lang w:val="es-ES_tradnl"/>
        </w:rPr>
        <w:t>5</w:t>
      </w:r>
      <w:r w:rsidR="007A7CE2">
        <w:rPr>
          <w:sz w:val="22"/>
          <w:szCs w:val="22"/>
          <w:lang w:val="es-ES_tradnl"/>
        </w:rPr>
        <w:t xml:space="preserve"> </w:t>
      </w:r>
      <w:r>
        <w:rPr>
          <w:sz w:val="22"/>
          <w:szCs w:val="22"/>
          <w:lang w:val="es-ES_tradnl"/>
        </w:rPr>
        <w:t xml:space="preserve">mantener </w:t>
      </w:r>
      <w:r w:rsidRPr="0010018F">
        <w:rPr>
          <w:sz w:val="22"/>
          <w:szCs w:val="22"/>
          <w:lang w:val="es-ES_tradnl"/>
        </w:rPr>
        <w:t xml:space="preserve">la medida provisional de suspensión </w:t>
      </w:r>
      <w:r>
        <w:rPr>
          <w:sz w:val="22"/>
          <w:szCs w:val="22"/>
          <w:lang w:val="es-ES_tradnl"/>
        </w:rPr>
        <w:t>de la licitación</w:t>
      </w:r>
      <w:r w:rsidR="007C743C">
        <w:rPr>
          <w:sz w:val="22"/>
          <w:szCs w:val="22"/>
          <w:lang w:val="es-ES_tradnl"/>
        </w:rPr>
        <w:t>,</w:t>
      </w:r>
      <w:r>
        <w:rPr>
          <w:sz w:val="22"/>
          <w:szCs w:val="22"/>
          <w:lang w:val="es-ES_tradnl"/>
        </w:rPr>
        <w:t xml:space="preserve"> </w:t>
      </w:r>
      <w:r w:rsidRPr="0010018F">
        <w:rPr>
          <w:sz w:val="22"/>
          <w:szCs w:val="22"/>
          <w:lang w:val="es-ES_tradnl"/>
        </w:rPr>
        <w:t>solicitad</w:t>
      </w:r>
      <w:r>
        <w:rPr>
          <w:sz w:val="22"/>
          <w:szCs w:val="22"/>
          <w:lang w:val="es-ES_tradnl"/>
        </w:rPr>
        <w:t>a</w:t>
      </w:r>
      <w:r w:rsidRPr="0010018F">
        <w:rPr>
          <w:sz w:val="22"/>
          <w:szCs w:val="22"/>
          <w:lang w:val="es-ES_tradnl"/>
        </w:rPr>
        <w:t xml:space="preserve"> por </w:t>
      </w:r>
      <w:r>
        <w:rPr>
          <w:sz w:val="22"/>
          <w:szCs w:val="22"/>
          <w:lang w:val="es-ES_tradnl"/>
        </w:rPr>
        <w:t>el</w:t>
      </w:r>
      <w:r w:rsidRPr="0010018F">
        <w:rPr>
          <w:sz w:val="22"/>
          <w:szCs w:val="22"/>
          <w:lang w:val="es-ES_tradnl"/>
        </w:rPr>
        <w:t xml:space="preserve"> recurrente.</w:t>
      </w:r>
    </w:p>
    <w:p w14:paraId="50F043F8" w14:textId="7D4F6DD9" w:rsidR="006F0492" w:rsidRPr="0010018F" w:rsidRDefault="006F0492" w:rsidP="00563C27">
      <w:pPr>
        <w:spacing w:after="240" w:line="276" w:lineRule="auto"/>
        <w:jc w:val="both"/>
        <w:rPr>
          <w:sz w:val="22"/>
          <w:szCs w:val="22"/>
          <w:lang w:val="es-ES_tradnl"/>
        </w:rPr>
      </w:pPr>
      <w:r w:rsidRPr="006F0492">
        <w:rPr>
          <w:b/>
          <w:bCs/>
          <w:sz w:val="22"/>
          <w:szCs w:val="22"/>
          <w:lang w:val="es-ES_tradnl"/>
        </w:rPr>
        <w:t>7</w:t>
      </w:r>
      <w:r>
        <w:rPr>
          <w:sz w:val="22"/>
          <w:szCs w:val="22"/>
          <w:lang w:val="es-ES_tradnl"/>
        </w:rPr>
        <w:t>º.-</w:t>
      </w:r>
      <w:r w:rsidRPr="006F0492">
        <w:rPr>
          <w:sz w:val="22"/>
          <w:szCs w:val="22"/>
          <w:lang w:val="es-ES_tradnl"/>
        </w:rPr>
        <w:t xml:space="preserve"> </w:t>
      </w:r>
      <w:r>
        <w:rPr>
          <w:sz w:val="22"/>
          <w:szCs w:val="22"/>
          <w:lang w:val="es-ES_tradnl"/>
        </w:rPr>
        <w:t>El día 5 de junio de 2025 e</w:t>
      </w:r>
      <w:r w:rsidRPr="0010018F">
        <w:rPr>
          <w:sz w:val="22"/>
          <w:szCs w:val="22"/>
          <w:lang w:val="es-ES_tradnl"/>
        </w:rPr>
        <w:t xml:space="preserve">ste Órgano </w:t>
      </w:r>
      <w:r>
        <w:rPr>
          <w:sz w:val="22"/>
          <w:szCs w:val="22"/>
          <w:lang w:val="es-ES_tradnl"/>
        </w:rPr>
        <w:t>acordó</w:t>
      </w:r>
      <w:r w:rsidRPr="0010018F">
        <w:rPr>
          <w:sz w:val="22"/>
          <w:szCs w:val="22"/>
          <w:lang w:val="es-ES_tradnl"/>
        </w:rPr>
        <w:t xml:space="preserve"> por Resolución </w:t>
      </w:r>
      <w:r>
        <w:rPr>
          <w:sz w:val="22"/>
          <w:szCs w:val="22"/>
          <w:lang w:val="es-ES_tradnl"/>
        </w:rPr>
        <w:t>14</w:t>
      </w:r>
      <w:r w:rsidRPr="0010018F">
        <w:rPr>
          <w:sz w:val="22"/>
          <w:szCs w:val="22"/>
          <w:lang w:val="es-ES_tradnl"/>
        </w:rPr>
        <w:t>/202</w:t>
      </w:r>
      <w:r>
        <w:rPr>
          <w:sz w:val="22"/>
          <w:szCs w:val="22"/>
          <w:lang w:val="es-ES_tradnl"/>
        </w:rPr>
        <w:t xml:space="preserve">5 inadmitir las pruebas propuestas la UTE adjudicataria </w:t>
      </w:r>
      <w:r w:rsidRPr="006F0492">
        <w:rPr>
          <w:sz w:val="22"/>
          <w:szCs w:val="22"/>
          <w:lang w:val="es-ES_tradnl"/>
        </w:rPr>
        <w:t>por ser pruebas manifiestamente improcedentes al no tener por objeto la acreditación de hechos relevantes para la resolución del recurso</w:t>
      </w:r>
      <w:r>
        <w:rPr>
          <w:sz w:val="22"/>
          <w:szCs w:val="22"/>
          <w:lang w:val="es-ES_tradnl"/>
        </w:rPr>
        <w:t>.</w:t>
      </w:r>
    </w:p>
    <w:p w14:paraId="2EDB8D2B" w14:textId="77777777" w:rsidR="00563C27" w:rsidRPr="00563C27" w:rsidRDefault="00563C27" w:rsidP="006B58F3">
      <w:pPr>
        <w:spacing w:after="120"/>
        <w:jc w:val="both"/>
        <w:rPr>
          <w:b/>
          <w:sz w:val="22"/>
          <w:lang w:val="es-ES_tradnl"/>
        </w:rPr>
      </w:pPr>
    </w:p>
    <w:p w14:paraId="46B885B6" w14:textId="77777777" w:rsidR="006B58F3" w:rsidRDefault="006B58F3" w:rsidP="006B58F3">
      <w:pPr>
        <w:spacing w:before="480" w:after="480"/>
        <w:jc w:val="center"/>
        <w:rPr>
          <w:b/>
          <w:sz w:val="22"/>
        </w:rPr>
      </w:pPr>
      <w:r>
        <w:rPr>
          <w:b/>
          <w:sz w:val="22"/>
        </w:rPr>
        <w:t>FUNDAMENTOS DE DERECHO</w:t>
      </w:r>
    </w:p>
    <w:p w14:paraId="7B5FDA40" w14:textId="1CFF4E18" w:rsidR="006462B9" w:rsidRPr="00624496" w:rsidRDefault="007A7CE2" w:rsidP="006462B9">
      <w:pPr>
        <w:jc w:val="both"/>
        <w:rPr>
          <w:sz w:val="22"/>
          <w:szCs w:val="22"/>
        </w:rPr>
      </w:pPr>
      <w:r>
        <w:rPr>
          <w:b/>
          <w:sz w:val="22"/>
          <w:szCs w:val="22"/>
        </w:rPr>
        <w:t>PRIMERO.</w:t>
      </w:r>
      <w:r>
        <w:rPr>
          <w:sz w:val="22"/>
          <w:szCs w:val="22"/>
        </w:rPr>
        <w:t xml:space="preserve"> </w:t>
      </w:r>
      <w:r w:rsidRPr="00A56C4A">
        <w:rPr>
          <w:sz w:val="22"/>
          <w:szCs w:val="22"/>
        </w:rPr>
        <w:t xml:space="preserve">Es objeto del presente procedimiento la resolución del recurso especial en materia de contratación interpuesto </w:t>
      </w:r>
      <w:r w:rsidR="00624496" w:rsidRPr="00624496">
        <w:rPr>
          <w:sz w:val="22"/>
          <w:szCs w:val="22"/>
        </w:rPr>
        <w:t xml:space="preserve">por el </w:t>
      </w:r>
      <w:r w:rsidR="006462B9" w:rsidRPr="00624496">
        <w:rPr>
          <w:sz w:val="22"/>
          <w:szCs w:val="22"/>
        </w:rPr>
        <w:t>director</w:t>
      </w:r>
      <w:r w:rsidR="00624496" w:rsidRPr="00624496">
        <w:rPr>
          <w:sz w:val="22"/>
          <w:szCs w:val="22"/>
        </w:rPr>
        <w:t xml:space="preserve"> de Servicios Jurídicos de CORREOS</w:t>
      </w:r>
      <w:r w:rsidR="006462B9">
        <w:rPr>
          <w:sz w:val="22"/>
          <w:szCs w:val="22"/>
        </w:rPr>
        <w:t xml:space="preserve"> SA</w:t>
      </w:r>
      <w:r w:rsidR="00624496" w:rsidRPr="00624496">
        <w:rPr>
          <w:sz w:val="22"/>
          <w:szCs w:val="22"/>
        </w:rPr>
        <w:t>, Rafael Domínguez Olivera, quien actúa en representación de la entidad</w:t>
      </w:r>
      <w:r w:rsidR="00624496" w:rsidRPr="00A56C4A">
        <w:rPr>
          <w:sz w:val="22"/>
          <w:szCs w:val="22"/>
        </w:rPr>
        <w:t xml:space="preserve"> </w:t>
      </w:r>
      <w:r>
        <w:rPr>
          <w:sz w:val="22"/>
          <w:szCs w:val="22"/>
        </w:rPr>
        <w:t>CORREOS SA</w:t>
      </w:r>
      <w:r w:rsidRPr="00A56C4A">
        <w:rPr>
          <w:sz w:val="22"/>
          <w:szCs w:val="22"/>
        </w:rPr>
        <w:t xml:space="preserve"> contra</w:t>
      </w:r>
      <w:r w:rsidR="00F820B9">
        <w:rPr>
          <w:sz w:val="22"/>
          <w:szCs w:val="22"/>
        </w:rPr>
        <w:t xml:space="preserve"> la decisión de adjudicar </w:t>
      </w:r>
      <w:r>
        <w:rPr>
          <w:sz w:val="22"/>
          <w:szCs w:val="22"/>
        </w:rPr>
        <w:t>el contrato</w:t>
      </w:r>
      <w:r w:rsidR="00F820B9">
        <w:rPr>
          <w:sz w:val="22"/>
          <w:szCs w:val="22"/>
        </w:rPr>
        <w:t xml:space="preserve"> </w:t>
      </w:r>
      <w:r w:rsidR="00F820B9" w:rsidRPr="00F820B9">
        <w:rPr>
          <w:sz w:val="22"/>
          <w:szCs w:val="22"/>
        </w:rPr>
        <w:t>a la UTE DFA AKROPOST SPPV S.A. - HISPAPOST S.A. (UTE) por Acuerdo del Consejo de Gobierno Foral 101/2025, de 25 de febrero.</w:t>
      </w:r>
      <w:r w:rsidR="006462B9" w:rsidRPr="006462B9">
        <w:rPr>
          <w:sz w:val="22"/>
          <w:szCs w:val="22"/>
        </w:rPr>
        <w:t xml:space="preserve"> </w:t>
      </w:r>
      <w:r w:rsidR="006462B9">
        <w:rPr>
          <w:sz w:val="22"/>
          <w:szCs w:val="22"/>
        </w:rPr>
        <w:t>Por medio del recurso se</w:t>
      </w:r>
      <w:r w:rsidR="006462B9" w:rsidRPr="00624496">
        <w:rPr>
          <w:sz w:val="22"/>
          <w:szCs w:val="22"/>
        </w:rPr>
        <w:t xml:space="preserve"> solicita que se declare nula la adjudicación, que se retrotraigan las actuaciones para excluir a la UTE de la licitación y que se valore correctamente la oferta de CORREOS, dictando una nueva propuesta de adjudicación a su favor. </w:t>
      </w:r>
    </w:p>
    <w:p w14:paraId="04D8EBC3" w14:textId="2744C1F6" w:rsidR="00F820B9" w:rsidRPr="00F820B9" w:rsidRDefault="00F820B9" w:rsidP="00F820B9">
      <w:pPr>
        <w:jc w:val="both"/>
        <w:rPr>
          <w:sz w:val="22"/>
          <w:szCs w:val="22"/>
        </w:rPr>
      </w:pPr>
    </w:p>
    <w:p w14:paraId="24ABE921" w14:textId="2697A5D4" w:rsidR="007A7CE2" w:rsidRPr="00A56C4A" w:rsidRDefault="007A7CE2" w:rsidP="007A7CE2">
      <w:pPr>
        <w:jc w:val="both"/>
        <w:rPr>
          <w:sz w:val="22"/>
          <w:szCs w:val="22"/>
        </w:rPr>
      </w:pPr>
      <w:r w:rsidRPr="00A56C4A">
        <w:rPr>
          <w:sz w:val="22"/>
          <w:szCs w:val="22"/>
        </w:rPr>
        <w:t xml:space="preserve">A la vista del valor estimado del contrato y de las previsiones del art. 44 de la LCSP que dispone en su apartado 1.a) que serán susceptibles de recurso especial en materia de contratación los actos y decisiones que refieran a contratos de </w:t>
      </w:r>
      <w:r w:rsidR="008643B7">
        <w:rPr>
          <w:sz w:val="22"/>
          <w:szCs w:val="22"/>
        </w:rPr>
        <w:t>servicios</w:t>
      </w:r>
      <w:r w:rsidRPr="00A56C4A">
        <w:rPr>
          <w:sz w:val="22"/>
          <w:szCs w:val="22"/>
        </w:rPr>
        <w:t xml:space="preserve"> con un valor estimado superior a cien mil euros,</w:t>
      </w:r>
      <w:r w:rsidR="00B559F0">
        <w:rPr>
          <w:sz w:val="22"/>
          <w:szCs w:val="22"/>
        </w:rPr>
        <w:t xml:space="preserve"> así como en el apartado b) sobre Acuerdos marco que tengan por objeto alguno de los contratos descritos en la letra anterior, </w:t>
      </w:r>
      <w:r w:rsidRPr="00A56C4A">
        <w:rPr>
          <w:sz w:val="22"/>
          <w:szCs w:val="22"/>
        </w:rPr>
        <w:t xml:space="preserve"> </w:t>
      </w:r>
      <w:r w:rsidRPr="007E0290">
        <w:rPr>
          <w:sz w:val="22"/>
          <w:szCs w:val="22"/>
        </w:rPr>
        <w:t xml:space="preserve">puesto en relación con la letra c del apartado 2) del mismo </w:t>
      </w:r>
      <w:r w:rsidR="00B559F0">
        <w:rPr>
          <w:sz w:val="22"/>
          <w:szCs w:val="22"/>
        </w:rPr>
        <w:t>artículo,</w:t>
      </w:r>
      <w:r w:rsidRPr="00A56C4A">
        <w:rPr>
          <w:sz w:val="22"/>
          <w:szCs w:val="22"/>
        </w:rPr>
        <w:t xml:space="preserve"> que indica que podrán ser objeto de recurso, entre otras actuaciones, </w:t>
      </w:r>
      <w:r>
        <w:rPr>
          <w:sz w:val="22"/>
          <w:szCs w:val="22"/>
        </w:rPr>
        <w:t>“</w:t>
      </w:r>
      <w:r>
        <w:rPr>
          <w:i/>
          <w:iCs/>
          <w:sz w:val="22"/>
          <w:szCs w:val="22"/>
        </w:rPr>
        <w:t>los acuerdos de adjudicación”</w:t>
      </w:r>
      <w:r w:rsidRPr="00600769">
        <w:rPr>
          <w:i/>
          <w:iCs/>
          <w:sz w:val="22"/>
          <w:szCs w:val="22"/>
        </w:rPr>
        <w:t>,</w:t>
      </w:r>
      <w:r w:rsidRPr="00A56C4A">
        <w:rPr>
          <w:sz w:val="22"/>
          <w:szCs w:val="22"/>
        </w:rPr>
        <w:t xml:space="preserve"> puede concluirse que </w:t>
      </w:r>
      <w:r>
        <w:rPr>
          <w:sz w:val="22"/>
          <w:szCs w:val="22"/>
        </w:rPr>
        <w:t>el acto</w:t>
      </w:r>
      <w:r w:rsidRPr="00A56C4A">
        <w:rPr>
          <w:sz w:val="22"/>
          <w:szCs w:val="22"/>
        </w:rPr>
        <w:t xml:space="preserve"> es susceptible de</w:t>
      </w:r>
      <w:r>
        <w:rPr>
          <w:sz w:val="22"/>
          <w:szCs w:val="22"/>
        </w:rPr>
        <w:t xml:space="preserve"> impugnarse mediante</w:t>
      </w:r>
      <w:r w:rsidRPr="00A56C4A">
        <w:rPr>
          <w:sz w:val="22"/>
          <w:szCs w:val="22"/>
        </w:rPr>
        <w:t xml:space="preserve"> recurso especial</w:t>
      </w:r>
      <w:r>
        <w:rPr>
          <w:sz w:val="22"/>
          <w:szCs w:val="22"/>
        </w:rPr>
        <w:t xml:space="preserve"> en materia de contratación.</w:t>
      </w:r>
    </w:p>
    <w:p w14:paraId="721B631D" w14:textId="77777777" w:rsidR="007A7CE2" w:rsidRDefault="007A7CE2" w:rsidP="007A7CE2">
      <w:pPr>
        <w:jc w:val="both"/>
        <w:rPr>
          <w:b/>
          <w:sz w:val="22"/>
          <w:szCs w:val="22"/>
        </w:rPr>
      </w:pPr>
    </w:p>
    <w:p w14:paraId="1FB63E5B" w14:textId="77777777" w:rsidR="007A7CE2" w:rsidRPr="005267F7" w:rsidRDefault="007A7CE2" w:rsidP="007A7CE2">
      <w:pPr>
        <w:jc w:val="both"/>
        <w:rPr>
          <w:i/>
          <w:iCs/>
          <w:sz w:val="22"/>
          <w:szCs w:val="22"/>
        </w:rPr>
      </w:pPr>
      <w:r>
        <w:rPr>
          <w:b/>
          <w:sz w:val="22"/>
          <w:szCs w:val="22"/>
        </w:rPr>
        <w:t>SEGUNDO.</w:t>
      </w:r>
      <w:r>
        <w:rPr>
          <w:sz w:val="22"/>
          <w:szCs w:val="22"/>
        </w:rPr>
        <w:t xml:space="preserve"> </w:t>
      </w:r>
      <w:r w:rsidRPr="00A56C4A">
        <w:rPr>
          <w:sz w:val="22"/>
          <w:szCs w:val="22"/>
        </w:rPr>
        <w:t>La competencia para resolver el presente recurso especial corresponde a este Órgano conforme a lo establecido en el art. 46.5 LCSP, y en el Decreto Foral 44/2010, de 28 de septiembre, del Consejo de Gobierno Foral , cuyo apartado 2.1, relativo a las competencias, establece que “</w:t>
      </w:r>
      <w:r>
        <w:rPr>
          <w:sz w:val="22"/>
          <w:szCs w:val="22"/>
        </w:rPr>
        <w:t>c</w:t>
      </w:r>
      <w:r w:rsidRPr="009B7D2F">
        <w:rPr>
          <w:i/>
          <w:iCs/>
          <w:sz w:val="22"/>
          <w:szCs w:val="22"/>
        </w:rPr>
        <w:t xml:space="preserve">orresponde al Órgano Administrativo Foral de Recursos Contractuales el conocimiento y resolución de los recursos relativos a los contratos del sector público en los que sea parte la Diputación Foral de Álava o alguno de los órganos dependientes o vinculados a la </w:t>
      </w:r>
      <w:r w:rsidRPr="005267F7">
        <w:rPr>
          <w:i/>
          <w:iCs/>
          <w:sz w:val="22"/>
          <w:szCs w:val="22"/>
        </w:rPr>
        <w:lastRenderedPageBreak/>
        <w:t>misma y, en particular, los Organismos Autónomos Forales, las Sociedades Públicas Forales y todos aquellos poderes adjudicadores que estén bajo su control.”</w:t>
      </w:r>
    </w:p>
    <w:p w14:paraId="2D82F569" w14:textId="77777777" w:rsidR="007A7CE2" w:rsidRPr="005267F7" w:rsidRDefault="007A7CE2" w:rsidP="007A7CE2">
      <w:pPr>
        <w:jc w:val="both"/>
        <w:rPr>
          <w:sz w:val="22"/>
          <w:szCs w:val="22"/>
        </w:rPr>
      </w:pPr>
    </w:p>
    <w:p w14:paraId="140D9A82" w14:textId="73A98660" w:rsidR="007A7CE2" w:rsidRDefault="006F0492" w:rsidP="007A7CE2">
      <w:pPr>
        <w:jc w:val="both"/>
        <w:rPr>
          <w:sz w:val="22"/>
          <w:szCs w:val="22"/>
        </w:rPr>
      </w:pPr>
      <w:r w:rsidRPr="005267F7">
        <w:rPr>
          <w:b/>
          <w:bCs/>
          <w:sz w:val="22"/>
          <w:szCs w:val="22"/>
        </w:rPr>
        <w:t>TERCERO</w:t>
      </w:r>
      <w:r w:rsidRPr="005267F7">
        <w:rPr>
          <w:b/>
          <w:bCs/>
          <w:sz w:val="22"/>
        </w:rPr>
        <w:t>.</w:t>
      </w:r>
      <w:r>
        <w:rPr>
          <w:b/>
          <w:sz w:val="22"/>
        </w:rPr>
        <w:t xml:space="preserve"> -</w:t>
      </w:r>
      <w:r w:rsidR="007A7CE2" w:rsidRPr="005B514E">
        <w:rPr>
          <w:sz w:val="22"/>
          <w:szCs w:val="22"/>
        </w:rPr>
        <w:t xml:space="preserve"> </w:t>
      </w:r>
      <w:r w:rsidR="007A7CE2" w:rsidRPr="00A56C4A">
        <w:rPr>
          <w:sz w:val="22"/>
          <w:szCs w:val="22"/>
        </w:rPr>
        <w:t xml:space="preserve">La entidad reclamante ostenta legitimación de acuerdo con el artículo 48 de la LCSP, que señala en su párrafo primero que </w:t>
      </w:r>
      <w:r w:rsidR="007A7CE2" w:rsidRPr="009B7D2F">
        <w:rPr>
          <w:i/>
          <w:iCs/>
          <w:sz w:val="22"/>
          <w:szCs w:val="22"/>
        </w:rPr>
        <w:t>“podrá interponer el recurso especial en materia de contratación cualquier persona física o jurídica cuyos derechos o intereses legítimos, individuales o colectivos, se hayan visto perjudicados o puedan resultar afectados, de manera directa o indirecta, por las decisiones objeto del recurso”.</w:t>
      </w:r>
      <w:r w:rsidR="007A7CE2" w:rsidRPr="00A56C4A">
        <w:rPr>
          <w:sz w:val="22"/>
          <w:szCs w:val="22"/>
        </w:rPr>
        <w:t xml:space="preserve"> </w:t>
      </w:r>
    </w:p>
    <w:p w14:paraId="68ED2D23" w14:textId="77777777" w:rsidR="007A7CE2" w:rsidRDefault="007A7CE2" w:rsidP="007A7CE2">
      <w:pPr>
        <w:jc w:val="both"/>
        <w:rPr>
          <w:sz w:val="22"/>
          <w:szCs w:val="22"/>
        </w:rPr>
      </w:pPr>
    </w:p>
    <w:p w14:paraId="6DE99598" w14:textId="042CC567" w:rsidR="007A7CE2" w:rsidRDefault="006F0492" w:rsidP="007A7CE2">
      <w:pPr>
        <w:jc w:val="both"/>
        <w:rPr>
          <w:b/>
          <w:bCs/>
          <w:i/>
          <w:iCs/>
          <w:sz w:val="22"/>
          <w:szCs w:val="22"/>
        </w:rPr>
      </w:pPr>
      <w:r w:rsidRPr="005267F7">
        <w:rPr>
          <w:b/>
          <w:bCs/>
          <w:sz w:val="22"/>
          <w:szCs w:val="22"/>
        </w:rPr>
        <w:t>CUARTO.</w:t>
      </w:r>
      <w:r w:rsidRPr="005267F7">
        <w:rPr>
          <w:sz w:val="22"/>
          <w:szCs w:val="22"/>
        </w:rPr>
        <w:t xml:space="preserve"> -</w:t>
      </w:r>
      <w:r w:rsidR="007A7CE2" w:rsidRPr="005267F7">
        <w:rPr>
          <w:sz w:val="22"/>
          <w:szCs w:val="22"/>
        </w:rPr>
        <w:t xml:space="preserve"> El recurso se ha interpuesto dentro del plazo de quince días hábiles establecido en el artículo 50.1 d) de la LCSP, a contar a partir del día siguiente a aquel en que se haya notificado la adjudicación</w:t>
      </w:r>
      <w:r w:rsidR="00E411AD">
        <w:rPr>
          <w:sz w:val="22"/>
          <w:szCs w:val="22"/>
        </w:rPr>
        <w:t>, que fue publicada en la plataforma de contratación de Euskadi el 25 de febrero de 2025.</w:t>
      </w:r>
    </w:p>
    <w:p w14:paraId="351CC80E" w14:textId="77777777" w:rsidR="007A7CE2" w:rsidRPr="005267F7" w:rsidRDefault="007A7CE2" w:rsidP="007A7CE2">
      <w:pPr>
        <w:jc w:val="both"/>
        <w:rPr>
          <w:b/>
          <w:bCs/>
          <w:i/>
          <w:iCs/>
          <w:sz w:val="22"/>
          <w:szCs w:val="22"/>
        </w:rPr>
      </w:pPr>
    </w:p>
    <w:p w14:paraId="63605632" w14:textId="46DAF65C" w:rsidR="00624496" w:rsidRPr="00624496" w:rsidRDefault="006F0492" w:rsidP="00624496">
      <w:pPr>
        <w:jc w:val="both"/>
        <w:rPr>
          <w:sz w:val="22"/>
          <w:szCs w:val="22"/>
        </w:rPr>
      </w:pPr>
      <w:r w:rsidRPr="005267F7">
        <w:rPr>
          <w:b/>
          <w:bCs/>
          <w:sz w:val="22"/>
          <w:szCs w:val="22"/>
        </w:rPr>
        <w:t>QUINTO.</w:t>
      </w:r>
      <w:r>
        <w:rPr>
          <w:b/>
          <w:bCs/>
          <w:sz w:val="22"/>
          <w:szCs w:val="22"/>
        </w:rPr>
        <w:t xml:space="preserve"> </w:t>
      </w:r>
      <w:r w:rsidR="00981F92">
        <w:rPr>
          <w:b/>
          <w:bCs/>
          <w:sz w:val="22"/>
          <w:szCs w:val="22"/>
        </w:rPr>
        <w:t>–</w:t>
      </w:r>
      <w:r w:rsidR="007A7CE2" w:rsidRPr="005267F7">
        <w:rPr>
          <w:sz w:val="22"/>
          <w:szCs w:val="22"/>
        </w:rPr>
        <w:t xml:space="preserve"> </w:t>
      </w:r>
      <w:r w:rsidR="00981F92">
        <w:rPr>
          <w:sz w:val="22"/>
          <w:szCs w:val="22"/>
        </w:rPr>
        <w:t>En cuanto a los motivos que sustentan el recurso</w:t>
      </w:r>
      <w:r w:rsidR="007A7CE2" w:rsidRPr="005267F7">
        <w:rPr>
          <w:sz w:val="22"/>
          <w:szCs w:val="22"/>
        </w:rPr>
        <w:t xml:space="preserve">, </w:t>
      </w:r>
      <w:r w:rsidR="007A7CE2">
        <w:rPr>
          <w:sz w:val="22"/>
          <w:szCs w:val="22"/>
        </w:rPr>
        <w:t>CORREOS SA</w:t>
      </w:r>
      <w:r w:rsidR="007A7CE2" w:rsidRPr="005267F7">
        <w:rPr>
          <w:sz w:val="22"/>
          <w:szCs w:val="22"/>
        </w:rPr>
        <w:t xml:space="preserve"> considera </w:t>
      </w:r>
      <w:r w:rsidR="00FB5025">
        <w:rPr>
          <w:sz w:val="22"/>
          <w:szCs w:val="22"/>
        </w:rPr>
        <w:t xml:space="preserve">en su recurso especial </w:t>
      </w:r>
      <w:r w:rsidR="00624496" w:rsidRPr="00624496">
        <w:rPr>
          <w:sz w:val="22"/>
          <w:szCs w:val="22"/>
        </w:rPr>
        <w:t xml:space="preserve">que la UTE </w:t>
      </w:r>
      <w:r w:rsidR="009B728D">
        <w:rPr>
          <w:sz w:val="22"/>
          <w:szCs w:val="22"/>
        </w:rPr>
        <w:t xml:space="preserve">adjudicataria </w:t>
      </w:r>
      <w:r w:rsidR="00624496" w:rsidRPr="00624496">
        <w:rPr>
          <w:sz w:val="22"/>
          <w:szCs w:val="22"/>
        </w:rPr>
        <w:t xml:space="preserve">no cumple los requisitos exigidos en el Pliego de Prescripciones Técnicas (PPT) y que la valoración de los criterios de adjudicación no ha sido correcta. </w:t>
      </w:r>
    </w:p>
    <w:p w14:paraId="01D7AAFD" w14:textId="77777777" w:rsidR="00624496" w:rsidRPr="00624496" w:rsidRDefault="00624496" w:rsidP="00624496">
      <w:pPr>
        <w:jc w:val="both"/>
        <w:rPr>
          <w:sz w:val="22"/>
          <w:szCs w:val="22"/>
        </w:rPr>
      </w:pPr>
    </w:p>
    <w:p w14:paraId="08159A0B" w14:textId="093F1C70" w:rsidR="00624496" w:rsidRPr="00624496" w:rsidRDefault="00624496" w:rsidP="00624496">
      <w:pPr>
        <w:jc w:val="both"/>
        <w:rPr>
          <w:sz w:val="22"/>
          <w:szCs w:val="22"/>
        </w:rPr>
      </w:pPr>
      <w:r>
        <w:rPr>
          <w:sz w:val="22"/>
          <w:szCs w:val="22"/>
        </w:rPr>
        <w:t xml:space="preserve">En primer lugar, </w:t>
      </w:r>
      <w:r w:rsidRPr="00624496">
        <w:rPr>
          <w:sz w:val="22"/>
          <w:szCs w:val="22"/>
        </w:rPr>
        <w:t>cita el apartado 6.4 del PPT, que exige a la empresa adjudicataria disponer de una red de oficinas abiertas al público para la recogida de envíos no entregados, con requisitos específicos sobre ubicación, actividad esencial, horario y servicio de atención al cliente. CORREOS sostiene que la UTE ha presentado como medios propios oficinas que en realidad son de CORREOS</w:t>
      </w:r>
      <w:r w:rsidR="00911C45">
        <w:rPr>
          <w:sz w:val="22"/>
          <w:szCs w:val="22"/>
        </w:rPr>
        <w:t xml:space="preserve">. </w:t>
      </w:r>
      <w:r w:rsidRPr="00624496">
        <w:rPr>
          <w:sz w:val="22"/>
          <w:szCs w:val="22"/>
        </w:rPr>
        <w:t xml:space="preserve">El recurso cita el artículo 45 de la Ley 43/2010, de 30 de diciembre, del Servicio Postal Universal, que regula el acceso a la red postal, y el artículo 3.13 de la misma ley, que define los puntos de acceso a la red postal. </w:t>
      </w:r>
      <w:r w:rsidR="00911C45">
        <w:rPr>
          <w:sz w:val="22"/>
          <w:szCs w:val="22"/>
        </w:rPr>
        <w:t>La recurrente</w:t>
      </w:r>
      <w:r w:rsidRPr="00624496">
        <w:rPr>
          <w:sz w:val="22"/>
          <w:szCs w:val="22"/>
        </w:rPr>
        <w:t xml:space="preserve"> </w:t>
      </w:r>
      <w:r w:rsidR="00911C45">
        <w:rPr>
          <w:sz w:val="22"/>
          <w:szCs w:val="22"/>
        </w:rPr>
        <w:t xml:space="preserve">menciona </w:t>
      </w:r>
      <w:r w:rsidRPr="00624496">
        <w:rPr>
          <w:sz w:val="22"/>
          <w:szCs w:val="22"/>
        </w:rPr>
        <w:t xml:space="preserve">resoluciones de órganos de contratación y tribunales administrativos que han interpretado que el contrato de acceso a la red postal no habilita a los operadores a disponer de los medios de CORREOS ni a ofertarlos como propios. </w:t>
      </w:r>
      <w:r w:rsidR="006462B9">
        <w:rPr>
          <w:sz w:val="22"/>
          <w:szCs w:val="22"/>
        </w:rPr>
        <w:t>Por ello la UTE</w:t>
      </w:r>
      <w:r w:rsidR="006462B9" w:rsidRPr="00624496">
        <w:rPr>
          <w:sz w:val="22"/>
          <w:szCs w:val="22"/>
        </w:rPr>
        <w:t xml:space="preserve"> no debería recibir puntuación en este criterio</w:t>
      </w:r>
      <w:r w:rsidR="006462B9">
        <w:rPr>
          <w:sz w:val="22"/>
          <w:szCs w:val="22"/>
        </w:rPr>
        <w:t xml:space="preserve">. </w:t>
      </w:r>
      <w:r w:rsidRPr="00624496">
        <w:rPr>
          <w:sz w:val="22"/>
          <w:szCs w:val="22"/>
        </w:rPr>
        <w:t>Además, alega que algunas oficinas ofertadas por la UTE no cumplen el requisito de que su actividad esencial sea la postal, citando como ejemplo la oficina de Badajoz, ubicada en la Gerencia del Área de Salud, y la de Lleida, en una sede del PSC.</w:t>
      </w:r>
    </w:p>
    <w:p w14:paraId="3FC341E2" w14:textId="77777777" w:rsidR="00624496" w:rsidRPr="00624496" w:rsidRDefault="00624496" w:rsidP="00624496">
      <w:pPr>
        <w:jc w:val="both"/>
        <w:rPr>
          <w:sz w:val="22"/>
          <w:szCs w:val="22"/>
        </w:rPr>
      </w:pPr>
    </w:p>
    <w:p w14:paraId="40C3432F" w14:textId="2743A01B" w:rsidR="00624496" w:rsidRPr="00624496" w:rsidRDefault="00624496" w:rsidP="00624496">
      <w:pPr>
        <w:jc w:val="both"/>
        <w:rPr>
          <w:sz w:val="22"/>
          <w:szCs w:val="22"/>
        </w:rPr>
      </w:pPr>
      <w:r w:rsidRPr="00624496">
        <w:rPr>
          <w:sz w:val="22"/>
          <w:szCs w:val="22"/>
        </w:rPr>
        <w:t xml:space="preserve">En </w:t>
      </w:r>
      <w:r w:rsidR="006462B9">
        <w:rPr>
          <w:sz w:val="22"/>
          <w:szCs w:val="22"/>
        </w:rPr>
        <w:t>segundo lugar</w:t>
      </w:r>
      <w:r w:rsidRPr="00624496">
        <w:rPr>
          <w:sz w:val="22"/>
          <w:szCs w:val="22"/>
        </w:rPr>
        <w:t xml:space="preserve">, CORREOS </w:t>
      </w:r>
      <w:r w:rsidR="006462B9">
        <w:rPr>
          <w:sz w:val="22"/>
          <w:szCs w:val="22"/>
        </w:rPr>
        <w:t>s</w:t>
      </w:r>
      <w:r w:rsidR="006462B9" w:rsidRPr="00624496">
        <w:rPr>
          <w:sz w:val="22"/>
          <w:szCs w:val="22"/>
        </w:rPr>
        <w:t xml:space="preserve">ostiene que la UTE no ha acreditado disponer de medios propios para prestar </w:t>
      </w:r>
      <w:r w:rsidR="006462B9">
        <w:rPr>
          <w:sz w:val="22"/>
          <w:szCs w:val="22"/>
        </w:rPr>
        <w:t>el servicio de</w:t>
      </w:r>
      <w:r w:rsidRPr="00624496">
        <w:rPr>
          <w:sz w:val="22"/>
          <w:szCs w:val="22"/>
        </w:rPr>
        <w:t xml:space="preserve"> franqueo en destino, </w:t>
      </w:r>
      <w:r w:rsidR="006462B9">
        <w:rPr>
          <w:sz w:val="22"/>
          <w:szCs w:val="22"/>
        </w:rPr>
        <w:t xml:space="preserve">que está </w:t>
      </w:r>
      <w:r w:rsidRPr="00624496">
        <w:rPr>
          <w:sz w:val="22"/>
          <w:szCs w:val="22"/>
        </w:rPr>
        <w:t xml:space="preserve">incluido entre los servicios del PPT, </w:t>
      </w:r>
      <w:r w:rsidR="006462B9">
        <w:rPr>
          <w:sz w:val="22"/>
          <w:szCs w:val="22"/>
        </w:rPr>
        <w:t xml:space="preserve">porque es un servicio que </w:t>
      </w:r>
      <w:r w:rsidRPr="00624496">
        <w:rPr>
          <w:sz w:val="22"/>
          <w:szCs w:val="22"/>
        </w:rPr>
        <w:t>no forma parte del Servicio Postal Universal y que, de necesitar subcontratarlo, incumpliría el pliego.</w:t>
      </w:r>
    </w:p>
    <w:p w14:paraId="1DF531E0" w14:textId="77777777" w:rsidR="00624496" w:rsidRPr="00624496" w:rsidRDefault="00624496" w:rsidP="00624496">
      <w:pPr>
        <w:jc w:val="both"/>
        <w:rPr>
          <w:sz w:val="22"/>
          <w:szCs w:val="22"/>
        </w:rPr>
      </w:pPr>
    </w:p>
    <w:p w14:paraId="5C931821" w14:textId="77777777" w:rsidR="006F0492" w:rsidRDefault="006462B9" w:rsidP="00624496">
      <w:pPr>
        <w:jc w:val="both"/>
        <w:rPr>
          <w:sz w:val="22"/>
          <w:szCs w:val="22"/>
        </w:rPr>
      </w:pPr>
      <w:r>
        <w:rPr>
          <w:sz w:val="22"/>
          <w:szCs w:val="22"/>
        </w:rPr>
        <w:t>En tercer lugar, la recurrente</w:t>
      </w:r>
      <w:r w:rsidR="00624496" w:rsidRPr="00624496">
        <w:rPr>
          <w:sz w:val="22"/>
          <w:szCs w:val="22"/>
        </w:rPr>
        <w:t xml:space="preserve"> cuestiona la puntuación otorgada a la UTE</w:t>
      </w:r>
      <w:r w:rsidR="00765621">
        <w:rPr>
          <w:sz w:val="22"/>
          <w:szCs w:val="22"/>
        </w:rPr>
        <w:t>. En</w:t>
      </w:r>
      <w:r w:rsidR="00624496" w:rsidRPr="00624496">
        <w:rPr>
          <w:sz w:val="22"/>
          <w:szCs w:val="22"/>
        </w:rPr>
        <w:t xml:space="preserve"> aspectos como el procedimiento de recogida, la adecuación del sistema de control y seguimiento, y la metodología para envíos masivos</w:t>
      </w:r>
      <w:r w:rsidR="00765621">
        <w:rPr>
          <w:sz w:val="22"/>
          <w:szCs w:val="22"/>
        </w:rPr>
        <w:t xml:space="preserve">, reitera </w:t>
      </w:r>
      <w:r w:rsidR="00624496" w:rsidRPr="00624496">
        <w:rPr>
          <w:sz w:val="22"/>
          <w:szCs w:val="22"/>
        </w:rPr>
        <w:t>que la UTE no dispone de red de oficinas en un radio de 5 km para la entrega de envíos</w:t>
      </w:r>
      <w:r>
        <w:rPr>
          <w:sz w:val="22"/>
          <w:szCs w:val="22"/>
        </w:rPr>
        <w:t xml:space="preserve">, ni de </w:t>
      </w:r>
      <w:r w:rsidR="00624496" w:rsidRPr="00624496">
        <w:rPr>
          <w:sz w:val="22"/>
          <w:szCs w:val="22"/>
        </w:rPr>
        <w:t>los medios personales y materiales de CORREOS</w:t>
      </w:r>
      <w:r w:rsidR="00765621">
        <w:rPr>
          <w:sz w:val="22"/>
          <w:szCs w:val="22"/>
        </w:rPr>
        <w:t xml:space="preserve">. </w:t>
      </w:r>
      <w:r w:rsidR="00624496" w:rsidRPr="00624496">
        <w:rPr>
          <w:sz w:val="22"/>
          <w:szCs w:val="22"/>
        </w:rPr>
        <w:t xml:space="preserve">En cuanto al sistema de control y seguimiento, </w:t>
      </w:r>
      <w:r w:rsidR="00765621">
        <w:rPr>
          <w:sz w:val="22"/>
          <w:szCs w:val="22"/>
        </w:rPr>
        <w:t>la recurrente</w:t>
      </w:r>
      <w:r w:rsidR="00624496" w:rsidRPr="00624496">
        <w:rPr>
          <w:sz w:val="22"/>
          <w:szCs w:val="22"/>
        </w:rPr>
        <w:t xml:space="preserve"> considera que no procede valorar igual su oferta y la de la UTE.</w:t>
      </w:r>
    </w:p>
    <w:p w14:paraId="48E6608D" w14:textId="77777777" w:rsidR="006F0492" w:rsidRDefault="006F0492" w:rsidP="00624496">
      <w:pPr>
        <w:jc w:val="both"/>
        <w:rPr>
          <w:sz w:val="22"/>
          <w:szCs w:val="22"/>
        </w:rPr>
      </w:pPr>
    </w:p>
    <w:p w14:paraId="22B23C00" w14:textId="4912EE2B" w:rsidR="00624496" w:rsidRPr="00624496" w:rsidRDefault="00765621" w:rsidP="00624496">
      <w:pPr>
        <w:jc w:val="both"/>
        <w:rPr>
          <w:sz w:val="22"/>
          <w:szCs w:val="22"/>
        </w:rPr>
      </w:pPr>
      <w:r>
        <w:rPr>
          <w:sz w:val="22"/>
          <w:szCs w:val="22"/>
        </w:rPr>
        <w:t>Finalmente, s</w:t>
      </w:r>
      <w:r w:rsidR="00624496" w:rsidRPr="00624496">
        <w:rPr>
          <w:sz w:val="22"/>
          <w:szCs w:val="22"/>
        </w:rPr>
        <w:t>e menciona la necesidad de motivación en la discrecionalidad técnica para evaluar las ofertas, citando la Resolución 658/2024 del TACRC.</w:t>
      </w:r>
    </w:p>
    <w:p w14:paraId="2AB4A371" w14:textId="77777777" w:rsidR="00624496" w:rsidRPr="00624496" w:rsidRDefault="00624496" w:rsidP="00624496">
      <w:pPr>
        <w:jc w:val="both"/>
        <w:rPr>
          <w:sz w:val="22"/>
          <w:szCs w:val="22"/>
        </w:rPr>
      </w:pPr>
    </w:p>
    <w:p w14:paraId="687B31D5" w14:textId="0A6D938C" w:rsidR="00F820B9" w:rsidRPr="00F820B9" w:rsidRDefault="006F0492" w:rsidP="00F820B9">
      <w:pPr>
        <w:jc w:val="both"/>
        <w:rPr>
          <w:sz w:val="22"/>
          <w:szCs w:val="22"/>
        </w:rPr>
      </w:pPr>
      <w:r w:rsidRPr="005267F7">
        <w:rPr>
          <w:b/>
          <w:bCs/>
          <w:sz w:val="22"/>
          <w:szCs w:val="22"/>
        </w:rPr>
        <w:t>SEXTO.</w:t>
      </w:r>
      <w:r w:rsidRPr="0072297F">
        <w:rPr>
          <w:b/>
          <w:bCs/>
          <w:sz w:val="22"/>
          <w:szCs w:val="22"/>
        </w:rPr>
        <w:t xml:space="preserve"> -</w:t>
      </w:r>
      <w:r w:rsidR="00981F92" w:rsidRPr="00981F92">
        <w:rPr>
          <w:sz w:val="22"/>
          <w:szCs w:val="22"/>
        </w:rPr>
        <w:t>E</w:t>
      </w:r>
      <w:r w:rsidR="007A7CE2" w:rsidRPr="00981F92">
        <w:rPr>
          <w:sz w:val="22"/>
          <w:szCs w:val="22"/>
        </w:rPr>
        <w:t>l ó</w:t>
      </w:r>
      <w:r w:rsidR="007A7CE2" w:rsidRPr="009B7D2F">
        <w:rPr>
          <w:sz w:val="22"/>
          <w:szCs w:val="22"/>
        </w:rPr>
        <w:t>rgano de contratación</w:t>
      </w:r>
      <w:r w:rsidR="007A7CE2">
        <w:rPr>
          <w:b/>
          <w:bCs/>
          <w:sz w:val="22"/>
          <w:szCs w:val="22"/>
        </w:rPr>
        <w:t>,</w:t>
      </w:r>
      <w:r w:rsidR="00981F92">
        <w:rPr>
          <w:b/>
          <w:bCs/>
          <w:sz w:val="22"/>
          <w:szCs w:val="22"/>
        </w:rPr>
        <w:t xml:space="preserve"> </w:t>
      </w:r>
      <w:r w:rsidR="007A7CE2">
        <w:rPr>
          <w:b/>
          <w:bCs/>
          <w:sz w:val="22"/>
          <w:szCs w:val="22"/>
        </w:rPr>
        <w:t>e</w:t>
      </w:r>
      <w:r w:rsidR="007A7CE2" w:rsidRPr="0072297F">
        <w:rPr>
          <w:sz w:val="22"/>
          <w:szCs w:val="22"/>
        </w:rPr>
        <w:t xml:space="preserve">n informe </w:t>
      </w:r>
      <w:r w:rsidR="007A7CE2">
        <w:rPr>
          <w:sz w:val="22"/>
          <w:szCs w:val="22"/>
        </w:rPr>
        <w:t>de 2 de diciembre de 2022, solicita la desestimación del recurso</w:t>
      </w:r>
      <w:r w:rsidR="00F820B9">
        <w:rPr>
          <w:sz w:val="22"/>
          <w:szCs w:val="22"/>
        </w:rPr>
        <w:t xml:space="preserve"> especial</w:t>
      </w:r>
      <w:r w:rsidR="007A7CE2">
        <w:rPr>
          <w:sz w:val="22"/>
          <w:szCs w:val="22"/>
        </w:rPr>
        <w:t xml:space="preserve"> y </w:t>
      </w:r>
      <w:r w:rsidR="00F820B9">
        <w:rPr>
          <w:sz w:val="22"/>
          <w:szCs w:val="22"/>
        </w:rPr>
        <w:t xml:space="preserve">responde a los </w:t>
      </w:r>
      <w:r w:rsidR="00F820B9" w:rsidRPr="00F820B9">
        <w:rPr>
          <w:sz w:val="22"/>
          <w:szCs w:val="22"/>
        </w:rPr>
        <w:t>argumentos del recurso de CORREOS</w:t>
      </w:r>
      <w:r w:rsidR="00F820B9">
        <w:rPr>
          <w:sz w:val="22"/>
          <w:szCs w:val="22"/>
        </w:rPr>
        <w:t xml:space="preserve"> SA</w:t>
      </w:r>
      <w:r w:rsidR="00F820B9" w:rsidRPr="00F820B9">
        <w:rPr>
          <w:sz w:val="22"/>
          <w:szCs w:val="22"/>
        </w:rPr>
        <w:t>.</w:t>
      </w:r>
      <w:r w:rsidR="00F820B9">
        <w:rPr>
          <w:sz w:val="22"/>
          <w:szCs w:val="22"/>
        </w:rPr>
        <w:t xml:space="preserve"> Lo que el</w:t>
      </w:r>
      <w:r w:rsidR="00F820B9" w:rsidRPr="00F820B9">
        <w:rPr>
          <w:sz w:val="22"/>
          <w:szCs w:val="22"/>
        </w:rPr>
        <w:t xml:space="preserve"> PPT exigía </w:t>
      </w:r>
      <w:r w:rsidR="00F820B9">
        <w:rPr>
          <w:sz w:val="22"/>
          <w:szCs w:val="22"/>
        </w:rPr>
        <w:t xml:space="preserve">era </w:t>
      </w:r>
      <w:r w:rsidR="00F820B9" w:rsidRPr="00F820B9">
        <w:rPr>
          <w:sz w:val="22"/>
          <w:szCs w:val="22"/>
        </w:rPr>
        <w:t>que la empresa adjudicataria dispusiera de una red de oficinas abiertas al público para la recogida de envíos no entregados, y que su disponibilidad se acreditara por cualquier medio admitido en derecho.</w:t>
      </w:r>
      <w:r w:rsidR="00F820B9">
        <w:rPr>
          <w:sz w:val="22"/>
          <w:szCs w:val="22"/>
        </w:rPr>
        <w:t xml:space="preserve"> El OC explica</w:t>
      </w:r>
      <w:r w:rsidR="00F820B9" w:rsidRPr="00F820B9">
        <w:rPr>
          <w:sz w:val="22"/>
          <w:szCs w:val="22"/>
        </w:rPr>
        <w:t xml:space="preserve"> que la UTE adjuntó el contrato de acceso a la red postal entre CORREOS e </w:t>
      </w:r>
      <w:proofErr w:type="spellStart"/>
      <w:r w:rsidR="00F820B9" w:rsidRPr="00F820B9">
        <w:rPr>
          <w:sz w:val="22"/>
          <w:szCs w:val="22"/>
        </w:rPr>
        <w:t>Hispapost</w:t>
      </w:r>
      <w:proofErr w:type="spellEnd"/>
      <w:r w:rsidR="00F820B9" w:rsidRPr="00F820B9">
        <w:rPr>
          <w:sz w:val="22"/>
          <w:szCs w:val="22"/>
        </w:rPr>
        <w:t xml:space="preserve">, S.A., y argumentó que este contrato les permite usar la red de oficinas de CORREOS como propia, en virtud del artículo 2 del Real Decreto 1298/2006, que regula el acceso a la red postal pública para operadores con autorización administrativa singular. </w:t>
      </w:r>
    </w:p>
    <w:p w14:paraId="59339A29" w14:textId="77777777" w:rsidR="00F820B9" w:rsidRPr="00F820B9" w:rsidRDefault="00F820B9" w:rsidP="00F820B9">
      <w:pPr>
        <w:jc w:val="both"/>
        <w:rPr>
          <w:sz w:val="22"/>
          <w:szCs w:val="22"/>
        </w:rPr>
      </w:pPr>
    </w:p>
    <w:p w14:paraId="602C0C2F" w14:textId="13D76A56" w:rsidR="00F820B9" w:rsidRPr="00F820B9" w:rsidRDefault="00F820B9" w:rsidP="00F820B9">
      <w:pPr>
        <w:jc w:val="both"/>
        <w:rPr>
          <w:sz w:val="22"/>
          <w:szCs w:val="22"/>
        </w:rPr>
      </w:pPr>
      <w:r>
        <w:rPr>
          <w:sz w:val="22"/>
          <w:szCs w:val="22"/>
        </w:rPr>
        <w:t>El OC</w:t>
      </w:r>
      <w:r w:rsidRPr="00F820B9">
        <w:rPr>
          <w:sz w:val="22"/>
          <w:szCs w:val="22"/>
        </w:rPr>
        <w:t xml:space="preserve"> </w:t>
      </w:r>
      <w:r>
        <w:rPr>
          <w:sz w:val="22"/>
          <w:szCs w:val="22"/>
        </w:rPr>
        <w:t>considera cumplido el requisito del PPT</w:t>
      </w:r>
      <w:r w:rsidRPr="00F820B9">
        <w:rPr>
          <w:sz w:val="22"/>
          <w:szCs w:val="22"/>
        </w:rPr>
        <w:t xml:space="preserve"> </w:t>
      </w:r>
      <w:r>
        <w:rPr>
          <w:sz w:val="22"/>
          <w:szCs w:val="22"/>
        </w:rPr>
        <w:t>apoyándose en varias</w:t>
      </w:r>
      <w:r w:rsidRPr="00F820B9">
        <w:rPr>
          <w:sz w:val="22"/>
          <w:szCs w:val="22"/>
        </w:rPr>
        <w:t xml:space="preserve"> resoluciones y sentencias, entre ellas la Sentencia 612/2021 sobre un caso similar en el Ayuntamiento de Vitoria-Gasteiz, la Resolución 130/2013 del OARC. </w:t>
      </w:r>
      <w:r w:rsidR="004E347C">
        <w:rPr>
          <w:sz w:val="22"/>
          <w:szCs w:val="22"/>
        </w:rPr>
        <w:t>De esta forma</w:t>
      </w:r>
      <w:r w:rsidRPr="00F820B9">
        <w:rPr>
          <w:sz w:val="22"/>
          <w:szCs w:val="22"/>
        </w:rPr>
        <w:t xml:space="preserve"> el acceso a la red postal pública permite a los operadores privados alcanzar un grado de cobertura equivalente al de CORREOS, </w:t>
      </w:r>
      <w:r w:rsidR="004E347C">
        <w:rPr>
          <w:sz w:val="22"/>
          <w:szCs w:val="22"/>
        </w:rPr>
        <w:t>sin necesidad de</w:t>
      </w:r>
      <w:r w:rsidRPr="00F820B9">
        <w:rPr>
          <w:sz w:val="22"/>
          <w:szCs w:val="22"/>
        </w:rPr>
        <w:t xml:space="preserve"> propiedad ni </w:t>
      </w:r>
      <w:r w:rsidR="004E347C">
        <w:rPr>
          <w:sz w:val="22"/>
          <w:szCs w:val="22"/>
        </w:rPr>
        <w:t>de</w:t>
      </w:r>
      <w:r w:rsidRPr="00F820B9">
        <w:rPr>
          <w:sz w:val="22"/>
          <w:szCs w:val="22"/>
        </w:rPr>
        <w:t xml:space="preserve"> </w:t>
      </w:r>
      <w:r w:rsidR="004E347C">
        <w:rPr>
          <w:sz w:val="22"/>
          <w:szCs w:val="22"/>
        </w:rPr>
        <w:t>disponer</w:t>
      </w:r>
      <w:r w:rsidRPr="00F820B9">
        <w:rPr>
          <w:sz w:val="22"/>
          <w:szCs w:val="22"/>
        </w:rPr>
        <w:t xml:space="preserve"> de todos los recursos materiales y humanos de CORREOS.</w:t>
      </w:r>
      <w:r w:rsidR="004E347C">
        <w:rPr>
          <w:sz w:val="22"/>
          <w:szCs w:val="22"/>
        </w:rPr>
        <w:t xml:space="preserve"> Señala a su vez que ese</w:t>
      </w:r>
      <w:r w:rsidRPr="00F820B9">
        <w:rPr>
          <w:sz w:val="22"/>
          <w:szCs w:val="22"/>
        </w:rPr>
        <w:t xml:space="preserve"> contrato de acceso a la red postal no es un contrato de franquicia ni convierte a CORREOS en subcontratista</w:t>
      </w:r>
      <w:r w:rsidR="004E347C">
        <w:rPr>
          <w:sz w:val="22"/>
          <w:szCs w:val="22"/>
        </w:rPr>
        <w:t>.</w:t>
      </w:r>
    </w:p>
    <w:p w14:paraId="14DC6388" w14:textId="77777777" w:rsidR="00F820B9" w:rsidRPr="00F820B9" w:rsidRDefault="00F820B9" w:rsidP="00F820B9">
      <w:pPr>
        <w:jc w:val="both"/>
        <w:rPr>
          <w:sz w:val="22"/>
          <w:szCs w:val="22"/>
        </w:rPr>
      </w:pPr>
    </w:p>
    <w:p w14:paraId="3DC80DD9" w14:textId="04896AE8" w:rsidR="00F820B9" w:rsidRPr="00F820B9" w:rsidRDefault="00F820B9" w:rsidP="00F820B9">
      <w:pPr>
        <w:jc w:val="both"/>
        <w:rPr>
          <w:sz w:val="22"/>
          <w:szCs w:val="22"/>
        </w:rPr>
      </w:pPr>
      <w:r w:rsidRPr="00F820B9">
        <w:rPr>
          <w:sz w:val="22"/>
          <w:szCs w:val="22"/>
        </w:rPr>
        <w:t xml:space="preserve">En relación con la alegación de CORREOS sobre la ubicación del punto de acceso más cercano, </w:t>
      </w:r>
      <w:r w:rsidR="004E347C">
        <w:rPr>
          <w:sz w:val="22"/>
          <w:szCs w:val="22"/>
        </w:rPr>
        <w:t>el OC</w:t>
      </w:r>
      <w:r w:rsidRPr="00F820B9">
        <w:rPr>
          <w:sz w:val="22"/>
          <w:szCs w:val="22"/>
        </w:rPr>
        <w:t xml:space="preserve"> indica que en el contrato entre los operadores figura un centro de admisión masiva en </w:t>
      </w:r>
      <w:r w:rsidR="006901E2" w:rsidRPr="00F820B9">
        <w:rPr>
          <w:sz w:val="22"/>
          <w:szCs w:val="22"/>
        </w:rPr>
        <w:t>Jundiz</w:t>
      </w:r>
      <w:r w:rsidRPr="00F820B9">
        <w:rPr>
          <w:sz w:val="22"/>
          <w:szCs w:val="22"/>
        </w:rPr>
        <w:t>, además del de Bilbao, lo que suscita dudas sobre la afirmación de CORREOS.</w:t>
      </w:r>
      <w:r w:rsidR="004E347C">
        <w:rPr>
          <w:sz w:val="22"/>
          <w:szCs w:val="22"/>
        </w:rPr>
        <w:t xml:space="preserve"> </w:t>
      </w:r>
      <w:r w:rsidRPr="00F820B9">
        <w:rPr>
          <w:sz w:val="22"/>
          <w:szCs w:val="22"/>
        </w:rPr>
        <w:t xml:space="preserve">Respecto a la naturaleza de las oficinas de Badajoz y Lleida, que según CORREOS no cumplen con la exigencia de que su actividad esencial sea la postal, </w:t>
      </w:r>
      <w:r w:rsidR="004E347C">
        <w:rPr>
          <w:sz w:val="22"/>
          <w:szCs w:val="22"/>
        </w:rPr>
        <w:t>el OC</w:t>
      </w:r>
      <w:r w:rsidRPr="00F820B9">
        <w:rPr>
          <w:sz w:val="22"/>
          <w:szCs w:val="22"/>
        </w:rPr>
        <w:t xml:space="preserve"> manifiesta que acepta lo comprometido</w:t>
      </w:r>
      <w:r w:rsidR="004E347C">
        <w:rPr>
          <w:sz w:val="22"/>
          <w:szCs w:val="22"/>
        </w:rPr>
        <w:t xml:space="preserve"> por las licitadoras,</w:t>
      </w:r>
      <w:r w:rsidRPr="00F820B9">
        <w:rPr>
          <w:sz w:val="22"/>
          <w:szCs w:val="22"/>
        </w:rPr>
        <w:t xml:space="preserve"> salvo prueba en contrario o incumplimiento en la ejecución.</w:t>
      </w:r>
    </w:p>
    <w:p w14:paraId="3EC82037" w14:textId="77777777" w:rsidR="00F820B9" w:rsidRPr="00F820B9" w:rsidRDefault="00F820B9" w:rsidP="00F820B9">
      <w:pPr>
        <w:jc w:val="both"/>
        <w:rPr>
          <w:sz w:val="22"/>
          <w:szCs w:val="22"/>
        </w:rPr>
      </w:pPr>
    </w:p>
    <w:p w14:paraId="1E88A46A" w14:textId="1559FF07" w:rsidR="00F820B9" w:rsidRPr="00F820B9" w:rsidRDefault="004E347C" w:rsidP="00F820B9">
      <w:pPr>
        <w:jc w:val="both"/>
        <w:rPr>
          <w:sz w:val="22"/>
          <w:szCs w:val="22"/>
        </w:rPr>
      </w:pPr>
      <w:r>
        <w:rPr>
          <w:sz w:val="22"/>
          <w:szCs w:val="22"/>
        </w:rPr>
        <w:t>Respecto a la alegación de Correos SA de que</w:t>
      </w:r>
      <w:r w:rsidR="00F820B9" w:rsidRPr="00F820B9">
        <w:rPr>
          <w:sz w:val="22"/>
          <w:szCs w:val="22"/>
        </w:rPr>
        <w:t xml:space="preserve"> el franqueo en destino no está incluido en el Servicio Postal Universal </w:t>
      </w:r>
      <w:r>
        <w:rPr>
          <w:sz w:val="22"/>
          <w:szCs w:val="22"/>
        </w:rPr>
        <w:t>el OC</w:t>
      </w:r>
      <w:r w:rsidR="00F820B9" w:rsidRPr="00F820B9">
        <w:rPr>
          <w:sz w:val="22"/>
          <w:szCs w:val="22"/>
        </w:rPr>
        <w:t xml:space="preserve"> no encuentra </w:t>
      </w:r>
      <w:r>
        <w:rPr>
          <w:sz w:val="22"/>
          <w:szCs w:val="22"/>
        </w:rPr>
        <w:t>constancia</w:t>
      </w:r>
      <w:r w:rsidR="00F820B9" w:rsidRPr="00F820B9">
        <w:rPr>
          <w:sz w:val="22"/>
          <w:szCs w:val="22"/>
        </w:rPr>
        <w:t xml:space="preserve"> de que el franqueo en destino esté excluido del Servicio Postal Universal, ni evidencia </w:t>
      </w:r>
      <w:r>
        <w:rPr>
          <w:sz w:val="22"/>
          <w:szCs w:val="22"/>
        </w:rPr>
        <w:t>que así lo acredite</w:t>
      </w:r>
      <w:r w:rsidR="00F820B9" w:rsidRPr="00F820B9">
        <w:rPr>
          <w:sz w:val="22"/>
          <w:szCs w:val="22"/>
        </w:rPr>
        <w:t>.</w:t>
      </w:r>
    </w:p>
    <w:p w14:paraId="7B184674" w14:textId="77777777" w:rsidR="00F820B9" w:rsidRPr="00F820B9" w:rsidRDefault="00F820B9" w:rsidP="00F820B9">
      <w:pPr>
        <w:jc w:val="both"/>
        <w:rPr>
          <w:sz w:val="22"/>
          <w:szCs w:val="22"/>
        </w:rPr>
      </w:pPr>
    </w:p>
    <w:p w14:paraId="6E73BA63" w14:textId="25178A7D" w:rsidR="00F820B9" w:rsidRPr="00F820B9" w:rsidRDefault="004E347C" w:rsidP="00F820B9">
      <w:pPr>
        <w:jc w:val="both"/>
        <w:rPr>
          <w:sz w:val="22"/>
          <w:szCs w:val="22"/>
        </w:rPr>
      </w:pPr>
      <w:r>
        <w:rPr>
          <w:sz w:val="22"/>
          <w:szCs w:val="22"/>
        </w:rPr>
        <w:t>Finalmente, e</w:t>
      </w:r>
      <w:r w:rsidR="00F820B9" w:rsidRPr="00F820B9">
        <w:rPr>
          <w:sz w:val="22"/>
          <w:szCs w:val="22"/>
        </w:rPr>
        <w:t xml:space="preserve">n cuanto </w:t>
      </w:r>
      <w:r>
        <w:rPr>
          <w:sz w:val="22"/>
          <w:szCs w:val="22"/>
        </w:rPr>
        <w:t>al cuestionamiento que hace la recurrente respecto a</w:t>
      </w:r>
      <w:r w:rsidR="00F820B9" w:rsidRPr="00F820B9">
        <w:rPr>
          <w:sz w:val="22"/>
          <w:szCs w:val="22"/>
        </w:rPr>
        <w:t xml:space="preserve"> valoración de los criterios de adjudicación no automáticos, </w:t>
      </w:r>
      <w:r>
        <w:rPr>
          <w:sz w:val="22"/>
          <w:szCs w:val="22"/>
        </w:rPr>
        <w:t>el OC</w:t>
      </w:r>
      <w:r w:rsidR="00F820B9" w:rsidRPr="00F820B9">
        <w:rPr>
          <w:sz w:val="22"/>
          <w:szCs w:val="22"/>
        </w:rPr>
        <w:t xml:space="preserve"> justifica </w:t>
      </w:r>
      <w:r>
        <w:rPr>
          <w:sz w:val="22"/>
          <w:szCs w:val="22"/>
        </w:rPr>
        <w:t>su</w:t>
      </w:r>
      <w:r w:rsidR="00F820B9" w:rsidRPr="00F820B9">
        <w:rPr>
          <w:sz w:val="22"/>
          <w:szCs w:val="22"/>
        </w:rPr>
        <w:t xml:space="preserve"> valoración por la flexibilidad y los tiempos de respuesta ofrecidos por la UTE, considerando que el cumplimiento de estos compromisos será a riesgo y ventura de la adjudicataria.</w:t>
      </w:r>
      <w:r w:rsidR="008E0324">
        <w:rPr>
          <w:sz w:val="22"/>
          <w:szCs w:val="22"/>
        </w:rPr>
        <w:t xml:space="preserve"> Con respecto al cuestionamiento que hace Correos de los</w:t>
      </w:r>
      <w:r w:rsidR="00F820B9" w:rsidRPr="00F820B9">
        <w:rPr>
          <w:sz w:val="22"/>
          <w:szCs w:val="22"/>
        </w:rPr>
        <w:t xml:space="preserve"> sistemas de control y seguimiento</w:t>
      </w:r>
      <w:r w:rsidR="008E0324">
        <w:rPr>
          <w:sz w:val="22"/>
          <w:szCs w:val="22"/>
        </w:rPr>
        <w:t xml:space="preserve"> de la UTE</w:t>
      </w:r>
      <w:r w:rsidR="00F820B9" w:rsidRPr="00F820B9">
        <w:rPr>
          <w:sz w:val="22"/>
          <w:szCs w:val="22"/>
        </w:rPr>
        <w:t>,</w:t>
      </w:r>
      <w:r w:rsidR="008E0324">
        <w:rPr>
          <w:sz w:val="22"/>
          <w:szCs w:val="22"/>
        </w:rPr>
        <w:t xml:space="preserve"> el OC advierte que</w:t>
      </w:r>
      <w:r w:rsidR="00F820B9" w:rsidRPr="00F820B9">
        <w:rPr>
          <w:sz w:val="22"/>
          <w:szCs w:val="22"/>
        </w:rPr>
        <w:t xml:space="preserve"> la certeza absoluta sobre lo ofertado en una memoria técnica solo puede comprobarse durante la ejecución del contrato.</w:t>
      </w:r>
    </w:p>
    <w:p w14:paraId="68C25D4D" w14:textId="77777777" w:rsidR="00F820B9" w:rsidRPr="00F820B9" w:rsidRDefault="00F820B9" w:rsidP="00F820B9">
      <w:pPr>
        <w:jc w:val="both"/>
        <w:rPr>
          <w:sz w:val="22"/>
          <w:szCs w:val="22"/>
        </w:rPr>
      </w:pPr>
    </w:p>
    <w:p w14:paraId="1FF64F86" w14:textId="77777777" w:rsidR="007A7CE2" w:rsidRDefault="007A7CE2" w:rsidP="007A7CE2">
      <w:pPr>
        <w:jc w:val="both"/>
        <w:rPr>
          <w:sz w:val="22"/>
          <w:szCs w:val="22"/>
        </w:rPr>
      </w:pPr>
    </w:p>
    <w:p w14:paraId="3636FF8B" w14:textId="5E7B7565" w:rsidR="00111391" w:rsidRPr="00111391" w:rsidRDefault="00E17CF4" w:rsidP="00111391">
      <w:pPr>
        <w:jc w:val="both"/>
        <w:rPr>
          <w:sz w:val="22"/>
          <w:szCs w:val="22"/>
        </w:rPr>
      </w:pPr>
      <w:r w:rsidRPr="007A7CE2">
        <w:rPr>
          <w:b/>
          <w:bCs/>
          <w:sz w:val="22"/>
          <w:szCs w:val="22"/>
        </w:rPr>
        <w:t>SEPTIMO. -</w:t>
      </w:r>
      <w:r w:rsidR="00FB5025" w:rsidRPr="00FB5025">
        <w:rPr>
          <w:sz w:val="22"/>
          <w:szCs w:val="22"/>
        </w:rPr>
        <w:t>Por su parte</w:t>
      </w:r>
      <w:r w:rsidR="00FB5025">
        <w:rPr>
          <w:b/>
          <w:bCs/>
          <w:sz w:val="22"/>
          <w:szCs w:val="22"/>
        </w:rPr>
        <w:t xml:space="preserve">, </w:t>
      </w:r>
      <w:r w:rsidR="00FB5025" w:rsidRPr="00FB5025">
        <w:rPr>
          <w:sz w:val="22"/>
          <w:szCs w:val="22"/>
        </w:rPr>
        <w:t>la adjudicataria UTE DA AKROPOST SPPV SA- HISPAPOST SA en constitución</w:t>
      </w:r>
      <w:r w:rsidR="00111391">
        <w:t xml:space="preserve">, </w:t>
      </w:r>
      <w:r w:rsidR="00111391" w:rsidRPr="00111391">
        <w:rPr>
          <w:sz w:val="22"/>
          <w:szCs w:val="22"/>
        </w:rPr>
        <w:t>manifiesta su oposición íntegra al recurso de Correos, dentro del plazo legal de cinco días hábiles</w:t>
      </w:r>
      <w:r w:rsidR="00111391">
        <w:rPr>
          <w:sz w:val="22"/>
          <w:szCs w:val="22"/>
        </w:rPr>
        <w:t>.</w:t>
      </w:r>
      <w:r w:rsidR="00111391" w:rsidRPr="00111391">
        <w:rPr>
          <w:sz w:val="22"/>
          <w:szCs w:val="22"/>
        </w:rPr>
        <w:t xml:space="preserve"> La UTE argumenta que cumple con </w:t>
      </w:r>
      <w:r w:rsidR="00111391">
        <w:rPr>
          <w:sz w:val="22"/>
          <w:szCs w:val="22"/>
        </w:rPr>
        <w:t xml:space="preserve">el </w:t>
      </w:r>
      <w:r w:rsidR="00111391" w:rsidRPr="00111391">
        <w:rPr>
          <w:sz w:val="22"/>
          <w:szCs w:val="22"/>
        </w:rPr>
        <w:t>Pliego de Prescripciones Técnicas (PPT) en lo relativo a la red de oficinas exigida para la prestación del servicio este requisito gracias a los contratos de acceso a la Red Postal Pública de Correos que tienen suscritos ambos miembros de la UTE, lo que les permite disponer legítimamente de la totalidad de las oficinas de Correos para la ejecución del contrato</w:t>
      </w:r>
      <w:r w:rsidR="00111391">
        <w:rPr>
          <w:sz w:val="22"/>
          <w:szCs w:val="22"/>
        </w:rPr>
        <w:t>. Asimismo, l</w:t>
      </w:r>
      <w:r w:rsidR="00111391" w:rsidRPr="00111391">
        <w:rPr>
          <w:sz w:val="22"/>
          <w:szCs w:val="22"/>
        </w:rPr>
        <w:t>a UTE rechaza la interpretación de Correos</w:t>
      </w:r>
      <w:r w:rsidR="00111391">
        <w:rPr>
          <w:sz w:val="22"/>
          <w:szCs w:val="22"/>
        </w:rPr>
        <w:t xml:space="preserve"> SA</w:t>
      </w:r>
      <w:r w:rsidR="00111391" w:rsidRPr="00111391">
        <w:rPr>
          <w:sz w:val="22"/>
          <w:szCs w:val="22"/>
        </w:rPr>
        <w:t xml:space="preserve"> sobre la necesidad de propiedad de las oficinas, señalando que los pliegos solo exigen la disposición de </w:t>
      </w:r>
      <w:r w:rsidR="00111391" w:rsidRPr="00111391">
        <w:rPr>
          <w:sz w:val="22"/>
          <w:szCs w:val="22"/>
        </w:rPr>
        <w:lastRenderedPageBreak/>
        <w:t>una red de oficinas, no su titularidad. Se apoya en la Ley 43/2010, de 30 de diciembre, del servicio postal universal, y en el Real Decreto 1298/2006, que regulan el derecho de acceso a la red postal pública para los operadores privados, así como en la jurisprudencia y en la doctrina de la CNMC, que consideran la red de Correos como un criterio de valoración neutro en licitaciones públicas.</w:t>
      </w:r>
    </w:p>
    <w:p w14:paraId="76F6438C" w14:textId="77777777" w:rsidR="00111391" w:rsidRPr="00111391" w:rsidRDefault="00111391" w:rsidP="00111391">
      <w:pPr>
        <w:jc w:val="both"/>
        <w:rPr>
          <w:sz w:val="22"/>
          <w:szCs w:val="22"/>
        </w:rPr>
      </w:pPr>
    </w:p>
    <w:p w14:paraId="608A39B5" w14:textId="78A9B2F8" w:rsidR="00111391" w:rsidRPr="00111391" w:rsidRDefault="00111391" w:rsidP="00111391">
      <w:pPr>
        <w:jc w:val="both"/>
        <w:rPr>
          <w:sz w:val="22"/>
          <w:szCs w:val="22"/>
        </w:rPr>
      </w:pPr>
      <w:r w:rsidRPr="00111391">
        <w:rPr>
          <w:sz w:val="22"/>
          <w:szCs w:val="22"/>
        </w:rPr>
        <w:t>En relación con la subcontratación, la UTE responde que el servicio de franqueo en destino, al que alude la recurrente, no es exclusivo de Correos y puede ser realizado directamente por la UTE. Además, se trata de un servicio residual en la licitación. La UTE sostiene que cualquier hipotético incumplimiento en la ejecución sería motivo de resolución contractual, pero no de exclusión en la fase de adjudicación.</w:t>
      </w:r>
    </w:p>
    <w:p w14:paraId="31D4CBAB" w14:textId="77777777" w:rsidR="00111391" w:rsidRPr="00111391" w:rsidRDefault="00111391" w:rsidP="00111391">
      <w:pPr>
        <w:jc w:val="both"/>
        <w:rPr>
          <w:sz w:val="22"/>
          <w:szCs w:val="22"/>
        </w:rPr>
      </w:pPr>
    </w:p>
    <w:p w14:paraId="4B961CB6" w14:textId="72C281C4" w:rsidR="00111391" w:rsidRPr="00111391" w:rsidRDefault="00111391" w:rsidP="00111391">
      <w:pPr>
        <w:jc w:val="both"/>
        <w:rPr>
          <w:sz w:val="22"/>
          <w:szCs w:val="22"/>
        </w:rPr>
      </w:pPr>
      <w:r w:rsidRPr="00111391">
        <w:rPr>
          <w:sz w:val="22"/>
          <w:szCs w:val="22"/>
        </w:rPr>
        <w:t>Respecto a la valoración de los criterios de adjudicación no automáticos, la UTE defiende la puntuación otorgada por el órgano de contratación</w:t>
      </w:r>
      <w:r>
        <w:rPr>
          <w:sz w:val="22"/>
          <w:szCs w:val="22"/>
        </w:rPr>
        <w:t xml:space="preserve">. </w:t>
      </w:r>
      <w:r w:rsidRPr="00111391">
        <w:rPr>
          <w:sz w:val="22"/>
          <w:szCs w:val="22"/>
        </w:rPr>
        <w:t>Argumenta que las mejoras ofertadas por la UTE suponen ventajas objetivas para el órgano de contratación. Asimismo, sostiene que ambas licitadoras han demostrado capacidad suficiente para prestar el servicio.</w:t>
      </w:r>
    </w:p>
    <w:p w14:paraId="58D857CB" w14:textId="77777777" w:rsidR="00111391" w:rsidRPr="00111391" w:rsidRDefault="00111391" w:rsidP="00111391">
      <w:pPr>
        <w:jc w:val="both"/>
        <w:rPr>
          <w:sz w:val="22"/>
          <w:szCs w:val="22"/>
        </w:rPr>
      </w:pPr>
    </w:p>
    <w:p w14:paraId="684BE7ED" w14:textId="28E782AD" w:rsidR="00111391" w:rsidRPr="00111391" w:rsidRDefault="00111391" w:rsidP="00111391">
      <w:pPr>
        <w:jc w:val="both"/>
        <w:rPr>
          <w:sz w:val="22"/>
          <w:szCs w:val="22"/>
        </w:rPr>
      </w:pPr>
      <w:r w:rsidRPr="00111391">
        <w:rPr>
          <w:sz w:val="22"/>
          <w:szCs w:val="22"/>
        </w:rPr>
        <w:t xml:space="preserve">El escrito concluye solicitando la admisión de los documentos anexos, </w:t>
      </w:r>
      <w:r>
        <w:rPr>
          <w:sz w:val="22"/>
          <w:szCs w:val="22"/>
        </w:rPr>
        <w:t xml:space="preserve">y </w:t>
      </w:r>
      <w:r w:rsidRPr="00111391">
        <w:rPr>
          <w:sz w:val="22"/>
          <w:szCs w:val="22"/>
        </w:rPr>
        <w:t>que se requiera a la CNMC y al Tribunal Vasco de la Competencia pronunciamientos sobre el derecho de acceso a la red postal pública y sobre la afirmación de Correos relativa a la negativa de admitir envíos de entidades no clientes.</w:t>
      </w:r>
    </w:p>
    <w:p w14:paraId="430D6BC7" w14:textId="77777777" w:rsidR="00111391" w:rsidRPr="00111391" w:rsidRDefault="00111391" w:rsidP="00111391">
      <w:pPr>
        <w:jc w:val="both"/>
        <w:rPr>
          <w:sz w:val="22"/>
          <w:szCs w:val="22"/>
        </w:rPr>
      </w:pPr>
    </w:p>
    <w:p w14:paraId="25603B03" w14:textId="71E6E876" w:rsidR="006F0492" w:rsidRDefault="00DF5BB6" w:rsidP="006F0492">
      <w:pPr>
        <w:jc w:val="both"/>
        <w:rPr>
          <w:sz w:val="22"/>
          <w:szCs w:val="22"/>
        </w:rPr>
      </w:pPr>
      <w:r>
        <w:rPr>
          <w:b/>
          <w:bCs/>
          <w:sz w:val="22"/>
          <w:szCs w:val="22"/>
        </w:rPr>
        <w:t>OCTAVO. -</w:t>
      </w:r>
      <w:r w:rsidR="00002A8E">
        <w:rPr>
          <w:b/>
          <w:bCs/>
          <w:sz w:val="22"/>
          <w:szCs w:val="22"/>
        </w:rPr>
        <w:t xml:space="preserve">Valoración del </w:t>
      </w:r>
      <w:r w:rsidR="006F0492">
        <w:rPr>
          <w:b/>
          <w:bCs/>
          <w:sz w:val="22"/>
          <w:szCs w:val="22"/>
        </w:rPr>
        <w:t>OAFRC.</w:t>
      </w:r>
    </w:p>
    <w:p w14:paraId="4DF23318" w14:textId="77777777" w:rsidR="006F0492" w:rsidRDefault="006F0492" w:rsidP="006F0492">
      <w:pPr>
        <w:jc w:val="both"/>
        <w:rPr>
          <w:sz w:val="22"/>
          <w:szCs w:val="22"/>
        </w:rPr>
      </w:pPr>
    </w:p>
    <w:p w14:paraId="261B13F2" w14:textId="77C4A4C6" w:rsidR="00305823" w:rsidRPr="006F0492" w:rsidRDefault="00305823" w:rsidP="006F0492">
      <w:pPr>
        <w:pStyle w:val="Prrafodelista"/>
        <w:numPr>
          <w:ilvl w:val="0"/>
          <w:numId w:val="7"/>
        </w:numPr>
        <w:jc w:val="both"/>
        <w:rPr>
          <w:rFonts w:ascii="Times New Roman" w:hAnsi="Times New Roman" w:cs="Times New Roman"/>
          <w:b/>
          <w:bCs/>
        </w:rPr>
      </w:pPr>
      <w:r w:rsidRPr="006F0492">
        <w:rPr>
          <w:rFonts w:ascii="Times New Roman" w:hAnsi="Times New Roman" w:cs="Times New Roman"/>
          <w:b/>
          <w:bCs/>
        </w:rPr>
        <w:t>Sobre el incumplimiento del Pliego de Prescripciones técnicas.</w:t>
      </w:r>
    </w:p>
    <w:p w14:paraId="3AC9673A" w14:textId="77777777" w:rsidR="006F0492" w:rsidRDefault="006F0492" w:rsidP="00111391">
      <w:pPr>
        <w:jc w:val="both"/>
        <w:rPr>
          <w:sz w:val="22"/>
          <w:szCs w:val="22"/>
        </w:rPr>
      </w:pPr>
      <w:r>
        <w:rPr>
          <w:sz w:val="22"/>
          <w:szCs w:val="22"/>
        </w:rPr>
        <w:t xml:space="preserve">El primero de los motivos del recurso consiste en que la adjudicataria no cumple con el compromiso de adscripción de medios, que es un requisito adicional de solvencia (art. 76 LCSP) por lo que, de estimarse este motivo, haría innecesario estudiar los motivos relacionados con la valoración de las ofertas según criterios automáticos y no automáticos. </w:t>
      </w:r>
    </w:p>
    <w:p w14:paraId="583B4B57" w14:textId="77777777" w:rsidR="006F0492" w:rsidRDefault="006F0492" w:rsidP="00111391">
      <w:pPr>
        <w:jc w:val="both"/>
        <w:rPr>
          <w:sz w:val="22"/>
          <w:szCs w:val="22"/>
        </w:rPr>
      </w:pPr>
    </w:p>
    <w:p w14:paraId="56B25CF5" w14:textId="3962EE49" w:rsidR="00111391" w:rsidRPr="00111391" w:rsidRDefault="006D1D17" w:rsidP="00111391">
      <w:pPr>
        <w:jc w:val="both"/>
        <w:rPr>
          <w:sz w:val="22"/>
          <w:szCs w:val="22"/>
        </w:rPr>
      </w:pPr>
      <w:r w:rsidRPr="006D1D17">
        <w:rPr>
          <w:sz w:val="22"/>
          <w:szCs w:val="22"/>
        </w:rPr>
        <w:t>El PPT</w:t>
      </w:r>
      <w:r>
        <w:rPr>
          <w:sz w:val="22"/>
          <w:szCs w:val="22"/>
        </w:rPr>
        <w:t xml:space="preserve"> dedica su apartado 6 a las “obligaciones de la empresa adjudicataria”, entre las que se encuentra la de “</w:t>
      </w:r>
      <w:r w:rsidRPr="006D1D17">
        <w:rPr>
          <w:i/>
          <w:iCs/>
          <w:sz w:val="22"/>
          <w:szCs w:val="22"/>
        </w:rPr>
        <w:t>disponer de una red de oficinas abiertas al público en las que depositar durante el plazo establecido para la recogida de envíos no entregados</w:t>
      </w:r>
      <w:r>
        <w:rPr>
          <w:sz w:val="22"/>
          <w:szCs w:val="22"/>
        </w:rPr>
        <w:t xml:space="preserve">...” Estas oficinas, a su vez, deben cumplir unos requisitos mínimos (apdo. 6.4). El PPT configura esta obligación como una condición de ejecución del servicio, y la disponibilidad de las oficinas debe acreditarse </w:t>
      </w:r>
      <w:r w:rsidRPr="00981F92">
        <w:rPr>
          <w:i/>
          <w:iCs/>
          <w:sz w:val="22"/>
          <w:szCs w:val="22"/>
        </w:rPr>
        <w:t>“por cualquier medio admitido en derecho”</w:t>
      </w:r>
      <w:r>
        <w:rPr>
          <w:sz w:val="22"/>
          <w:szCs w:val="22"/>
        </w:rPr>
        <w:t xml:space="preserve"> con anterioridad al inicio del contrato. De forma no exhaustiva, el PPT relaciona alguno de esos medios admitidos para acreditar esa disponibilidad: contrato de arrendamiento, convenio o acuerdo con la titular</w:t>
      </w:r>
      <w:r w:rsidR="00C40A5B">
        <w:rPr>
          <w:sz w:val="22"/>
          <w:szCs w:val="22"/>
        </w:rPr>
        <w:t>.</w:t>
      </w:r>
    </w:p>
    <w:p w14:paraId="13A51679" w14:textId="77777777" w:rsidR="00111391" w:rsidRPr="00111391" w:rsidRDefault="00111391" w:rsidP="00111391">
      <w:pPr>
        <w:jc w:val="both"/>
        <w:rPr>
          <w:sz w:val="22"/>
          <w:szCs w:val="22"/>
        </w:rPr>
      </w:pPr>
    </w:p>
    <w:p w14:paraId="37D802E2" w14:textId="37354F1D" w:rsidR="007A7CE2" w:rsidRDefault="00C65488" w:rsidP="007A7CE2">
      <w:pPr>
        <w:jc w:val="both"/>
        <w:rPr>
          <w:sz w:val="22"/>
          <w:szCs w:val="22"/>
        </w:rPr>
      </w:pPr>
      <w:r>
        <w:rPr>
          <w:sz w:val="22"/>
          <w:szCs w:val="22"/>
        </w:rPr>
        <w:t>Por su parte, el Cuadro de Características (CC) estipula que la red de oficina</w:t>
      </w:r>
      <w:r w:rsidR="00C40A5B">
        <w:rPr>
          <w:sz w:val="22"/>
          <w:szCs w:val="22"/>
        </w:rPr>
        <w:t>s</w:t>
      </w:r>
      <w:r>
        <w:rPr>
          <w:sz w:val="22"/>
          <w:szCs w:val="22"/>
        </w:rPr>
        <w:t xml:space="preserve"> es un compromiso de adscripción de medios durante el procedimiento de licitación, que la entidad propuesta como adjudicataria deberá acreditar previamente a la adjudicación del contrato, según el art. 150.2 LCSP. Ese compromiso de adscripción de medios debe incluirse en el sobre B, según el modelo Anexo II, tal y como se especifica en el apartado “</w:t>
      </w:r>
      <w:r w:rsidRPr="00C65488">
        <w:rPr>
          <w:i/>
          <w:iCs/>
          <w:sz w:val="22"/>
          <w:szCs w:val="22"/>
        </w:rPr>
        <w:t>observaciones</w:t>
      </w:r>
      <w:r>
        <w:rPr>
          <w:sz w:val="22"/>
          <w:szCs w:val="22"/>
        </w:rPr>
        <w:t>” del CC.</w:t>
      </w:r>
      <w:r w:rsidR="00086F0F">
        <w:rPr>
          <w:sz w:val="22"/>
          <w:szCs w:val="22"/>
        </w:rPr>
        <w:t xml:space="preserve"> También resulta de interés mencionar que en el apartado Y del CC, sobre “subcontratación”, se detalla que no es considerada subcontratación la suscripción de convenios bilaterales entre el operador responsable </w:t>
      </w:r>
      <w:r w:rsidR="00086F0F">
        <w:rPr>
          <w:sz w:val="22"/>
          <w:szCs w:val="22"/>
        </w:rPr>
        <w:lastRenderedPageBreak/>
        <w:t>de la prestación del servicio postal universal y los demás operadores postales para el acceso a la red postal pública.</w:t>
      </w:r>
    </w:p>
    <w:p w14:paraId="39B3FFE7" w14:textId="77777777" w:rsidR="00086F0F" w:rsidRDefault="00086F0F" w:rsidP="007A7CE2">
      <w:pPr>
        <w:jc w:val="both"/>
        <w:rPr>
          <w:sz w:val="22"/>
          <w:szCs w:val="22"/>
        </w:rPr>
      </w:pPr>
    </w:p>
    <w:p w14:paraId="7C643078" w14:textId="77777777" w:rsidR="00981F92" w:rsidRDefault="00086F0F" w:rsidP="007A7CE2">
      <w:pPr>
        <w:jc w:val="both"/>
        <w:rPr>
          <w:sz w:val="22"/>
          <w:szCs w:val="22"/>
        </w:rPr>
      </w:pPr>
      <w:r>
        <w:rPr>
          <w:sz w:val="22"/>
          <w:szCs w:val="22"/>
        </w:rPr>
        <w:t>La recurrente reconoce en el REMC que las dos empresas que constituyen la UTE han suscrito con CORREOS sendos contratos de acceso a la red postal, pero que esos contratos no les permiten disponer de los bienes de Correos como si fuesen propios. En su favor, Correos indica (1) la Resolución 74/2023, de 1 de febrero de Tribunal de Contratos Públicos de Cataluña, (2) la Resolución 604/2018 del TACRC y (3) la Resolución 58/2023 del TACP de Madrid.</w:t>
      </w:r>
      <w:r w:rsidR="00981F92">
        <w:rPr>
          <w:sz w:val="22"/>
          <w:szCs w:val="22"/>
        </w:rPr>
        <w:t xml:space="preserve"> </w:t>
      </w:r>
      <w:r w:rsidR="0086404A">
        <w:rPr>
          <w:sz w:val="22"/>
          <w:szCs w:val="22"/>
        </w:rPr>
        <w:t xml:space="preserve">De su lectura se puede apreciar que la Resolución del Tribunal Catalán de Contratos del Sector Público se apoya en la resolución </w:t>
      </w:r>
      <w:r w:rsidR="00E22C1F">
        <w:rPr>
          <w:sz w:val="22"/>
          <w:szCs w:val="22"/>
        </w:rPr>
        <w:t xml:space="preserve">604 </w:t>
      </w:r>
      <w:r w:rsidR="0086404A">
        <w:rPr>
          <w:sz w:val="22"/>
          <w:szCs w:val="22"/>
        </w:rPr>
        <w:t>del TACRC de 2018.</w:t>
      </w:r>
      <w:r w:rsidR="006545C8">
        <w:rPr>
          <w:sz w:val="22"/>
          <w:szCs w:val="22"/>
        </w:rPr>
        <w:t xml:space="preserve"> </w:t>
      </w:r>
      <w:r w:rsidR="00E22C1F">
        <w:rPr>
          <w:sz w:val="22"/>
          <w:szCs w:val="22"/>
        </w:rPr>
        <w:t>En el caso analizado en la resolución 604/2018 el PCAP incluía un compromiso de adscripción de medios materiales y personales, Con respecto a los medios personales, se solicitaba la adscripción de un responsable para cada una de las oficinas recogidas en el apartado medios materiales</w:t>
      </w:r>
      <w:r w:rsidR="00981F92">
        <w:rPr>
          <w:sz w:val="22"/>
          <w:szCs w:val="22"/>
        </w:rPr>
        <w:t>.</w:t>
      </w:r>
      <w:r w:rsidR="00E22C1F">
        <w:rPr>
          <w:sz w:val="22"/>
          <w:szCs w:val="22"/>
        </w:rPr>
        <w:t xml:space="preserve"> El tribunal administrativo avala la decisión del órgano de contratación de entender que la recurrente no tenía capacidad de adscribir los medios humanos de Correos, Por lo que respecta a las oficinas, el tribunal considera que el derecho de utilización de la red postal pública no habilita para disponer de los medios materiales de Correos</w:t>
      </w:r>
      <w:r w:rsidR="006545C8">
        <w:rPr>
          <w:sz w:val="22"/>
          <w:szCs w:val="22"/>
        </w:rPr>
        <w:t>. En el caso enjuiciado por el TACP de la Comunidad de Madrid, en el recurso se solicitaba la nulidad de la adjudicación porque no se habían valorado las oficinas ofertadas por la recurrente y que pertenecían a la red de Correos. El tribunal administrativo asume los fundamentos de la mesa de contratación, porque el depósito de envíos no lo puede realizar directamente los centros usuarios del acuerdo marco en los centros de admisión masiva de Correos</w:t>
      </w:r>
      <w:r w:rsidR="00C67EB1">
        <w:rPr>
          <w:sz w:val="22"/>
          <w:szCs w:val="22"/>
        </w:rPr>
        <w:t xml:space="preserve">, teniendo en cuenta que el sistema CORREOS PREPAGO aludido por la recurrente no estaba contemplado en el PPT. Por </w:t>
      </w:r>
      <w:r w:rsidR="00426DBA">
        <w:rPr>
          <w:sz w:val="22"/>
          <w:szCs w:val="22"/>
        </w:rPr>
        <w:t>tanto,</w:t>
      </w:r>
      <w:r w:rsidR="00C67EB1">
        <w:rPr>
          <w:sz w:val="22"/>
          <w:szCs w:val="22"/>
        </w:rPr>
        <w:t xml:space="preserve"> el operador postal se constituye necesariamente como intermediario, lo que resulta en un incumplimiento de las obligaciones recogidas en el apartado 6 del PPT</w:t>
      </w:r>
      <w:r w:rsidR="0078202B">
        <w:rPr>
          <w:sz w:val="22"/>
          <w:szCs w:val="22"/>
        </w:rPr>
        <w:t xml:space="preserve">, que comprende una doble obligación, dice el TACP, para el depósito de envíos y </w:t>
      </w:r>
      <w:r w:rsidR="0078202B" w:rsidRPr="006F1531">
        <w:rPr>
          <w:sz w:val="22"/>
          <w:szCs w:val="22"/>
          <w:u w:val="single"/>
        </w:rPr>
        <w:t>para la entrega y reparto</w:t>
      </w:r>
      <w:r w:rsidR="0078202B">
        <w:rPr>
          <w:sz w:val="22"/>
          <w:szCs w:val="22"/>
        </w:rPr>
        <w:t xml:space="preserve"> a los destinatarios finales, </w:t>
      </w:r>
      <w:r w:rsidR="0078202B" w:rsidRPr="0078202B">
        <w:rPr>
          <w:i/>
          <w:iCs/>
          <w:sz w:val="22"/>
          <w:szCs w:val="22"/>
        </w:rPr>
        <w:t>siendo sólo para esta última actividad para la que se establece explícitamente el derecho de uso de la red postal</w:t>
      </w:r>
      <w:r w:rsidR="0078202B">
        <w:rPr>
          <w:sz w:val="22"/>
          <w:szCs w:val="22"/>
        </w:rPr>
        <w:t xml:space="preserve"> en la Ley 43/2010, de 30 de diciembre.</w:t>
      </w:r>
      <w:r w:rsidR="00502FFA">
        <w:rPr>
          <w:sz w:val="22"/>
          <w:szCs w:val="22"/>
        </w:rPr>
        <w:t xml:space="preserve"> </w:t>
      </w:r>
    </w:p>
    <w:p w14:paraId="0049C88D" w14:textId="77777777" w:rsidR="00981F92" w:rsidRDefault="00981F92" w:rsidP="007A7CE2">
      <w:pPr>
        <w:jc w:val="both"/>
        <w:rPr>
          <w:sz w:val="22"/>
          <w:szCs w:val="22"/>
        </w:rPr>
      </w:pPr>
    </w:p>
    <w:p w14:paraId="5CC69B00" w14:textId="637AC8CA" w:rsidR="0078202B" w:rsidRDefault="00981F92" w:rsidP="007A7CE2">
      <w:pPr>
        <w:jc w:val="both"/>
        <w:rPr>
          <w:sz w:val="22"/>
          <w:szCs w:val="22"/>
        </w:rPr>
      </w:pPr>
      <w:r>
        <w:rPr>
          <w:sz w:val="22"/>
          <w:szCs w:val="22"/>
        </w:rPr>
        <w:t>Esta última</w:t>
      </w:r>
      <w:r w:rsidR="0078202B">
        <w:rPr>
          <w:sz w:val="22"/>
          <w:szCs w:val="22"/>
        </w:rPr>
        <w:t xml:space="preserve"> cuestión que indica el TACP</w:t>
      </w:r>
      <w:r w:rsidR="00DA3269">
        <w:rPr>
          <w:sz w:val="22"/>
          <w:szCs w:val="22"/>
        </w:rPr>
        <w:t xml:space="preserve"> de Madrid</w:t>
      </w:r>
      <w:r w:rsidR="0078202B">
        <w:rPr>
          <w:sz w:val="22"/>
          <w:szCs w:val="22"/>
        </w:rPr>
        <w:t xml:space="preserve"> en su resolución </w:t>
      </w:r>
      <w:r>
        <w:rPr>
          <w:sz w:val="22"/>
          <w:szCs w:val="22"/>
        </w:rPr>
        <w:t xml:space="preserve">58/2023 </w:t>
      </w:r>
      <w:r w:rsidR="0078202B">
        <w:rPr>
          <w:sz w:val="22"/>
          <w:szCs w:val="22"/>
        </w:rPr>
        <w:t xml:space="preserve">no es baladí, pues </w:t>
      </w:r>
      <w:bookmarkStart w:id="2" w:name="_Hlk198575006"/>
      <w:r w:rsidR="0078202B">
        <w:rPr>
          <w:sz w:val="22"/>
          <w:szCs w:val="22"/>
        </w:rPr>
        <w:t>si acudimos nuevamente al apdo. 6.4 del PPT de la licitación, se especifica que la red de oficina</w:t>
      </w:r>
      <w:r w:rsidR="00DA3269">
        <w:rPr>
          <w:sz w:val="22"/>
          <w:szCs w:val="22"/>
        </w:rPr>
        <w:t xml:space="preserve">s, como obligación de la empresa adjudicataria, lo es a los efectos de que la ciudadanía, en caso de imposibilidad de entrega de notificaciones y certificados, </w:t>
      </w:r>
      <w:r w:rsidR="00DA3269" w:rsidRPr="00981F92">
        <w:rPr>
          <w:sz w:val="22"/>
          <w:szCs w:val="22"/>
          <w:u w:val="single"/>
        </w:rPr>
        <w:t>pueda acudir a la red de oficinas abiertas al público a recoger los envíos no entregados durante el plazo establecido</w:t>
      </w:r>
      <w:r w:rsidR="00DA3269">
        <w:rPr>
          <w:sz w:val="22"/>
          <w:szCs w:val="22"/>
        </w:rPr>
        <w:t xml:space="preserve">. Por tanto, se constituye como una obligación propia de </w:t>
      </w:r>
      <w:r w:rsidR="00DA3269" w:rsidRPr="00DA3269">
        <w:rPr>
          <w:sz w:val="22"/>
          <w:szCs w:val="22"/>
          <w:u w:val="single"/>
        </w:rPr>
        <w:t>la entrega y reparto</w:t>
      </w:r>
      <w:r w:rsidR="00DA3269">
        <w:rPr>
          <w:sz w:val="22"/>
          <w:szCs w:val="22"/>
        </w:rPr>
        <w:t xml:space="preserve"> a los destinatarios finales. </w:t>
      </w:r>
      <w:r w:rsidR="006F1531">
        <w:rPr>
          <w:sz w:val="22"/>
          <w:szCs w:val="22"/>
        </w:rPr>
        <w:t xml:space="preserve">Y en este aspecto resulta interesante consultar el </w:t>
      </w:r>
      <w:r w:rsidR="006F1531" w:rsidRPr="006F1531">
        <w:rPr>
          <w:sz w:val="22"/>
          <w:szCs w:val="22"/>
        </w:rPr>
        <w:t>Real Decreto 437/2024, de 30 de abril, por el que se aprueba el Reglamento de los servicios postales, en desarrollo de lo establecido por la Ley 43/2010, de 30 de diciembre, del servicio postal universal, de los derechos de los usuarios y del mercado postal</w:t>
      </w:r>
      <w:r w:rsidR="006F1531">
        <w:rPr>
          <w:sz w:val="22"/>
          <w:szCs w:val="22"/>
        </w:rPr>
        <w:t xml:space="preserve">. En </w:t>
      </w:r>
      <w:r w:rsidR="000B4A59">
        <w:rPr>
          <w:sz w:val="22"/>
          <w:szCs w:val="22"/>
        </w:rPr>
        <w:t>el</w:t>
      </w:r>
      <w:r w:rsidR="006F1531">
        <w:rPr>
          <w:sz w:val="22"/>
          <w:szCs w:val="22"/>
        </w:rPr>
        <w:t xml:space="preserve"> artículo 22</w:t>
      </w:r>
      <w:r w:rsidR="001F5CEE">
        <w:rPr>
          <w:sz w:val="22"/>
          <w:szCs w:val="22"/>
        </w:rPr>
        <w:t xml:space="preserve"> </w:t>
      </w:r>
      <w:r w:rsidR="000B4A59">
        <w:rPr>
          <w:sz w:val="22"/>
          <w:szCs w:val="22"/>
        </w:rPr>
        <w:t xml:space="preserve">se </w:t>
      </w:r>
      <w:r w:rsidR="001F5CEE">
        <w:rPr>
          <w:sz w:val="22"/>
          <w:szCs w:val="22"/>
        </w:rPr>
        <w:t>establece</w:t>
      </w:r>
      <w:r w:rsidR="000B4A59">
        <w:rPr>
          <w:sz w:val="22"/>
          <w:szCs w:val="22"/>
        </w:rPr>
        <w:t>n</w:t>
      </w:r>
      <w:r w:rsidR="001F5CEE">
        <w:rPr>
          <w:sz w:val="22"/>
          <w:szCs w:val="22"/>
        </w:rPr>
        <w:t xml:space="preserve"> las condiciones de entrega de los envíos en oficinas o dependencias postales:</w:t>
      </w:r>
    </w:p>
    <w:p w14:paraId="16FF2A07" w14:textId="77777777" w:rsidR="001F5CEE" w:rsidRDefault="001F5CEE" w:rsidP="007A7CE2">
      <w:pPr>
        <w:jc w:val="both"/>
        <w:rPr>
          <w:sz w:val="22"/>
          <w:szCs w:val="22"/>
        </w:rPr>
      </w:pPr>
    </w:p>
    <w:p w14:paraId="401CE908" w14:textId="75EDFDA7" w:rsidR="001F5CEE" w:rsidRPr="001F5CEE" w:rsidRDefault="00343DB5" w:rsidP="001F5CEE">
      <w:pPr>
        <w:ind w:left="708"/>
        <w:jc w:val="both"/>
        <w:rPr>
          <w:i/>
          <w:iCs/>
          <w:sz w:val="22"/>
          <w:szCs w:val="22"/>
        </w:rPr>
      </w:pPr>
      <w:r>
        <w:rPr>
          <w:i/>
          <w:iCs/>
          <w:sz w:val="22"/>
          <w:szCs w:val="22"/>
        </w:rPr>
        <w:t>“</w:t>
      </w:r>
      <w:r w:rsidR="001F5CEE" w:rsidRPr="001F5CEE">
        <w:rPr>
          <w:i/>
          <w:iCs/>
          <w:sz w:val="22"/>
          <w:szCs w:val="22"/>
        </w:rPr>
        <w:t>Se entregarán en oficina, en dependencias propias o en las designadas por los operadores postales,</w:t>
      </w:r>
      <w:r w:rsidR="001F5CEE">
        <w:rPr>
          <w:i/>
          <w:iCs/>
          <w:sz w:val="22"/>
          <w:szCs w:val="22"/>
        </w:rPr>
        <w:t xml:space="preserve"> </w:t>
      </w:r>
      <w:r w:rsidR="001F5CEE" w:rsidRPr="001F5CEE">
        <w:rPr>
          <w:i/>
          <w:iCs/>
          <w:sz w:val="22"/>
          <w:szCs w:val="22"/>
        </w:rPr>
        <w:t>los envíos que, por ausencia, u otra causa justificada, no se hubieran podido entregar en la dirección postal indicada en el envío o a persona autorizada, en cuyo caso, se procederá a dejar al destinatario un aviso de llegada en el correspondiente casillero en el que deberá constar, además del remitente del envío, la dirección de la oficina o de la dependencia propia o designada por los operadores postales, horario y el plazo de permanencia en la misma para su retirada</w:t>
      </w:r>
      <w:r>
        <w:rPr>
          <w:i/>
          <w:iCs/>
          <w:sz w:val="22"/>
          <w:szCs w:val="22"/>
        </w:rPr>
        <w:t>.”</w:t>
      </w:r>
    </w:p>
    <w:p w14:paraId="0A9DBF98" w14:textId="77777777" w:rsidR="007A7CE2" w:rsidRDefault="007A7CE2" w:rsidP="007A7CE2">
      <w:pPr>
        <w:jc w:val="both"/>
        <w:rPr>
          <w:sz w:val="22"/>
          <w:szCs w:val="22"/>
        </w:rPr>
      </w:pPr>
    </w:p>
    <w:p w14:paraId="727E811B" w14:textId="2287B45D" w:rsidR="001F5CEE" w:rsidRDefault="001F5CEE" w:rsidP="00F7050C">
      <w:pPr>
        <w:jc w:val="both"/>
        <w:rPr>
          <w:sz w:val="22"/>
          <w:szCs w:val="22"/>
        </w:rPr>
      </w:pPr>
      <w:r>
        <w:rPr>
          <w:sz w:val="22"/>
          <w:szCs w:val="22"/>
        </w:rPr>
        <w:t>De la lectura de la disposición reglamentaria</w:t>
      </w:r>
      <w:r w:rsidR="000B4A59">
        <w:rPr>
          <w:sz w:val="22"/>
          <w:szCs w:val="22"/>
        </w:rPr>
        <w:t xml:space="preserve"> ut supra</w:t>
      </w:r>
      <w:r>
        <w:rPr>
          <w:sz w:val="22"/>
          <w:szCs w:val="22"/>
        </w:rPr>
        <w:t xml:space="preserve"> se puede comprobar que prevé que la oficina o dependencia a donde recoger el envío sea </w:t>
      </w:r>
      <w:r w:rsidRPr="001F5CEE">
        <w:rPr>
          <w:sz w:val="22"/>
          <w:szCs w:val="22"/>
          <w:u w:val="single"/>
        </w:rPr>
        <w:t>propia o designada</w:t>
      </w:r>
      <w:r>
        <w:rPr>
          <w:sz w:val="22"/>
          <w:szCs w:val="22"/>
        </w:rPr>
        <w:t xml:space="preserve"> por el operador postal.</w:t>
      </w:r>
      <w:r w:rsidR="00F7050C">
        <w:rPr>
          <w:sz w:val="22"/>
          <w:szCs w:val="22"/>
        </w:rPr>
        <w:t xml:space="preserve"> En este punto es interesante referirnos a la </w:t>
      </w:r>
      <w:r w:rsidR="00F7050C" w:rsidRPr="00F7050C">
        <w:rPr>
          <w:b/>
          <w:bCs/>
          <w:sz w:val="22"/>
          <w:szCs w:val="22"/>
        </w:rPr>
        <w:t>Sentencia de la Audiencia Nacional, Sección 4ª, Sentencia 230/2016 de 25 May. 2016, Rec. 622/2014</w:t>
      </w:r>
      <w:r w:rsidR="00171012">
        <w:rPr>
          <w:sz w:val="22"/>
          <w:szCs w:val="22"/>
        </w:rPr>
        <w:t>. Conviene reproducir</w:t>
      </w:r>
      <w:r w:rsidR="006901E2">
        <w:rPr>
          <w:sz w:val="22"/>
          <w:szCs w:val="22"/>
        </w:rPr>
        <w:t xml:space="preserve"> parte del F</w:t>
      </w:r>
      <w:r w:rsidR="000B4A59">
        <w:rPr>
          <w:sz w:val="22"/>
          <w:szCs w:val="22"/>
        </w:rPr>
        <w:t>.</w:t>
      </w:r>
      <w:r w:rsidR="006901E2">
        <w:rPr>
          <w:sz w:val="22"/>
          <w:szCs w:val="22"/>
        </w:rPr>
        <w:t>J</w:t>
      </w:r>
      <w:r w:rsidR="000B4A59">
        <w:rPr>
          <w:sz w:val="22"/>
          <w:szCs w:val="22"/>
        </w:rPr>
        <w:t>.</w:t>
      </w:r>
      <w:r w:rsidR="006901E2">
        <w:rPr>
          <w:sz w:val="22"/>
          <w:szCs w:val="22"/>
        </w:rPr>
        <w:t xml:space="preserve"> 5º</w:t>
      </w:r>
      <w:r w:rsidR="00171012">
        <w:rPr>
          <w:sz w:val="22"/>
          <w:szCs w:val="22"/>
        </w:rPr>
        <w:t xml:space="preserve"> por su claridad</w:t>
      </w:r>
      <w:r w:rsidR="006901E2">
        <w:rPr>
          <w:sz w:val="22"/>
          <w:szCs w:val="22"/>
        </w:rPr>
        <w:t>:</w:t>
      </w:r>
    </w:p>
    <w:p w14:paraId="13EF6C97" w14:textId="77777777" w:rsidR="00171012" w:rsidRDefault="00171012" w:rsidP="00F7050C">
      <w:pPr>
        <w:jc w:val="both"/>
        <w:rPr>
          <w:sz w:val="22"/>
          <w:szCs w:val="22"/>
        </w:rPr>
      </w:pPr>
    </w:p>
    <w:p w14:paraId="365D992D" w14:textId="77777777" w:rsidR="00171012" w:rsidRDefault="00171012" w:rsidP="00F7050C">
      <w:pPr>
        <w:jc w:val="both"/>
        <w:rPr>
          <w:sz w:val="22"/>
          <w:szCs w:val="22"/>
        </w:rPr>
      </w:pPr>
    </w:p>
    <w:p w14:paraId="5DE3F558" w14:textId="25910E57" w:rsidR="00171012" w:rsidRPr="00171012" w:rsidRDefault="00171012" w:rsidP="00171012">
      <w:pPr>
        <w:ind w:left="708"/>
        <w:jc w:val="both"/>
        <w:rPr>
          <w:i/>
          <w:iCs/>
          <w:sz w:val="22"/>
          <w:szCs w:val="22"/>
        </w:rPr>
      </w:pPr>
      <w:r>
        <w:rPr>
          <w:b/>
          <w:bCs/>
          <w:i/>
          <w:iCs/>
          <w:sz w:val="22"/>
          <w:szCs w:val="22"/>
        </w:rPr>
        <w:t>“</w:t>
      </w:r>
      <w:r w:rsidRPr="00171012">
        <w:rPr>
          <w:b/>
          <w:bCs/>
          <w:i/>
          <w:iCs/>
          <w:sz w:val="22"/>
          <w:szCs w:val="22"/>
        </w:rPr>
        <w:t xml:space="preserve">QUINTO. - </w:t>
      </w:r>
      <w:r w:rsidRPr="00171012">
        <w:rPr>
          <w:i/>
          <w:iCs/>
          <w:sz w:val="22"/>
          <w:szCs w:val="22"/>
        </w:rPr>
        <w:t>El tercero de los elementos que inciden en la valoración de las ofertas y que la demandante considera que constituye una barrera a la concurrencia de operadores distintos a Correos, es la valoración de la Red de Oficinas. Sirviéndose de lo expuesto por la CNMC en su informe, se razona a tal efecto que como Correos es quien gestiona la red postal pública y, consecuentemente, quien dispone de la mayor red de oficinas abiertas al público, con más volumen y dispersión territorial, la valoración de la Red de Oficinas favorece claramente a Correos de manera insalvable para el resto de posibles ofertantes. En este caso el razonamiento del demandante sí se dirige contra el criterio de valoración establecido en los pliegos por más que -ningún inconveniente hay para ello- su argumentación se refuerce con la concreta puntuación obtenida por Correos en aplicación del criterio cuestionado.</w:t>
      </w:r>
    </w:p>
    <w:p w14:paraId="43BF6484" w14:textId="4999D75A" w:rsidR="00171012" w:rsidRPr="00171012" w:rsidRDefault="00171012" w:rsidP="00171012">
      <w:pPr>
        <w:ind w:left="708"/>
        <w:jc w:val="both"/>
        <w:rPr>
          <w:i/>
          <w:iCs/>
          <w:sz w:val="22"/>
          <w:szCs w:val="22"/>
        </w:rPr>
      </w:pPr>
      <w:r w:rsidRPr="00171012">
        <w:rPr>
          <w:i/>
          <w:iCs/>
          <w:sz w:val="22"/>
          <w:szCs w:val="22"/>
        </w:rPr>
        <w:t>Ahora bien, la argumentación de la demandante orilla que, tal como recuerda el Abogado del Estado, el art. 45 de la Ley 43/2010 garantiza el acceso de todos los operadores postales a la red postal, respecto de los servicios a que se refiere la autorización administrativa singular de que sean titulares.</w:t>
      </w:r>
    </w:p>
    <w:p w14:paraId="25A37A73" w14:textId="53042100" w:rsidR="00F7050C" w:rsidRDefault="00171012" w:rsidP="00171012">
      <w:pPr>
        <w:ind w:left="708"/>
        <w:jc w:val="both"/>
        <w:rPr>
          <w:sz w:val="22"/>
          <w:szCs w:val="22"/>
        </w:rPr>
      </w:pPr>
      <w:r w:rsidRPr="00171012">
        <w:rPr>
          <w:i/>
          <w:iCs/>
          <w:sz w:val="22"/>
          <w:szCs w:val="22"/>
        </w:rPr>
        <w:t xml:space="preserve">Los pliegos impugnados no exigen que la red postal de la que se prende servir el licitador para la prestación del servicio sea una red propia, de modo que podrá hacerlo a través de la red postal -cuyo coste soporta Correos- a la que tienen acceso mediante la suscripción del contrato tipo de acceso a la red postal que aprueba la Comisión Nacional del Sector Postal (hoy sustituida por la CNMC) - art. 45.2 de la Ley 43/2010 - o mediante la negociación de condiciones distintas, respetuosas, eso </w:t>
      </w:r>
      <w:proofErr w:type="spellStart"/>
      <w:r w:rsidRPr="00171012">
        <w:rPr>
          <w:i/>
          <w:iCs/>
          <w:sz w:val="22"/>
          <w:szCs w:val="22"/>
        </w:rPr>
        <w:t>s</w:t>
      </w:r>
      <w:proofErr w:type="spellEnd"/>
      <w:r w:rsidRPr="00171012">
        <w:rPr>
          <w:i/>
          <w:iCs/>
          <w:sz w:val="22"/>
          <w:szCs w:val="22"/>
        </w:rPr>
        <w:t xml:space="preserve">, con la garantía de calidad de  servicio a que se refiere el art. 45.3 de la indicada Ley. </w:t>
      </w:r>
    </w:p>
    <w:p w14:paraId="2CCE75EA" w14:textId="77777777" w:rsidR="00F7050C" w:rsidRDefault="00F7050C" w:rsidP="00F7050C">
      <w:pPr>
        <w:jc w:val="both"/>
        <w:rPr>
          <w:sz w:val="22"/>
          <w:szCs w:val="22"/>
        </w:rPr>
      </w:pPr>
    </w:p>
    <w:p w14:paraId="278A9061" w14:textId="77777777" w:rsidR="00F7050C" w:rsidRDefault="00F7050C" w:rsidP="00F7050C">
      <w:pPr>
        <w:jc w:val="both"/>
        <w:rPr>
          <w:sz w:val="22"/>
          <w:szCs w:val="22"/>
        </w:rPr>
      </w:pPr>
    </w:p>
    <w:p w14:paraId="44BEEE42" w14:textId="311671CD" w:rsidR="00F7050C" w:rsidRPr="000B4A59" w:rsidRDefault="000B4A59" w:rsidP="00F7050C">
      <w:pPr>
        <w:jc w:val="both"/>
        <w:rPr>
          <w:sz w:val="22"/>
          <w:szCs w:val="22"/>
          <w:u w:val="single"/>
        </w:rPr>
      </w:pPr>
      <w:r>
        <w:rPr>
          <w:sz w:val="22"/>
          <w:szCs w:val="22"/>
        </w:rPr>
        <w:t xml:space="preserve">De su lectura </w:t>
      </w:r>
      <w:r w:rsidR="00171012">
        <w:rPr>
          <w:sz w:val="22"/>
          <w:szCs w:val="22"/>
        </w:rPr>
        <w:t>se aprecia</w:t>
      </w:r>
      <w:r>
        <w:rPr>
          <w:sz w:val="22"/>
          <w:szCs w:val="22"/>
        </w:rPr>
        <w:t xml:space="preserve"> que</w:t>
      </w:r>
      <w:r w:rsidR="00171012">
        <w:rPr>
          <w:sz w:val="22"/>
          <w:szCs w:val="22"/>
        </w:rPr>
        <w:t xml:space="preserve"> </w:t>
      </w:r>
      <w:r w:rsidR="00884D0E">
        <w:rPr>
          <w:sz w:val="22"/>
          <w:szCs w:val="22"/>
        </w:rPr>
        <w:t xml:space="preserve">el recurrente era un operador postal que </w:t>
      </w:r>
      <w:r>
        <w:rPr>
          <w:sz w:val="22"/>
          <w:szCs w:val="22"/>
        </w:rPr>
        <w:t>recurría</w:t>
      </w:r>
      <w:r w:rsidR="00884D0E">
        <w:rPr>
          <w:sz w:val="22"/>
          <w:szCs w:val="22"/>
        </w:rPr>
        <w:t xml:space="preserve"> contra un criterio de valoración referido a la red de oficinas, por considerarlo discriminatorio al tener que comparar</w:t>
      </w:r>
      <w:r w:rsidR="006901E2">
        <w:rPr>
          <w:sz w:val="22"/>
          <w:szCs w:val="22"/>
        </w:rPr>
        <w:t xml:space="preserve"> los medios de</w:t>
      </w:r>
      <w:r w:rsidR="00884D0E">
        <w:rPr>
          <w:sz w:val="22"/>
          <w:szCs w:val="22"/>
        </w:rPr>
        <w:t xml:space="preserve"> los operadores privados con la red de oficinas de Correos, y el tribunal desestima el motivo impugnatorio, con base en el art. 45 de la Ley 43/2010, </w:t>
      </w:r>
      <w:r w:rsidRPr="000B4A59">
        <w:rPr>
          <w:sz w:val="22"/>
          <w:szCs w:val="22"/>
          <w:u w:val="single"/>
        </w:rPr>
        <w:t>porque</w:t>
      </w:r>
      <w:r w:rsidR="00884D0E" w:rsidRPr="000B4A59">
        <w:rPr>
          <w:sz w:val="22"/>
          <w:szCs w:val="22"/>
          <w:u w:val="single"/>
        </w:rPr>
        <w:t xml:space="preserve"> la ley garantiza el acceso a la red postal a los operadores privados, teniendo además en cuenta que los pliegos no exigen que la red de oficinas sea propia.</w:t>
      </w:r>
    </w:p>
    <w:bookmarkEnd w:id="2"/>
    <w:p w14:paraId="52CE68C2" w14:textId="77777777" w:rsidR="001F5CEE" w:rsidRDefault="001F5CEE" w:rsidP="007A7CE2">
      <w:pPr>
        <w:jc w:val="both"/>
        <w:rPr>
          <w:sz w:val="22"/>
          <w:szCs w:val="22"/>
        </w:rPr>
      </w:pPr>
    </w:p>
    <w:p w14:paraId="11E4728A" w14:textId="5685E43B" w:rsidR="004A2DB5" w:rsidRDefault="006901E2" w:rsidP="007A7CE2">
      <w:pPr>
        <w:jc w:val="both"/>
        <w:rPr>
          <w:sz w:val="22"/>
          <w:szCs w:val="22"/>
        </w:rPr>
      </w:pPr>
      <w:r>
        <w:rPr>
          <w:sz w:val="22"/>
          <w:szCs w:val="22"/>
        </w:rPr>
        <w:t xml:space="preserve">El </w:t>
      </w:r>
      <w:r w:rsidR="000B4A59">
        <w:rPr>
          <w:sz w:val="22"/>
          <w:szCs w:val="22"/>
        </w:rPr>
        <w:t>órgano de contratación</w:t>
      </w:r>
      <w:r w:rsidR="00804EA3">
        <w:rPr>
          <w:sz w:val="22"/>
          <w:szCs w:val="22"/>
        </w:rPr>
        <w:t xml:space="preserve"> también </w:t>
      </w:r>
      <w:r>
        <w:rPr>
          <w:sz w:val="22"/>
          <w:szCs w:val="22"/>
        </w:rPr>
        <w:t>señala</w:t>
      </w:r>
      <w:r w:rsidR="00804EA3">
        <w:rPr>
          <w:sz w:val="22"/>
          <w:szCs w:val="22"/>
        </w:rPr>
        <w:t xml:space="preserve"> resoluciones de tribunales administrativos y judiciales que avalan </w:t>
      </w:r>
      <w:r w:rsidR="000B4A59">
        <w:rPr>
          <w:sz w:val="22"/>
          <w:szCs w:val="22"/>
        </w:rPr>
        <w:t>el acto impugnado</w:t>
      </w:r>
      <w:r w:rsidR="00804EA3">
        <w:rPr>
          <w:sz w:val="22"/>
          <w:szCs w:val="22"/>
        </w:rPr>
        <w:t xml:space="preserve"> frente al REMC. </w:t>
      </w:r>
      <w:r w:rsidR="00D36E63" w:rsidRPr="006901E2">
        <w:rPr>
          <w:sz w:val="22"/>
          <w:szCs w:val="22"/>
        </w:rPr>
        <w:t>La Resolución 130/201</w:t>
      </w:r>
      <w:r w:rsidR="004A2DB5" w:rsidRPr="006901E2">
        <w:rPr>
          <w:sz w:val="22"/>
          <w:szCs w:val="22"/>
        </w:rPr>
        <w:t>3</w:t>
      </w:r>
      <w:r w:rsidR="00D36E63" w:rsidRPr="006901E2">
        <w:rPr>
          <w:sz w:val="22"/>
          <w:szCs w:val="22"/>
        </w:rPr>
        <w:t>, de 26 de diciembre, del Órgano Administrativo de Recursos Contractuales de la Comunidad Autónoma de Euskadi</w:t>
      </w:r>
      <w:r w:rsidR="00D36E63">
        <w:rPr>
          <w:sz w:val="22"/>
          <w:szCs w:val="22"/>
        </w:rPr>
        <w:t xml:space="preserve"> analizó un recurso de similares características, aunque en aquel caso era Correos la adjudicataria. La recurrente reprochaba al órgano de contratación que no le hubiera puntuado en aquellos criterios que tuvieran relación con el contrato de acceso a la red postal universal porque no consideró que fuera un medio para acreditar como propios los medios materiales de Correos. </w:t>
      </w:r>
      <w:r w:rsidR="002F52CC">
        <w:rPr>
          <w:sz w:val="22"/>
          <w:szCs w:val="22"/>
        </w:rPr>
        <w:t xml:space="preserve">El OARC se apoya en el Título V de la Ley que regula el servicio postal universal, </w:t>
      </w:r>
      <w:r w:rsidR="00753F9A">
        <w:rPr>
          <w:sz w:val="22"/>
          <w:szCs w:val="22"/>
        </w:rPr>
        <w:t>el art. 3.12 de esta ley</w:t>
      </w:r>
      <w:r w:rsidR="000B4A59">
        <w:rPr>
          <w:sz w:val="22"/>
          <w:szCs w:val="22"/>
        </w:rPr>
        <w:t xml:space="preserve"> y</w:t>
      </w:r>
      <w:r w:rsidR="00753F9A">
        <w:rPr>
          <w:sz w:val="22"/>
          <w:szCs w:val="22"/>
        </w:rPr>
        <w:t xml:space="preserve"> el art. 3.2 del Real Decreto 1298/2006, de 10 de noviembre</w:t>
      </w:r>
      <w:r w:rsidR="000B4A59">
        <w:rPr>
          <w:sz w:val="22"/>
          <w:szCs w:val="22"/>
        </w:rPr>
        <w:t>,</w:t>
      </w:r>
      <w:r w:rsidR="00753F9A">
        <w:rPr>
          <w:sz w:val="22"/>
          <w:szCs w:val="22"/>
        </w:rPr>
        <w:t xml:space="preserve"> para concluir, según F.J. </w:t>
      </w:r>
      <w:r w:rsidR="00753F9A">
        <w:rPr>
          <w:sz w:val="22"/>
          <w:szCs w:val="22"/>
        </w:rPr>
        <w:lastRenderedPageBreak/>
        <w:t xml:space="preserve">13º, que el recurso debía ser estimado en lo que a dos de los criterios de adjudicación se refiere porque </w:t>
      </w:r>
      <w:r w:rsidR="00753F9A" w:rsidRPr="000B4A59">
        <w:rPr>
          <w:sz w:val="22"/>
          <w:szCs w:val="22"/>
          <w:u w:val="single"/>
        </w:rPr>
        <w:t>a través del contrato de acceso a la red postal el operador postal tiene el mismo grado de cobertura que las propias filiales de Correos</w:t>
      </w:r>
      <w:r w:rsidR="00753F9A">
        <w:rPr>
          <w:sz w:val="22"/>
          <w:szCs w:val="22"/>
        </w:rPr>
        <w:t>.</w:t>
      </w:r>
      <w:r w:rsidR="00627944">
        <w:rPr>
          <w:sz w:val="22"/>
          <w:szCs w:val="22"/>
        </w:rPr>
        <w:t xml:space="preserve"> </w:t>
      </w:r>
    </w:p>
    <w:p w14:paraId="2C9F57F1" w14:textId="77777777" w:rsidR="004A2DB5" w:rsidRDefault="004A2DB5" w:rsidP="007A7CE2">
      <w:pPr>
        <w:jc w:val="both"/>
        <w:rPr>
          <w:sz w:val="22"/>
          <w:szCs w:val="22"/>
        </w:rPr>
      </w:pPr>
    </w:p>
    <w:p w14:paraId="54856550" w14:textId="1E514290" w:rsidR="004A2DB5" w:rsidRDefault="004A2DB5" w:rsidP="004A2DB5">
      <w:pPr>
        <w:jc w:val="both"/>
        <w:rPr>
          <w:sz w:val="22"/>
          <w:szCs w:val="22"/>
        </w:rPr>
      </w:pPr>
      <w:r>
        <w:rPr>
          <w:sz w:val="22"/>
          <w:szCs w:val="22"/>
        </w:rPr>
        <w:t>También resulta de interés revisar los fundamentos de la resolución de la CNMC de 27 de mayo de 2021, alegada por el órgano de contratación, sobre el conflicto de acceso a determinadas infraestructuras y servicios de la red postal interpuesto por RD post frente al operador universal designado (Correos SA). En su apartado 3º se recoge el marco regulatorio, se reproduce la definición que hace la Ley de la red postal, y el derecho de acceso de los operadores a la red postal y otras infraestructuras (art. 45 y 47 de la Ley 43/2010) que constituye una obligación para el operador designado por el Estado para prestar el servicio postal universal, obligación que proviene de la Directiva 97/67/</w:t>
      </w:r>
      <w:r w:rsidR="00305823">
        <w:rPr>
          <w:sz w:val="22"/>
          <w:szCs w:val="22"/>
        </w:rPr>
        <w:t>CE, de</w:t>
      </w:r>
      <w:r>
        <w:rPr>
          <w:sz w:val="22"/>
          <w:szCs w:val="22"/>
        </w:rPr>
        <w:t xml:space="preserve"> 15 de diciembre. La consecuencia que se extrae es que los titulares de una autorización singular tienen garantizado el acceso a la red postal pública y demás infraestructuras y servicios necesarios. La CNMC se apoya en jurisprudencia del Tribunal Supremo, en concreto la STS 1548/2018, de la Sala 3ª, en recurso de casación 3166/2015, que a su vez alude a una sentencia anterior, la STS de 3 de junio de 2008, rec. 83/2006. Estas sentencias expresan la importancia de los principios que inspiran el proceso liberalizador del sector, para evitar posiciones de dominio y la desigualdad de trato con las empresas filiales de Correos. En el mismo sentido, la CNMC acude a la STS 2470/2008, de 3 de junio, rec. 79/2006 para manifestar que Correos SA debe favorecer el acceso, en sentido amplio, a la red postal, tanto a operadores con autorización singular como a operadores con autorización general. </w:t>
      </w:r>
    </w:p>
    <w:p w14:paraId="52D51B4E" w14:textId="77777777" w:rsidR="004A2DB5" w:rsidRDefault="004A2DB5" w:rsidP="007A7CE2">
      <w:pPr>
        <w:jc w:val="both"/>
        <w:rPr>
          <w:sz w:val="22"/>
          <w:szCs w:val="22"/>
        </w:rPr>
      </w:pPr>
    </w:p>
    <w:p w14:paraId="5CC85E8E" w14:textId="5E9F239C" w:rsidR="00362A27" w:rsidRDefault="00627944" w:rsidP="006901E2">
      <w:pPr>
        <w:jc w:val="both"/>
        <w:rPr>
          <w:sz w:val="22"/>
          <w:szCs w:val="22"/>
        </w:rPr>
      </w:pPr>
      <w:r>
        <w:rPr>
          <w:sz w:val="22"/>
          <w:szCs w:val="22"/>
        </w:rPr>
        <w:t xml:space="preserve">En la </w:t>
      </w:r>
      <w:r w:rsidRPr="00804EA3">
        <w:rPr>
          <w:sz w:val="22"/>
          <w:szCs w:val="22"/>
        </w:rPr>
        <w:t>sentencia 612/2021, de siete de diciembre</w:t>
      </w:r>
      <w:r>
        <w:rPr>
          <w:sz w:val="22"/>
          <w:szCs w:val="22"/>
        </w:rPr>
        <w:t>, e</w:t>
      </w:r>
      <w:r w:rsidR="00804EA3" w:rsidRPr="00804EA3">
        <w:rPr>
          <w:sz w:val="22"/>
          <w:szCs w:val="22"/>
        </w:rPr>
        <w:t>l Juzgado de lo Contencioso-Administrativo número 2 de Vitoria-</w:t>
      </w:r>
      <w:r w:rsidR="00564C50" w:rsidRPr="00804EA3">
        <w:rPr>
          <w:sz w:val="22"/>
          <w:szCs w:val="22"/>
        </w:rPr>
        <w:t>Gasteiz,</w:t>
      </w:r>
      <w:r w:rsidR="00804EA3" w:rsidRPr="00804EA3">
        <w:rPr>
          <w:sz w:val="22"/>
          <w:szCs w:val="22"/>
        </w:rPr>
        <w:t xml:space="preserve"> en los autos de procedimiento ordinario 32/2020</w:t>
      </w:r>
      <w:r w:rsidR="00804EA3">
        <w:rPr>
          <w:sz w:val="22"/>
          <w:szCs w:val="22"/>
        </w:rPr>
        <w:t xml:space="preserve">, </w:t>
      </w:r>
      <w:r>
        <w:rPr>
          <w:sz w:val="22"/>
          <w:szCs w:val="22"/>
        </w:rPr>
        <w:t>reproduce el criterio del OARC</w:t>
      </w:r>
      <w:r w:rsidR="000B4A59">
        <w:rPr>
          <w:sz w:val="22"/>
          <w:szCs w:val="22"/>
        </w:rPr>
        <w:t xml:space="preserve"> de Euskadi</w:t>
      </w:r>
      <w:r w:rsidR="004A2DB5">
        <w:rPr>
          <w:sz w:val="22"/>
          <w:szCs w:val="22"/>
        </w:rPr>
        <w:t xml:space="preserve"> en su resolución 130/2013</w:t>
      </w:r>
      <w:r w:rsidR="006E1AA5">
        <w:rPr>
          <w:sz w:val="22"/>
          <w:szCs w:val="22"/>
        </w:rPr>
        <w:t xml:space="preserve">, </w:t>
      </w:r>
      <w:r w:rsidR="004A2DB5">
        <w:rPr>
          <w:sz w:val="22"/>
          <w:szCs w:val="22"/>
        </w:rPr>
        <w:t xml:space="preserve">y </w:t>
      </w:r>
      <w:r w:rsidR="006E1AA5">
        <w:rPr>
          <w:sz w:val="22"/>
          <w:szCs w:val="22"/>
        </w:rPr>
        <w:t xml:space="preserve">fundamenta su decisión en los pronunciamientos del Tribunal Supremo contenidos en la STS de 3 de junio de 2008, rec. 79/2006 para finalmente </w:t>
      </w:r>
      <w:r w:rsidR="004A2DB5">
        <w:rPr>
          <w:sz w:val="22"/>
          <w:szCs w:val="22"/>
        </w:rPr>
        <w:t>concluir</w:t>
      </w:r>
      <w:r w:rsidR="006E1AA5">
        <w:rPr>
          <w:sz w:val="22"/>
          <w:szCs w:val="22"/>
        </w:rPr>
        <w:t xml:space="preserve"> que</w:t>
      </w:r>
      <w:r w:rsidR="00564C50">
        <w:rPr>
          <w:sz w:val="22"/>
          <w:szCs w:val="22"/>
        </w:rPr>
        <w:t xml:space="preserve"> el acceso a la red postal por el operador postal con una autorización administrativa singular</w:t>
      </w:r>
      <w:r w:rsidR="004A2DB5">
        <w:rPr>
          <w:sz w:val="22"/>
          <w:szCs w:val="22"/>
        </w:rPr>
        <w:t>—como es el caso de la UTE—conlleva el cumplimiento de la adscripción de las oficinas del operador universal designado</w:t>
      </w:r>
      <w:r w:rsidR="00564C50">
        <w:rPr>
          <w:sz w:val="22"/>
          <w:szCs w:val="22"/>
        </w:rPr>
        <w:t xml:space="preserve">. Hay que hacer constar que esta </w:t>
      </w:r>
      <w:r w:rsidR="009E1531">
        <w:rPr>
          <w:sz w:val="22"/>
          <w:szCs w:val="22"/>
        </w:rPr>
        <w:t>sentencia fue</w:t>
      </w:r>
      <w:r w:rsidR="00804EA3">
        <w:rPr>
          <w:sz w:val="22"/>
          <w:szCs w:val="22"/>
        </w:rPr>
        <w:t xml:space="preserve"> confirmada por </w:t>
      </w:r>
      <w:r w:rsidR="00804EA3" w:rsidRPr="00C40A5B">
        <w:rPr>
          <w:b/>
          <w:bCs/>
          <w:sz w:val="22"/>
          <w:szCs w:val="22"/>
        </w:rPr>
        <w:t xml:space="preserve">Sentencia </w:t>
      </w:r>
      <w:r w:rsidR="00C40A5B" w:rsidRPr="00C40A5B">
        <w:rPr>
          <w:b/>
          <w:bCs/>
          <w:sz w:val="22"/>
          <w:szCs w:val="22"/>
        </w:rPr>
        <w:t xml:space="preserve">dictada </w:t>
      </w:r>
      <w:r w:rsidR="00804EA3" w:rsidRPr="00C40A5B">
        <w:rPr>
          <w:b/>
          <w:bCs/>
          <w:sz w:val="22"/>
          <w:szCs w:val="22"/>
        </w:rPr>
        <w:t>por</w:t>
      </w:r>
      <w:r w:rsidR="00804EA3">
        <w:rPr>
          <w:sz w:val="22"/>
          <w:szCs w:val="22"/>
        </w:rPr>
        <w:t xml:space="preserve"> </w:t>
      </w:r>
      <w:r w:rsidR="00804EA3" w:rsidRPr="004A2DB5">
        <w:rPr>
          <w:b/>
          <w:bCs/>
          <w:sz w:val="22"/>
          <w:szCs w:val="22"/>
        </w:rPr>
        <w:t>la Sala de lo Contencioso-administrativo del Tribunal Superior de Justicia del País Vasco el 23 de febrero de 2023</w:t>
      </w:r>
      <w:r w:rsidR="00C40A5B" w:rsidRPr="00C40A5B">
        <w:rPr>
          <w:b/>
          <w:bCs/>
          <w:sz w:val="22"/>
          <w:szCs w:val="22"/>
        </w:rPr>
        <w:t xml:space="preserve"> en el recurso de apelación 211/2022</w:t>
      </w:r>
      <w:r w:rsidR="005F67C7" w:rsidRPr="004A2DB5">
        <w:rPr>
          <w:b/>
          <w:bCs/>
          <w:sz w:val="22"/>
          <w:szCs w:val="22"/>
        </w:rPr>
        <w:t>.</w:t>
      </w:r>
      <w:r w:rsidR="00753F9A">
        <w:rPr>
          <w:sz w:val="22"/>
          <w:szCs w:val="22"/>
        </w:rPr>
        <w:t xml:space="preserve"> </w:t>
      </w:r>
      <w:r w:rsidR="009E1531">
        <w:rPr>
          <w:sz w:val="22"/>
          <w:szCs w:val="22"/>
        </w:rPr>
        <w:t xml:space="preserve">En concreto en su F.D. 9º, en el que se recoge que </w:t>
      </w:r>
      <w:proofErr w:type="spellStart"/>
      <w:r w:rsidR="009E1531" w:rsidRPr="009E1531">
        <w:rPr>
          <w:i/>
          <w:iCs/>
          <w:sz w:val="22"/>
          <w:szCs w:val="22"/>
        </w:rPr>
        <w:t>Akropost</w:t>
      </w:r>
      <w:proofErr w:type="spellEnd"/>
      <w:r w:rsidR="009E1531" w:rsidRPr="009E1531">
        <w:rPr>
          <w:i/>
          <w:iCs/>
          <w:sz w:val="22"/>
          <w:szCs w:val="22"/>
        </w:rPr>
        <w:t xml:space="preserve"> manifestó, expresamente, que la correspondencia con destino fuera de la comunidad autónoma se gestionaría a través de la red postal estatal</w:t>
      </w:r>
      <w:r w:rsidR="009E1531" w:rsidRPr="009E1531">
        <w:rPr>
          <w:sz w:val="22"/>
          <w:szCs w:val="22"/>
        </w:rPr>
        <w:t>.</w:t>
      </w:r>
      <w:r w:rsidR="009E1531">
        <w:rPr>
          <w:sz w:val="22"/>
          <w:szCs w:val="22"/>
        </w:rPr>
        <w:t xml:space="preserve"> A lo anterior añade el TSJPV que no advierte error </w:t>
      </w:r>
      <w:r w:rsidR="009E1531" w:rsidRPr="009E1531">
        <w:rPr>
          <w:sz w:val="22"/>
          <w:szCs w:val="22"/>
        </w:rPr>
        <w:t>en las consideraciones efectuadas por el</w:t>
      </w:r>
      <w:r w:rsidR="009E1531">
        <w:rPr>
          <w:sz w:val="22"/>
          <w:szCs w:val="22"/>
        </w:rPr>
        <w:t xml:space="preserve"> </w:t>
      </w:r>
      <w:r w:rsidR="009E1531" w:rsidRPr="009E1531">
        <w:rPr>
          <w:sz w:val="22"/>
          <w:szCs w:val="22"/>
        </w:rPr>
        <w:t>magistrado de instancia</w:t>
      </w:r>
      <w:r w:rsidR="009E1531">
        <w:rPr>
          <w:sz w:val="22"/>
          <w:szCs w:val="22"/>
        </w:rPr>
        <w:t xml:space="preserve"> ni en</w:t>
      </w:r>
      <w:r w:rsidR="009E1531" w:rsidRPr="009E1531">
        <w:rPr>
          <w:sz w:val="22"/>
          <w:szCs w:val="22"/>
        </w:rPr>
        <w:t xml:space="preserve"> la aplicación de la jurisprudencia </w:t>
      </w:r>
      <w:r w:rsidR="009E1531">
        <w:rPr>
          <w:sz w:val="22"/>
          <w:szCs w:val="22"/>
        </w:rPr>
        <w:t xml:space="preserve">por él </w:t>
      </w:r>
      <w:r w:rsidR="009E1531" w:rsidRPr="009E1531">
        <w:rPr>
          <w:sz w:val="22"/>
          <w:szCs w:val="22"/>
        </w:rPr>
        <w:t>citada</w:t>
      </w:r>
      <w:r w:rsidR="009E1531">
        <w:rPr>
          <w:sz w:val="22"/>
          <w:szCs w:val="22"/>
        </w:rPr>
        <w:t>.</w:t>
      </w:r>
      <w:r w:rsidR="00537B71">
        <w:rPr>
          <w:sz w:val="22"/>
          <w:szCs w:val="22"/>
        </w:rPr>
        <w:t xml:space="preserve"> </w:t>
      </w:r>
      <w:r w:rsidR="00837910">
        <w:rPr>
          <w:sz w:val="22"/>
          <w:szCs w:val="22"/>
        </w:rPr>
        <w:t xml:space="preserve">Por tanto, sin desmerecer </w:t>
      </w:r>
      <w:r w:rsidR="00502FFA">
        <w:rPr>
          <w:sz w:val="22"/>
          <w:szCs w:val="22"/>
        </w:rPr>
        <w:t>las resoluciones</w:t>
      </w:r>
      <w:r w:rsidR="00837910">
        <w:rPr>
          <w:sz w:val="22"/>
          <w:szCs w:val="22"/>
        </w:rPr>
        <w:t xml:space="preserve"> de los tribunales administrativos citados por la recurrente, este órgano va a </w:t>
      </w:r>
      <w:r w:rsidR="00643597">
        <w:rPr>
          <w:sz w:val="22"/>
          <w:szCs w:val="22"/>
        </w:rPr>
        <w:t>acoger el</w:t>
      </w:r>
      <w:r w:rsidR="00837910">
        <w:rPr>
          <w:sz w:val="22"/>
          <w:szCs w:val="22"/>
        </w:rPr>
        <w:t xml:space="preserve"> criterio expuesto por la Sala de lo Contencioso-administrativo del Tribunal Superior del País Vasco, que sería el órgano</w:t>
      </w:r>
      <w:r w:rsidR="00643597">
        <w:rPr>
          <w:sz w:val="22"/>
          <w:szCs w:val="22"/>
        </w:rPr>
        <w:t xml:space="preserve"> judicial</w:t>
      </w:r>
      <w:r w:rsidR="00837910">
        <w:rPr>
          <w:sz w:val="22"/>
          <w:szCs w:val="22"/>
        </w:rPr>
        <w:t xml:space="preserve"> competente </w:t>
      </w:r>
      <w:r w:rsidR="00643597">
        <w:rPr>
          <w:sz w:val="22"/>
          <w:szCs w:val="22"/>
        </w:rPr>
        <w:t>para revisar,</w:t>
      </w:r>
      <w:r w:rsidR="00643597" w:rsidRPr="00643597">
        <w:rPr>
          <w:sz w:val="22"/>
          <w:szCs w:val="22"/>
        </w:rPr>
        <w:t xml:space="preserve"> </w:t>
      </w:r>
      <w:r w:rsidR="00643597">
        <w:rPr>
          <w:sz w:val="22"/>
          <w:szCs w:val="22"/>
        </w:rPr>
        <w:t xml:space="preserve">en </w:t>
      </w:r>
      <w:r w:rsidR="00537B71">
        <w:rPr>
          <w:sz w:val="22"/>
          <w:szCs w:val="22"/>
        </w:rPr>
        <w:t>caso de ulterior recurso contencioso-administrativo</w:t>
      </w:r>
      <w:r w:rsidR="00643597">
        <w:rPr>
          <w:sz w:val="22"/>
          <w:szCs w:val="22"/>
        </w:rPr>
        <w:t>, la presente</w:t>
      </w:r>
      <w:r w:rsidR="00837910">
        <w:rPr>
          <w:sz w:val="22"/>
          <w:szCs w:val="22"/>
        </w:rPr>
        <w:t xml:space="preserve"> resolución</w:t>
      </w:r>
      <w:r w:rsidR="00643597">
        <w:rPr>
          <w:sz w:val="22"/>
          <w:szCs w:val="22"/>
        </w:rPr>
        <w:t>.</w:t>
      </w:r>
    </w:p>
    <w:p w14:paraId="5579FB25" w14:textId="77777777" w:rsidR="00305823" w:rsidRDefault="00305823" w:rsidP="005F67C7">
      <w:pPr>
        <w:jc w:val="both"/>
        <w:rPr>
          <w:sz w:val="22"/>
          <w:szCs w:val="22"/>
        </w:rPr>
      </w:pPr>
    </w:p>
    <w:p w14:paraId="4B8188F7" w14:textId="5070FFC1" w:rsidR="006F1531" w:rsidRDefault="006F1531" w:rsidP="008A1DBB">
      <w:pPr>
        <w:jc w:val="both"/>
        <w:rPr>
          <w:bCs/>
          <w:sz w:val="22"/>
          <w:szCs w:val="22"/>
        </w:rPr>
      </w:pPr>
      <w:r>
        <w:rPr>
          <w:bCs/>
          <w:sz w:val="22"/>
          <w:szCs w:val="22"/>
        </w:rPr>
        <w:t>Incluido en el primer motivo del recurso</w:t>
      </w:r>
      <w:r w:rsidR="00305823">
        <w:rPr>
          <w:bCs/>
          <w:sz w:val="22"/>
          <w:szCs w:val="22"/>
        </w:rPr>
        <w:t xml:space="preserve">, </w:t>
      </w:r>
      <w:r>
        <w:rPr>
          <w:bCs/>
          <w:sz w:val="22"/>
          <w:szCs w:val="22"/>
        </w:rPr>
        <w:t>la</w:t>
      </w:r>
      <w:r w:rsidR="005F67C7">
        <w:rPr>
          <w:bCs/>
          <w:sz w:val="22"/>
          <w:szCs w:val="22"/>
        </w:rPr>
        <w:t xml:space="preserve"> recurrente </w:t>
      </w:r>
      <w:r w:rsidR="000B4A59">
        <w:rPr>
          <w:bCs/>
          <w:sz w:val="22"/>
          <w:szCs w:val="22"/>
        </w:rPr>
        <w:t>manifiesta</w:t>
      </w:r>
      <w:r w:rsidR="00362A27">
        <w:rPr>
          <w:bCs/>
          <w:sz w:val="22"/>
          <w:szCs w:val="22"/>
        </w:rPr>
        <w:t xml:space="preserve"> </w:t>
      </w:r>
      <w:r w:rsidR="00305823">
        <w:rPr>
          <w:bCs/>
          <w:sz w:val="22"/>
          <w:szCs w:val="22"/>
        </w:rPr>
        <w:t>sus</w:t>
      </w:r>
      <w:r w:rsidR="00362A27">
        <w:rPr>
          <w:bCs/>
          <w:sz w:val="22"/>
          <w:szCs w:val="22"/>
        </w:rPr>
        <w:t xml:space="preserve"> dudas en cuanto al cumplimiento de requisitos en las oficinas ofrecidas por la adjudicataria</w:t>
      </w:r>
      <w:r w:rsidR="00305823">
        <w:rPr>
          <w:bCs/>
          <w:sz w:val="22"/>
          <w:szCs w:val="22"/>
        </w:rPr>
        <w:t>, mencionando dos en concreto,</w:t>
      </w:r>
      <w:r w:rsidR="00362A27">
        <w:rPr>
          <w:bCs/>
          <w:sz w:val="22"/>
          <w:szCs w:val="22"/>
        </w:rPr>
        <w:t xml:space="preserve"> en Lleida y Badajoz</w:t>
      </w:r>
      <w:r w:rsidR="005F67C7">
        <w:rPr>
          <w:bCs/>
          <w:sz w:val="22"/>
          <w:szCs w:val="22"/>
        </w:rPr>
        <w:t xml:space="preserve">, </w:t>
      </w:r>
      <w:r w:rsidR="00305823">
        <w:rPr>
          <w:bCs/>
          <w:sz w:val="22"/>
          <w:szCs w:val="22"/>
        </w:rPr>
        <w:t>pero</w:t>
      </w:r>
      <w:r w:rsidR="00362A27">
        <w:rPr>
          <w:bCs/>
          <w:sz w:val="22"/>
          <w:szCs w:val="22"/>
        </w:rPr>
        <w:t xml:space="preserve"> </w:t>
      </w:r>
      <w:r w:rsidR="004A2DB5">
        <w:rPr>
          <w:bCs/>
          <w:sz w:val="22"/>
          <w:szCs w:val="22"/>
        </w:rPr>
        <w:t>lo hace únicamente de forma indiciaria</w:t>
      </w:r>
      <w:r w:rsidR="00362A27" w:rsidRPr="000B4A59">
        <w:rPr>
          <w:bCs/>
          <w:sz w:val="22"/>
          <w:szCs w:val="22"/>
        </w:rPr>
        <w:t>.</w:t>
      </w:r>
      <w:r w:rsidR="004A2DB5" w:rsidRPr="000B4A59">
        <w:rPr>
          <w:bCs/>
          <w:sz w:val="22"/>
          <w:szCs w:val="22"/>
        </w:rPr>
        <w:t xml:space="preserve"> El</w:t>
      </w:r>
      <w:r w:rsidR="004A2DB5">
        <w:rPr>
          <w:bCs/>
          <w:sz w:val="22"/>
          <w:szCs w:val="22"/>
        </w:rPr>
        <w:t xml:space="preserve"> Tribunal Administrativo de la Contratación Pública de la Comunidad de Madrid, en el Acuerdo 35/2014, de 19 de febrero, ya había expuesto que los errores u omisiones en la oferta susceptibles de aclaración no eran motivo suficiente de exclusión, pero que sí es posible rechazar una oferta en fase de licitación si se verifica que la oferta no cumple con las especificaciones técnicas del pliego. </w:t>
      </w:r>
      <w:r w:rsidR="004A2DB5">
        <w:rPr>
          <w:bCs/>
          <w:sz w:val="22"/>
          <w:szCs w:val="22"/>
        </w:rPr>
        <w:lastRenderedPageBreak/>
        <w:t>Por su parte, e</w:t>
      </w:r>
      <w:r w:rsidR="005F67C7" w:rsidRPr="0061796E">
        <w:rPr>
          <w:bCs/>
          <w:sz w:val="22"/>
          <w:szCs w:val="22"/>
        </w:rPr>
        <w:t xml:space="preserve">n la Resolución 7/2022, de 14 de enero, </w:t>
      </w:r>
      <w:r w:rsidR="005F67C7">
        <w:rPr>
          <w:bCs/>
          <w:sz w:val="22"/>
          <w:szCs w:val="22"/>
        </w:rPr>
        <w:t xml:space="preserve">el OARC de Euskadi aclara </w:t>
      </w:r>
      <w:r w:rsidR="004A2DB5">
        <w:rPr>
          <w:bCs/>
          <w:sz w:val="22"/>
          <w:szCs w:val="22"/>
        </w:rPr>
        <w:t>que,</w:t>
      </w:r>
      <w:r w:rsidR="005F67C7">
        <w:rPr>
          <w:bCs/>
          <w:sz w:val="22"/>
          <w:szCs w:val="22"/>
        </w:rPr>
        <w:t xml:space="preserve"> para excluir a un licitador</w:t>
      </w:r>
      <w:r w:rsidR="00362A27">
        <w:rPr>
          <w:bCs/>
          <w:sz w:val="22"/>
          <w:szCs w:val="22"/>
        </w:rPr>
        <w:t xml:space="preserve"> por incumplimiento de los requisitos técnicos,</w:t>
      </w:r>
      <w:r w:rsidR="005F67C7">
        <w:rPr>
          <w:bCs/>
          <w:sz w:val="22"/>
          <w:szCs w:val="22"/>
        </w:rPr>
        <w:t xml:space="preserve"> </w:t>
      </w:r>
      <w:r w:rsidR="005F67C7" w:rsidRPr="00362A27">
        <w:rPr>
          <w:bCs/>
          <w:sz w:val="22"/>
          <w:szCs w:val="22"/>
          <w:u w:val="single"/>
        </w:rPr>
        <w:t>la oposición entre la oferta y lo requerido contractualmente debe ser frontal y clara</w:t>
      </w:r>
      <w:r w:rsidR="005F67C7">
        <w:rPr>
          <w:bCs/>
          <w:sz w:val="22"/>
          <w:szCs w:val="22"/>
        </w:rPr>
        <w:t xml:space="preserve">. </w:t>
      </w:r>
      <w:r w:rsidR="00643597">
        <w:rPr>
          <w:bCs/>
          <w:sz w:val="22"/>
          <w:szCs w:val="22"/>
        </w:rPr>
        <w:t xml:space="preserve">Por lo expuesto, y sin olvidar nuestras anteriores consideraciones respecto al acceso de los operadores postales a la red postal pública, este órgano no </w:t>
      </w:r>
      <w:r w:rsidR="008A1DBB">
        <w:rPr>
          <w:bCs/>
          <w:sz w:val="22"/>
          <w:szCs w:val="22"/>
        </w:rPr>
        <w:t>va a</w:t>
      </w:r>
      <w:r w:rsidR="00643597">
        <w:rPr>
          <w:bCs/>
          <w:sz w:val="22"/>
          <w:szCs w:val="22"/>
        </w:rPr>
        <w:t xml:space="preserve"> acoger las alegaciones del recurrente para excluir a la UTE de la licitación</w:t>
      </w:r>
      <w:r w:rsidR="00B472E2">
        <w:rPr>
          <w:bCs/>
          <w:sz w:val="22"/>
          <w:szCs w:val="22"/>
        </w:rPr>
        <w:t xml:space="preserve"> por este motivo. L</w:t>
      </w:r>
      <w:r w:rsidR="00643597" w:rsidRPr="00643597">
        <w:rPr>
          <w:bCs/>
          <w:sz w:val="22"/>
          <w:szCs w:val="22"/>
        </w:rPr>
        <w:t>a Resolución 1590/2023 del TACRC</w:t>
      </w:r>
      <w:r w:rsidR="00643597">
        <w:rPr>
          <w:bCs/>
          <w:sz w:val="22"/>
          <w:szCs w:val="22"/>
        </w:rPr>
        <w:t>, alegada por la recurrente, se refería a o</w:t>
      </w:r>
      <w:r w:rsidR="00643597" w:rsidRPr="00643597">
        <w:rPr>
          <w:bCs/>
          <w:sz w:val="22"/>
          <w:szCs w:val="22"/>
        </w:rPr>
        <w:t>fertas</w:t>
      </w:r>
      <w:r w:rsidR="00643597">
        <w:rPr>
          <w:bCs/>
          <w:sz w:val="22"/>
          <w:szCs w:val="22"/>
        </w:rPr>
        <w:t xml:space="preserve"> </w:t>
      </w:r>
      <w:r w:rsidR="00643597" w:rsidRPr="00643597">
        <w:rPr>
          <w:bCs/>
          <w:i/>
          <w:iCs/>
          <w:sz w:val="22"/>
          <w:szCs w:val="22"/>
        </w:rPr>
        <w:t>“en las que la propia descripción técnica no se ajuste a las características requeridas en el pliego</w:t>
      </w:r>
      <w:r w:rsidR="00643597">
        <w:rPr>
          <w:bCs/>
          <w:i/>
          <w:iCs/>
          <w:sz w:val="22"/>
          <w:szCs w:val="22"/>
        </w:rPr>
        <w:t xml:space="preserve"> </w:t>
      </w:r>
      <w:r w:rsidR="00643597" w:rsidRPr="00643597">
        <w:rPr>
          <w:bCs/>
          <w:i/>
          <w:iCs/>
          <w:sz w:val="22"/>
          <w:szCs w:val="22"/>
        </w:rPr>
        <w:t>de prescripciones”</w:t>
      </w:r>
      <w:r w:rsidR="00643597">
        <w:rPr>
          <w:bCs/>
          <w:i/>
          <w:iCs/>
          <w:sz w:val="22"/>
          <w:szCs w:val="22"/>
        </w:rPr>
        <w:t xml:space="preserve">. </w:t>
      </w:r>
      <w:r w:rsidR="008A1DBB">
        <w:rPr>
          <w:bCs/>
          <w:sz w:val="22"/>
          <w:szCs w:val="22"/>
        </w:rPr>
        <w:t>La</w:t>
      </w:r>
      <w:r w:rsidR="00B472E2">
        <w:rPr>
          <w:bCs/>
          <w:sz w:val="22"/>
          <w:szCs w:val="22"/>
        </w:rPr>
        <w:t xml:space="preserve"> recurrente </w:t>
      </w:r>
      <w:r w:rsidR="008A1DBB">
        <w:rPr>
          <w:bCs/>
          <w:sz w:val="22"/>
          <w:szCs w:val="22"/>
        </w:rPr>
        <w:t xml:space="preserve">expone sus dudas en cuanto a dos </w:t>
      </w:r>
      <w:r w:rsidR="00E57EAB">
        <w:rPr>
          <w:bCs/>
          <w:sz w:val="22"/>
          <w:szCs w:val="22"/>
        </w:rPr>
        <w:t xml:space="preserve">de las </w:t>
      </w:r>
      <w:r w:rsidR="008A1DBB">
        <w:rPr>
          <w:bCs/>
          <w:sz w:val="22"/>
          <w:szCs w:val="22"/>
        </w:rPr>
        <w:t xml:space="preserve">oficinas, pero tales dudas </w:t>
      </w:r>
      <w:r w:rsidR="00B472E2">
        <w:rPr>
          <w:bCs/>
          <w:sz w:val="22"/>
          <w:szCs w:val="22"/>
        </w:rPr>
        <w:t xml:space="preserve">no </w:t>
      </w:r>
      <w:r w:rsidR="008A1DBB">
        <w:rPr>
          <w:bCs/>
          <w:sz w:val="22"/>
          <w:szCs w:val="22"/>
        </w:rPr>
        <w:t>provienen</w:t>
      </w:r>
      <w:r w:rsidR="00B472E2">
        <w:rPr>
          <w:bCs/>
          <w:sz w:val="22"/>
          <w:szCs w:val="22"/>
        </w:rPr>
        <w:t xml:space="preserve"> de la propia descripción técnica de la oferta de la UTE. </w:t>
      </w:r>
      <w:r w:rsidR="008A1DBB">
        <w:rPr>
          <w:bCs/>
          <w:sz w:val="22"/>
          <w:szCs w:val="22"/>
        </w:rPr>
        <w:t>Esta</w:t>
      </w:r>
      <w:r w:rsidR="00B472E2">
        <w:rPr>
          <w:bCs/>
          <w:sz w:val="22"/>
          <w:szCs w:val="22"/>
        </w:rPr>
        <w:t xml:space="preserve"> resolución del TACRC </w:t>
      </w:r>
      <w:r w:rsidR="008A1DBB">
        <w:rPr>
          <w:bCs/>
          <w:sz w:val="22"/>
          <w:szCs w:val="22"/>
        </w:rPr>
        <w:t xml:space="preserve">se </w:t>
      </w:r>
      <w:r w:rsidR="00B472E2">
        <w:rPr>
          <w:bCs/>
          <w:sz w:val="22"/>
          <w:szCs w:val="22"/>
        </w:rPr>
        <w:t xml:space="preserve">resuelve con la desestimación del recurso, pues, como ya hemos dicho y el TACRC también lo hace, </w:t>
      </w:r>
      <w:r w:rsidR="008A1DBB">
        <w:rPr>
          <w:bCs/>
          <w:sz w:val="22"/>
          <w:szCs w:val="22"/>
        </w:rPr>
        <w:t>“</w:t>
      </w:r>
      <w:r w:rsidR="00B472E2" w:rsidRPr="00B472E2">
        <w:rPr>
          <w:bCs/>
          <w:i/>
          <w:iCs/>
          <w:sz w:val="22"/>
          <w:szCs w:val="22"/>
        </w:rPr>
        <w:t>el incumplimiento ha de ser claro; es decir, referirse a elementos objetivos, perfectamente definidos en el PPT, y deducirse con facilidad de la oferta, sin ningún género de dudas, la imposibilidad de cumplir con los compromisos exigidos en los pliegos</w:t>
      </w:r>
      <w:r w:rsidR="008A1DBB">
        <w:rPr>
          <w:bCs/>
          <w:i/>
          <w:iCs/>
          <w:sz w:val="22"/>
          <w:szCs w:val="22"/>
        </w:rPr>
        <w:t xml:space="preserve">”, </w:t>
      </w:r>
      <w:r w:rsidR="008A1DBB" w:rsidRPr="008A1DBB">
        <w:rPr>
          <w:bCs/>
          <w:sz w:val="22"/>
          <w:szCs w:val="22"/>
        </w:rPr>
        <w:t>circunstancias que no concurren en el presente supuesto.</w:t>
      </w:r>
      <w:r w:rsidR="008A1DBB">
        <w:rPr>
          <w:bCs/>
          <w:sz w:val="22"/>
          <w:szCs w:val="22"/>
        </w:rPr>
        <w:t xml:space="preserve"> Debe prevalecer, como se recoge en la resolución del TACRC, </w:t>
      </w:r>
      <w:r w:rsidR="008A1DBB" w:rsidRPr="008A1DBB">
        <w:rPr>
          <w:bCs/>
          <w:sz w:val="22"/>
          <w:szCs w:val="22"/>
        </w:rPr>
        <w:t>la presunción en favor de los licitadores</w:t>
      </w:r>
      <w:r w:rsidR="008A1DBB">
        <w:rPr>
          <w:bCs/>
          <w:sz w:val="22"/>
          <w:szCs w:val="22"/>
        </w:rPr>
        <w:t xml:space="preserve"> </w:t>
      </w:r>
      <w:r w:rsidR="008A1DBB" w:rsidRPr="008A1DBB">
        <w:rPr>
          <w:bCs/>
          <w:sz w:val="22"/>
          <w:szCs w:val="22"/>
        </w:rPr>
        <w:t>de que sus proposiciones se ajustan a los pliegos que rigen la licitación</w:t>
      </w:r>
      <w:r w:rsidR="008A1DBB">
        <w:rPr>
          <w:bCs/>
          <w:sz w:val="22"/>
          <w:szCs w:val="22"/>
        </w:rPr>
        <w:t xml:space="preserve">, y en caso de </w:t>
      </w:r>
      <w:r w:rsidR="00305823">
        <w:rPr>
          <w:bCs/>
          <w:sz w:val="22"/>
          <w:szCs w:val="22"/>
        </w:rPr>
        <w:t>incumplimiento, actuar</w:t>
      </w:r>
      <w:r w:rsidR="008A1DBB">
        <w:rPr>
          <w:bCs/>
          <w:sz w:val="22"/>
          <w:szCs w:val="22"/>
        </w:rPr>
        <w:t xml:space="preserve"> en fase de ejecución del contrato.</w:t>
      </w:r>
      <w:r w:rsidR="00E57EAB">
        <w:rPr>
          <w:bCs/>
          <w:sz w:val="22"/>
          <w:szCs w:val="22"/>
        </w:rPr>
        <w:t xml:space="preserve"> </w:t>
      </w:r>
    </w:p>
    <w:p w14:paraId="44B10925" w14:textId="77777777" w:rsidR="006F1531" w:rsidRDefault="006F1531" w:rsidP="008A1DBB">
      <w:pPr>
        <w:jc w:val="both"/>
        <w:rPr>
          <w:bCs/>
          <w:sz w:val="22"/>
          <w:szCs w:val="22"/>
        </w:rPr>
      </w:pPr>
    </w:p>
    <w:p w14:paraId="7611B6E3" w14:textId="1A106B21" w:rsidR="005F67C7" w:rsidRPr="008A1DBB" w:rsidRDefault="006F1531" w:rsidP="008A1DBB">
      <w:pPr>
        <w:jc w:val="both"/>
        <w:rPr>
          <w:bCs/>
          <w:sz w:val="22"/>
          <w:szCs w:val="22"/>
        </w:rPr>
      </w:pPr>
      <w:r>
        <w:rPr>
          <w:bCs/>
          <w:sz w:val="22"/>
          <w:szCs w:val="22"/>
        </w:rPr>
        <w:t>Por lo expuesto, d</w:t>
      </w:r>
      <w:r w:rsidR="00E57EAB">
        <w:rPr>
          <w:bCs/>
          <w:sz w:val="22"/>
          <w:szCs w:val="22"/>
        </w:rPr>
        <w:t>ebe desestimarse</w:t>
      </w:r>
      <w:r>
        <w:rPr>
          <w:bCs/>
          <w:sz w:val="22"/>
          <w:szCs w:val="22"/>
        </w:rPr>
        <w:t xml:space="preserve"> en su integridad</w:t>
      </w:r>
      <w:r w:rsidR="00E57EAB">
        <w:rPr>
          <w:bCs/>
          <w:sz w:val="22"/>
          <w:szCs w:val="22"/>
        </w:rPr>
        <w:t xml:space="preserve"> el primero de los motivos del recurso.</w:t>
      </w:r>
    </w:p>
    <w:p w14:paraId="20A22C69" w14:textId="77777777" w:rsidR="005F67C7" w:rsidRDefault="005F67C7" w:rsidP="005F67C7">
      <w:pPr>
        <w:jc w:val="both"/>
        <w:rPr>
          <w:bCs/>
          <w:sz w:val="22"/>
          <w:szCs w:val="22"/>
        </w:rPr>
      </w:pPr>
    </w:p>
    <w:p w14:paraId="3828B443" w14:textId="1B3F83DC" w:rsidR="00305823" w:rsidRPr="006F0492" w:rsidRDefault="00305823" w:rsidP="006F0492">
      <w:pPr>
        <w:pStyle w:val="Prrafodelista"/>
        <w:numPr>
          <w:ilvl w:val="0"/>
          <w:numId w:val="7"/>
        </w:numPr>
        <w:jc w:val="both"/>
        <w:rPr>
          <w:rFonts w:ascii="Times New Roman" w:hAnsi="Times New Roman" w:cs="Times New Roman"/>
          <w:b/>
          <w:bCs/>
        </w:rPr>
      </w:pPr>
      <w:r w:rsidRPr="006F0492">
        <w:rPr>
          <w:rFonts w:ascii="Times New Roman" w:hAnsi="Times New Roman" w:cs="Times New Roman"/>
          <w:b/>
          <w:bCs/>
        </w:rPr>
        <w:t>Sobre el acceso a la red postal y la subcontratación</w:t>
      </w:r>
      <w:r w:rsidR="00574F5B" w:rsidRPr="006F0492">
        <w:rPr>
          <w:rFonts w:ascii="Times New Roman" w:hAnsi="Times New Roman" w:cs="Times New Roman"/>
          <w:b/>
          <w:bCs/>
        </w:rPr>
        <w:t>.</w:t>
      </w:r>
    </w:p>
    <w:p w14:paraId="48BE0850" w14:textId="77777777" w:rsidR="00574F5B" w:rsidRDefault="00574F5B" w:rsidP="00574F5B">
      <w:pPr>
        <w:jc w:val="both"/>
      </w:pPr>
    </w:p>
    <w:p w14:paraId="0C65FBFF" w14:textId="4795545E" w:rsidR="00515BA7" w:rsidRPr="00515BA7" w:rsidRDefault="00574F5B" w:rsidP="00515BA7">
      <w:pPr>
        <w:jc w:val="both"/>
        <w:rPr>
          <w:i/>
          <w:iCs/>
          <w:sz w:val="22"/>
          <w:szCs w:val="22"/>
        </w:rPr>
      </w:pPr>
      <w:r w:rsidRPr="00A236F0">
        <w:rPr>
          <w:sz w:val="22"/>
          <w:szCs w:val="22"/>
        </w:rPr>
        <w:t>En este punto la recurrente pone el foco de atención en el servicio de franqueo en destino.</w:t>
      </w:r>
      <w:r w:rsidR="00500AF7">
        <w:rPr>
          <w:sz w:val="22"/>
          <w:szCs w:val="22"/>
        </w:rPr>
        <w:t xml:space="preserve"> </w:t>
      </w:r>
      <w:r w:rsidR="00515BA7">
        <w:rPr>
          <w:sz w:val="22"/>
          <w:szCs w:val="22"/>
        </w:rPr>
        <w:t xml:space="preserve">La Ley </w:t>
      </w:r>
      <w:r w:rsidR="00515BA7" w:rsidRPr="00521BB2">
        <w:rPr>
          <w:sz w:val="22"/>
          <w:szCs w:val="22"/>
        </w:rPr>
        <w:t xml:space="preserve">43/2010, de 30 de </w:t>
      </w:r>
      <w:r w:rsidR="00515BA7" w:rsidRPr="00515BA7">
        <w:rPr>
          <w:bCs/>
          <w:sz w:val="22"/>
          <w:szCs w:val="22"/>
        </w:rPr>
        <w:t>diciembre</w:t>
      </w:r>
      <w:r w:rsidR="00515BA7" w:rsidRPr="00521BB2">
        <w:rPr>
          <w:sz w:val="22"/>
          <w:szCs w:val="22"/>
        </w:rPr>
        <w:t>, del servicio postal universal, de los derechos de los usuarios y del mercado postal</w:t>
      </w:r>
      <w:r w:rsidR="00515BA7">
        <w:rPr>
          <w:sz w:val="22"/>
          <w:szCs w:val="22"/>
        </w:rPr>
        <w:t xml:space="preserve">, lo </w:t>
      </w:r>
      <w:r w:rsidR="00AD408B">
        <w:rPr>
          <w:sz w:val="22"/>
          <w:szCs w:val="22"/>
        </w:rPr>
        <w:t>recoge</w:t>
      </w:r>
      <w:r w:rsidR="00515BA7">
        <w:rPr>
          <w:sz w:val="22"/>
          <w:szCs w:val="22"/>
        </w:rPr>
        <w:t xml:space="preserve"> en su </w:t>
      </w:r>
      <w:r w:rsidR="00AD408B">
        <w:rPr>
          <w:i/>
          <w:iCs/>
          <w:sz w:val="22"/>
          <w:szCs w:val="22"/>
        </w:rPr>
        <w:t>art.</w:t>
      </w:r>
      <w:r w:rsidR="00515BA7" w:rsidRPr="00515BA7">
        <w:rPr>
          <w:i/>
          <w:iCs/>
          <w:sz w:val="22"/>
          <w:szCs w:val="22"/>
        </w:rPr>
        <w:t xml:space="preserve"> 36 Sistemas de franqueo y pago de los servicios</w:t>
      </w:r>
      <w:r w:rsidR="00AD408B">
        <w:rPr>
          <w:i/>
          <w:iCs/>
          <w:sz w:val="22"/>
          <w:szCs w:val="22"/>
        </w:rPr>
        <w:t>:</w:t>
      </w:r>
    </w:p>
    <w:p w14:paraId="2D505B53" w14:textId="77777777" w:rsidR="001A7920" w:rsidRDefault="001A7920" w:rsidP="00515BA7">
      <w:pPr>
        <w:ind w:left="708"/>
        <w:jc w:val="both"/>
        <w:rPr>
          <w:i/>
          <w:iCs/>
          <w:sz w:val="22"/>
          <w:szCs w:val="22"/>
        </w:rPr>
      </w:pPr>
    </w:p>
    <w:p w14:paraId="15383153" w14:textId="7ECC5444" w:rsidR="00515BA7" w:rsidRPr="00515BA7" w:rsidRDefault="00515BA7" w:rsidP="00515BA7">
      <w:pPr>
        <w:ind w:left="708"/>
        <w:jc w:val="both"/>
        <w:rPr>
          <w:i/>
          <w:iCs/>
          <w:sz w:val="22"/>
          <w:szCs w:val="22"/>
        </w:rPr>
      </w:pPr>
      <w:r w:rsidRPr="00515BA7">
        <w:rPr>
          <w:i/>
          <w:iCs/>
          <w:sz w:val="22"/>
          <w:szCs w:val="22"/>
        </w:rPr>
        <w:t>El operador designado deberá admitir todos los envíos si se presentan con los medios de franqueo</w:t>
      </w:r>
      <w:r>
        <w:rPr>
          <w:i/>
          <w:iCs/>
          <w:sz w:val="22"/>
          <w:szCs w:val="22"/>
        </w:rPr>
        <w:t xml:space="preserve"> </w:t>
      </w:r>
      <w:r w:rsidRPr="00515BA7">
        <w:rPr>
          <w:i/>
          <w:iCs/>
          <w:sz w:val="22"/>
          <w:szCs w:val="22"/>
        </w:rPr>
        <w:t>descritos en la presente Ley. Además, podrá acordar con sus clientes cualesquiera otros sistemas de</w:t>
      </w:r>
      <w:r>
        <w:rPr>
          <w:i/>
          <w:iCs/>
          <w:sz w:val="22"/>
          <w:szCs w:val="22"/>
        </w:rPr>
        <w:t xml:space="preserve"> </w:t>
      </w:r>
      <w:r w:rsidRPr="00515BA7">
        <w:rPr>
          <w:i/>
          <w:iCs/>
          <w:sz w:val="22"/>
          <w:szCs w:val="22"/>
        </w:rPr>
        <w:t>pago, tales como el pago diferido, el franqueo en destino y el prepago, así como cualquier otro</w:t>
      </w:r>
      <w:r>
        <w:rPr>
          <w:i/>
          <w:iCs/>
          <w:sz w:val="22"/>
          <w:szCs w:val="22"/>
        </w:rPr>
        <w:t xml:space="preserve"> </w:t>
      </w:r>
      <w:r w:rsidRPr="00515BA7">
        <w:rPr>
          <w:i/>
          <w:iCs/>
          <w:sz w:val="22"/>
          <w:szCs w:val="22"/>
        </w:rPr>
        <w:t>medio admitido en derecho</w:t>
      </w:r>
      <w:r w:rsidR="001A7920">
        <w:rPr>
          <w:i/>
          <w:iCs/>
          <w:sz w:val="22"/>
          <w:szCs w:val="22"/>
        </w:rPr>
        <w:t>.</w:t>
      </w:r>
    </w:p>
    <w:p w14:paraId="2A2AFB0A" w14:textId="77777777" w:rsidR="00515BA7" w:rsidRDefault="00515BA7" w:rsidP="00574F5B">
      <w:pPr>
        <w:jc w:val="both"/>
        <w:rPr>
          <w:sz w:val="22"/>
          <w:szCs w:val="22"/>
        </w:rPr>
      </w:pPr>
    </w:p>
    <w:p w14:paraId="491459FF" w14:textId="6C73447F" w:rsidR="00574F5B" w:rsidRDefault="00AD408B" w:rsidP="00574F5B">
      <w:pPr>
        <w:jc w:val="both"/>
        <w:rPr>
          <w:sz w:val="22"/>
          <w:szCs w:val="22"/>
        </w:rPr>
      </w:pPr>
      <w:r>
        <w:rPr>
          <w:sz w:val="22"/>
          <w:szCs w:val="22"/>
        </w:rPr>
        <w:t>Por tanto, e</w:t>
      </w:r>
      <w:r w:rsidR="00515BA7">
        <w:rPr>
          <w:sz w:val="22"/>
          <w:szCs w:val="22"/>
        </w:rPr>
        <w:t xml:space="preserve">l franqueo en destino es una de las formas de acreditar el pago de los servicios postales, que </w:t>
      </w:r>
      <w:r w:rsidR="001A7920">
        <w:rPr>
          <w:sz w:val="22"/>
          <w:szCs w:val="22"/>
        </w:rPr>
        <w:t>podría</w:t>
      </w:r>
      <w:r w:rsidR="00515BA7">
        <w:rPr>
          <w:sz w:val="22"/>
          <w:szCs w:val="22"/>
        </w:rPr>
        <w:t xml:space="preserve"> ser acordado con el operador designado o prestar</w:t>
      </w:r>
      <w:r w:rsidR="001A7920">
        <w:rPr>
          <w:sz w:val="22"/>
          <w:szCs w:val="22"/>
        </w:rPr>
        <w:t>se</w:t>
      </w:r>
      <w:r w:rsidR="00515BA7">
        <w:rPr>
          <w:sz w:val="22"/>
          <w:szCs w:val="22"/>
        </w:rPr>
        <w:t xml:space="preserve"> de forma directa por el operador postal</w:t>
      </w:r>
      <w:r>
        <w:rPr>
          <w:sz w:val="22"/>
          <w:szCs w:val="22"/>
        </w:rPr>
        <w:t>.</w:t>
      </w:r>
      <w:r w:rsidR="001A7920">
        <w:rPr>
          <w:sz w:val="22"/>
          <w:szCs w:val="22"/>
        </w:rPr>
        <w:t xml:space="preserve"> </w:t>
      </w:r>
      <w:r>
        <w:rPr>
          <w:sz w:val="22"/>
          <w:szCs w:val="22"/>
        </w:rPr>
        <w:t>E</w:t>
      </w:r>
      <w:r w:rsidR="00500AF7">
        <w:rPr>
          <w:sz w:val="22"/>
          <w:szCs w:val="22"/>
        </w:rPr>
        <w:t xml:space="preserve">n el PPT del Acuerdo Marco se estima que el número de franqueos en destino durante la ejecución del contrato será </w:t>
      </w:r>
      <w:r w:rsidR="00AC0C80">
        <w:rPr>
          <w:sz w:val="22"/>
          <w:szCs w:val="22"/>
        </w:rPr>
        <w:t xml:space="preserve">de </w:t>
      </w:r>
      <w:r w:rsidR="00500AF7">
        <w:rPr>
          <w:sz w:val="22"/>
          <w:szCs w:val="22"/>
        </w:rPr>
        <w:t xml:space="preserve">uno. </w:t>
      </w:r>
      <w:r w:rsidR="00E57EAB">
        <w:rPr>
          <w:sz w:val="22"/>
          <w:szCs w:val="22"/>
        </w:rPr>
        <w:t>La recurrente pone en duda la capacidad de la adjudicataria para prestar el servicio del franqueo en destino sin tener que recurrir a la subcontratación, prohibida en los pliegos que rigen la licitación. Pero</w:t>
      </w:r>
      <w:r>
        <w:rPr>
          <w:sz w:val="22"/>
          <w:szCs w:val="22"/>
        </w:rPr>
        <w:t xml:space="preserve"> la</w:t>
      </w:r>
      <w:r w:rsidR="00500AF7">
        <w:rPr>
          <w:sz w:val="22"/>
          <w:szCs w:val="22"/>
        </w:rPr>
        <w:t xml:space="preserve"> cuestión suscitada por </w:t>
      </w:r>
      <w:r w:rsidR="00500AF7" w:rsidRPr="00AC0C80">
        <w:rPr>
          <w:sz w:val="22"/>
          <w:szCs w:val="22"/>
          <w:u w:val="single"/>
        </w:rPr>
        <w:t xml:space="preserve">la recurrente </w:t>
      </w:r>
      <w:r w:rsidRPr="00AC0C80">
        <w:rPr>
          <w:sz w:val="22"/>
          <w:szCs w:val="22"/>
          <w:u w:val="single"/>
        </w:rPr>
        <w:t>es propia de</w:t>
      </w:r>
      <w:r w:rsidR="00500AF7" w:rsidRPr="00AC0C80">
        <w:rPr>
          <w:sz w:val="22"/>
          <w:szCs w:val="22"/>
          <w:u w:val="single"/>
        </w:rPr>
        <w:t xml:space="preserve"> la ejecución del contrato</w:t>
      </w:r>
      <w:r w:rsidR="00500AF7">
        <w:rPr>
          <w:sz w:val="22"/>
          <w:szCs w:val="22"/>
        </w:rPr>
        <w:t xml:space="preserve">. </w:t>
      </w:r>
      <w:r>
        <w:rPr>
          <w:sz w:val="22"/>
          <w:szCs w:val="22"/>
        </w:rPr>
        <w:t>En este momento del procedimiento de licitación no es posible excluir la o</w:t>
      </w:r>
      <w:r w:rsidR="001A7920">
        <w:rPr>
          <w:sz w:val="22"/>
          <w:szCs w:val="22"/>
        </w:rPr>
        <w:t xml:space="preserve">ferta del adjudicatario </w:t>
      </w:r>
      <w:r>
        <w:rPr>
          <w:sz w:val="22"/>
          <w:szCs w:val="22"/>
        </w:rPr>
        <w:t xml:space="preserve">por creer que </w:t>
      </w:r>
      <w:r w:rsidR="00152382">
        <w:rPr>
          <w:sz w:val="22"/>
          <w:szCs w:val="22"/>
        </w:rPr>
        <w:t>tendrá que acudir a la subcontratación</w:t>
      </w:r>
      <w:r w:rsidR="00E9406C">
        <w:rPr>
          <w:sz w:val="22"/>
          <w:szCs w:val="22"/>
        </w:rPr>
        <w:t>. En las declaraciones responsables de las sociedades que forman la UTE se declaró que no había intención de acudir a la subcontratación, cumpliendo así de forma preliminar con esta condición que establece el pliego para ejecutar el servicio.</w:t>
      </w:r>
      <w:r w:rsidR="00500AF7">
        <w:rPr>
          <w:sz w:val="22"/>
          <w:szCs w:val="22"/>
        </w:rPr>
        <w:t xml:space="preserve"> En otras palabras, la</w:t>
      </w:r>
      <w:r w:rsidR="001A7920">
        <w:rPr>
          <w:sz w:val="22"/>
          <w:szCs w:val="22"/>
        </w:rPr>
        <w:t xml:space="preserve"> prohibición de no subcontratación del apdo. Y del CC </w:t>
      </w:r>
      <w:r w:rsidR="00500AF7">
        <w:rPr>
          <w:sz w:val="22"/>
          <w:szCs w:val="22"/>
        </w:rPr>
        <w:t>es una condición de</w:t>
      </w:r>
      <w:r w:rsidR="001A7920">
        <w:rPr>
          <w:sz w:val="22"/>
          <w:szCs w:val="22"/>
        </w:rPr>
        <w:t xml:space="preserve"> ejecución del contrato</w:t>
      </w:r>
      <w:r w:rsidR="00500AF7">
        <w:rPr>
          <w:sz w:val="22"/>
          <w:szCs w:val="22"/>
        </w:rPr>
        <w:t xml:space="preserve"> que deberá ser objeto de control una vez comiencen a prestarse los servicios del Acuerdo Marco.</w:t>
      </w:r>
      <w:r w:rsidR="00E9406C">
        <w:rPr>
          <w:sz w:val="22"/>
          <w:szCs w:val="22"/>
        </w:rPr>
        <w:t xml:space="preserve"> Se desestima el motivo.</w:t>
      </w:r>
    </w:p>
    <w:p w14:paraId="2B1351CF" w14:textId="77777777" w:rsidR="00500AF7" w:rsidRPr="00A236F0" w:rsidRDefault="00500AF7" w:rsidP="00574F5B">
      <w:pPr>
        <w:jc w:val="both"/>
        <w:rPr>
          <w:sz w:val="22"/>
          <w:szCs w:val="22"/>
        </w:rPr>
      </w:pPr>
    </w:p>
    <w:p w14:paraId="0795FED9" w14:textId="77777777" w:rsidR="00305823" w:rsidRPr="00305823" w:rsidRDefault="00305823" w:rsidP="00305823">
      <w:pPr>
        <w:jc w:val="both"/>
      </w:pPr>
    </w:p>
    <w:p w14:paraId="0C984449" w14:textId="77777777" w:rsidR="00305823" w:rsidRPr="006F0492" w:rsidRDefault="00305823" w:rsidP="006F0492">
      <w:pPr>
        <w:pStyle w:val="Prrafodelista"/>
        <w:numPr>
          <w:ilvl w:val="0"/>
          <w:numId w:val="7"/>
        </w:numPr>
        <w:jc w:val="both"/>
        <w:rPr>
          <w:rFonts w:ascii="Times New Roman" w:hAnsi="Times New Roman" w:cs="Times New Roman"/>
          <w:b/>
          <w:bCs/>
        </w:rPr>
      </w:pPr>
      <w:r w:rsidRPr="006F0492">
        <w:rPr>
          <w:rFonts w:ascii="Times New Roman" w:hAnsi="Times New Roman" w:cs="Times New Roman"/>
          <w:b/>
          <w:bCs/>
        </w:rPr>
        <w:lastRenderedPageBreak/>
        <w:t>Sobre la valoración de los criterios de adjudicación no automáticos.</w:t>
      </w:r>
    </w:p>
    <w:p w14:paraId="5FF5734C" w14:textId="77777777" w:rsidR="00305823" w:rsidRDefault="00305823" w:rsidP="00305823">
      <w:pPr>
        <w:pStyle w:val="Prrafodelista"/>
        <w:rPr>
          <w:rFonts w:ascii="Times New Roman" w:hAnsi="Times New Roman" w:cs="Times New Roman"/>
        </w:rPr>
      </w:pPr>
    </w:p>
    <w:p w14:paraId="25699E95" w14:textId="5F417AB3" w:rsidR="00305823" w:rsidRDefault="00422DF2" w:rsidP="00422DF2">
      <w:pPr>
        <w:jc w:val="both"/>
        <w:rPr>
          <w:sz w:val="22"/>
          <w:szCs w:val="22"/>
        </w:rPr>
      </w:pPr>
      <w:r w:rsidRPr="00422DF2">
        <w:rPr>
          <w:sz w:val="22"/>
          <w:szCs w:val="22"/>
        </w:rPr>
        <w:t xml:space="preserve">Respecto </w:t>
      </w:r>
      <w:r w:rsidR="00A236F0">
        <w:rPr>
          <w:sz w:val="22"/>
          <w:szCs w:val="22"/>
        </w:rPr>
        <w:t>de</w:t>
      </w:r>
      <w:r w:rsidRPr="00422DF2">
        <w:rPr>
          <w:sz w:val="22"/>
          <w:szCs w:val="22"/>
        </w:rPr>
        <w:t xml:space="preserve"> la valoración</w:t>
      </w:r>
      <w:r w:rsidR="00AD408B">
        <w:rPr>
          <w:sz w:val="22"/>
          <w:szCs w:val="22"/>
        </w:rPr>
        <w:t xml:space="preserve"> realizada por los servicios técnicos del OC</w:t>
      </w:r>
      <w:r w:rsidR="00A236F0">
        <w:rPr>
          <w:sz w:val="22"/>
          <w:szCs w:val="22"/>
        </w:rPr>
        <w:t xml:space="preserve">, </w:t>
      </w:r>
      <w:r>
        <w:rPr>
          <w:sz w:val="22"/>
          <w:szCs w:val="22"/>
        </w:rPr>
        <w:t>tanto la doctrina administrativa como la jurisprudencia amparan</w:t>
      </w:r>
      <w:r w:rsidRPr="00422DF2">
        <w:rPr>
          <w:sz w:val="22"/>
          <w:szCs w:val="22"/>
        </w:rPr>
        <w:t xml:space="preserve"> </w:t>
      </w:r>
      <w:r>
        <w:rPr>
          <w:sz w:val="22"/>
          <w:szCs w:val="22"/>
        </w:rPr>
        <w:t>el margen de</w:t>
      </w:r>
      <w:r w:rsidRPr="00422DF2">
        <w:rPr>
          <w:sz w:val="22"/>
          <w:szCs w:val="22"/>
        </w:rPr>
        <w:t xml:space="preserve"> discrecionalidad técnica del órgano de contratación</w:t>
      </w:r>
      <w:r>
        <w:rPr>
          <w:sz w:val="22"/>
          <w:szCs w:val="22"/>
        </w:rPr>
        <w:t>. Esto no significa que no se pueda revisar la valoración realizada, sólo que debe de hacerse de acuerdo con los criterios establecidos para el control</w:t>
      </w:r>
      <w:r w:rsidRPr="00422DF2">
        <w:rPr>
          <w:sz w:val="22"/>
          <w:szCs w:val="22"/>
        </w:rPr>
        <w:t xml:space="preserve"> de los actos administrativos dictados en ejercicio de las potestades discrecionales</w:t>
      </w:r>
      <w:r>
        <w:rPr>
          <w:sz w:val="22"/>
          <w:szCs w:val="22"/>
        </w:rPr>
        <w:t xml:space="preserve">. Por ejemplo, </w:t>
      </w:r>
      <w:r w:rsidR="00A236F0">
        <w:rPr>
          <w:sz w:val="22"/>
          <w:szCs w:val="22"/>
        </w:rPr>
        <w:t xml:space="preserve">será posible la revisión </w:t>
      </w:r>
      <w:r w:rsidRPr="00422DF2">
        <w:rPr>
          <w:sz w:val="22"/>
          <w:szCs w:val="22"/>
        </w:rPr>
        <w:t>si en la aplicación del criterio de adjudicación se ha producido un error material o de hecho que resulte patente de tal forma que pueda ser apreciado sin necesidad de efectuar razonamientos complejos (TACRC Resol 93/2012; 660/2015).</w:t>
      </w:r>
      <w:r w:rsidR="008F3486">
        <w:rPr>
          <w:sz w:val="22"/>
          <w:szCs w:val="22"/>
        </w:rPr>
        <w:t xml:space="preserve"> Además, t</w:t>
      </w:r>
      <w:r w:rsidRPr="00422DF2">
        <w:rPr>
          <w:sz w:val="22"/>
          <w:szCs w:val="22"/>
        </w:rPr>
        <w:t xml:space="preserve">ratándose de </w:t>
      </w:r>
      <w:r w:rsidR="008F3486">
        <w:rPr>
          <w:sz w:val="22"/>
          <w:szCs w:val="22"/>
        </w:rPr>
        <w:t>cuestiones técnicas</w:t>
      </w:r>
      <w:r w:rsidRPr="00422DF2">
        <w:rPr>
          <w:sz w:val="22"/>
          <w:szCs w:val="22"/>
        </w:rPr>
        <w:t xml:space="preserve">, </w:t>
      </w:r>
      <w:r w:rsidR="00AD408B">
        <w:rPr>
          <w:sz w:val="22"/>
          <w:szCs w:val="22"/>
        </w:rPr>
        <w:t>solo se puede revisar</w:t>
      </w:r>
      <w:r w:rsidR="008F3486">
        <w:rPr>
          <w:sz w:val="22"/>
          <w:szCs w:val="22"/>
        </w:rPr>
        <w:t xml:space="preserve"> la valoración desde un plano formal, </w:t>
      </w:r>
      <w:r w:rsidR="00AD408B">
        <w:rPr>
          <w:sz w:val="22"/>
          <w:szCs w:val="22"/>
        </w:rPr>
        <w:t>y comprobar que se han</w:t>
      </w:r>
      <w:r w:rsidR="008F3486">
        <w:rPr>
          <w:sz w:val="22"/>
          <w:szCs w:val="22"/>
        </w:rPr>
        <w:t xml:space="preserve"> respetado los aspectos procedimentales, y de que</w:t>
      </w:r>
      <w:r w:rsidRPr="00422DF2">
        <w:rPr>
          <w:sz w:val="22"/>
          <w:szCs w:val="22"/>
        </w:rPr>
        <w:t xml:space="preserve"> no se hayan aplicado criterios de arbitrariedad o discriminatorios. Fuera de estos</w:t>
      </w:r>
      <w:r w:rsidR="00AD408B">
        <w:rPr>
          <w:sz w:val="22"/>
          <w:szCs w:val="22"/>
        </w:rPr>
        <w:t xml:space="preserve"> concretos</w:t>
      </w:r>
      <w:r w:rsidRPr="00422DF2">
        <w:rPr>
          <w:sz w:val="22"/>
          <w:szCs w:val="22"/>
        </w:rPr>
        <w:t xml:space="preserve"> aspectos, el tribunal</w:t>
      </w:r>
      <w:r w:rsidR="00AD408B">
        <w:rPr>
          <w:sz w:val="22"/>
          <w:szCs w:val="22"/>
        </w:rPr>
        <w:t xml:space="preserve"> no puede sustituir el criterio técnico por el suyo propio y</w:t>
      </w:r>
      <w:r w:rsidRPr="00422DF2">
        <w:rPr>
          <w:sz w:val="22"/>
          <w:szCs w:val="22"/>
        </w:rPr>
        <w:t xml:space="preserve"> debe respetar los resultados de dicha valoración (TACRC Resol 269/2011; 280/2011</w:t>
      </w:r>
      <w:r w:rsidR="00A236F0">
        <w:rPr>
          <w:sz w:val="22"/>
          <w:szCs w:val="22"/>
        </w:rPr>
        <w:t>).</w:t>
      </w:r>
    </w:p>
    <w:p w14:paraId="0FBD95BC" w14:textId="77777777" w:rsidR="00651D7D" w:rsidRDefault="00651D7D" w:rsidP="00422DF2">
      <w:pPr>
        <w:jc w:val="both"/>
        <w:rPr>
          <w:sz w:val="22"/>
          <w:szCs w:val="22"/>
        </w:rPr>
      </w:pPr>
    </w:p>
    <w:p w14:paraId="15658F98" w14:textId="77777777" w:rsidR="00295E96" w:rsidRDefault="00651D7D" w:rsidP="00305823">
      <w:pPr>
        <w:jc w:val="both"/>
        <w:rPr>
          <w:sz w:val="22"/>
          <w:szCs w:val="22"/>
        </w:rPr>
      </w:pPr>
      <w:r>
        <w:rPr>
          <w:sz w:val="22"/>
          <w:szCs w:val="22"/>
        </w:rPr>
        <w:t xml:space="preserve">Teniendo en cuenta lo expuesto en el párrafo </w:t>
      </w:r>
      <w:r w:rsidR="00295E96">
        <w:rPr>
          <w:sz w:val="22"/>
          <w:szCs w:val="22"/>
        </w:rPr>
        <w:t>anterior</w:t>
      </w:r>
      <w:r>
        <w:rPr>
          <w:sz w:val="22"/>
          <w:szCs w:val="22"/>
        </w:rPr>
        <w:t xml:space="preserve">, de los ocho </w:t>
      </w:r>
      <w:r w:rsidR="008032DD">
        <w:rPr>
          <w:sz w:val="22"/>
          <w:szCs w:val="22"/>
        </w:rPr>
        <w:t>aspectos a</w:t>
      </w:r>
      <w:r>
        <w:rPr>
          <w:sz w:val="22"/>
          <w:szCs w:val="22"/>
        </w:rPr>
        <w:t xml:space="preserve"> valorar según criterios no automáticos (apdo. M del CC), la recurrente </w:t>
      </w:r>
      <w:r w:rsidR="000B1F6A">
        <w:rPr>
          <w:sz w:val="22"/>
          <w:szCs w:val="22"/>
        </w:rPr>
        <w:t>recurre la valoración dada</w:t>
      </w:r>
      <w:r>
        <w:rPr>
          <w:sz w:val="22"/>
          <w:szCs w:val="22"/>
        </w:rPr>
        <w:t xml:space="preserve"> en el primero, segundo y quinto</w:t>
      </w:r>
      <w:r w:rsidR="000B1F6A">
        <w:rPr>
          <w:sz w:val="22"/>
          <w:szCs w:val="22"/>
        </w:rPr>
        <w:t xml:space="preserve"> de </w:t>
      </w:r>
      <w:r w:rsidR="006F1531">
        <w:rPr>
          <w:sz w:val="22"/>
          <w:szCs w:val="22"/>
        </w:rPr>
        <w:t>esos</w:t>
      </w:r>
      <w:r w:rsidR="000B1F6A">
        <w:rPr>
          <w:sz w:val="22"/>
          <w:szCs w:val="22"/>
        </w:rPr>
        <w:t xml:space="preserve"> aspectos</w:t>
      </w:r>
      <w:r>
        <w:rPr>
          <w:sz w:val="22"/>
          <w:szCs w:val="22"/>
        </w:rPr>
        <w:t xml:space="preserve">. Con respecto al primero, entiende injustificado que se valore a la UTE CON 0,5 puntos más que a Correos. </w:t>
      </w:r>
      <w:r w:rsidR="000B1F6A">
        <w:rPr>
          <w:sz w:val="22"/>
          <w:szCs w:val="22"/>
        </w:rPr>
        <w:t>No obstante, el OC en su informe</w:t>
      </w:r>
      <w:r w:rsidR="008032DD">
        <w:rPr>
          <w:sz w:val="22"/>
          <w:szCs w:val="22"/>
        </w:rPr>
        <w:t xml:space="preserve"> al RE</w:t>
      </w:r>
      <w:r w:rsidR="000B1F6A">
        <w:rPr>
          <w:sz w:val="22"/>
          <w:szCs w:val="22"/>
        </w:rPr>
        <w:t xml:space="preserve"> se ratifica en la valoración otorgada, distinguiendo lo que serían </w:t>
      </w:r>
      <w:r w:rsidR="008032DD">
        <w:rPr>
          <w:sz w:val="22"/>
          <w:szCs w:val="22"/>
        </w:rPr>
        <w:t xml:space="preserve">las </w:t>
      </w:r>
      <w:r w:rsidR="000B1F6A">
        <w:rPr>
          <w:sz w:val="22"/>
          <w:szCs w:val="22"/>
        </w:rPr>
        <w:t xml:space="preserve">recogidas periódicas de </w:t>
      </w:r>
      <w:r w:rsidR="008032DD">
        <w:rPr>
          <w:sz w:val="22"/>
          <w:szCs w:val="22"/>
        </w:rPr>
        <w:t xml:space="preserve">las </w:t>
      </w:r>
      <w:r w:rsidR="000B1F6A">
        <w:rPr>
          <w:sz w:val="22"/>
          <w:szCs w:val="22"/>
        </w:rPr>
        <w:t xml:space="preserve">recogidas esporádicas debidas a necesidades inmediatas. </w:t>
      </w:r>
      <w:r w:rsidR="008032DD">
        <w:rPr>
          <w:sz w:val="22"/>
          <w:szCs w:val="22"/>
        </w:rPr>
        <w:t xml:space="preserve">En lo que respecta al segundo de los aspectos cuestionados por la recurrente, el OC niega que el uso del verbo “parecer” en el informe de valoración de ofertas tenga alguna significación de duda o cuestionamiento de </w:t>
      </w:r>
      <w:r w:rsidR="006F1531">
        <w:rPr>
          <w:sz w:val="22"/>
          <w:szCs w:val="22"/>
        </w:rPr>
        <w:t>la suficiencia de los</w:t>
      </w:r>
      <w:r w:rsidR="008032DD">
        <w:rPr>
          <w:sz w:val="22"/>
          <w:szCs w:val="22"/>
        </w:rPr>
        <w:t xml:space="preserve"> sistemas</w:t>
      </w:r>
      <w:r w:rsidR="00537B71">
        <w:rPr>
          <w:sz w:val="22"/>
          <w:szCs w:val="22"/>
        </w:rPr>
        <w:t xml:space="preserve"> de la UTE</w:t>
      </w:r>
      <w:r w:rsidR="008032DD">
        <w:rPr>
          <w:sz w:val="22"/>
          <w:szCs w:val="22"/>
        </w:rPr>
        <w:t xml:space="preserve"> para el control y seguimiento de los envíos. En tercer lugar, por lo que se refiere al aspecto “</w:t>
      </w:r>
      <w:r w:rsidR="008032DD" w:rsidRPr="006F1531">
        <w:rPr>
          <w:i/>
          <w:iCs/>
          <w:sz w:val="22"/>
          <w:szCs w:val="22"/>
        </w:rPr>
        <w:t>adecuación de la metodología y medios propuestos para realizar envíos masivos</w:t>
      </w:r>
      <w:r w:rsidR="008032DD">
        <w:rPr>
          <w:sz w:val="22"/>
          <w:szCs w:val="22"/>
        </w:rPr>
        <w:t xml:space="preserve">”, la recurrente cree que no está justificado que reciban la misma puntuación que la UTE. </w:t>
      </w:r>
      <w:r w:rsidR="00295E96">
        <w:rPr>
          <w:sz w:val="22"/>
          <w:szCs w:val="22"/>
        </w:rPr>
        <w:t>E</w:t>
      </w:r>
      <w:r w:rsidR="007A1AFB">
        <w:rPr>
          <w:sz w:val="22"/>
          <w:szCs w:val="22"/>
        </w:rPr>
        <w:t xml:space="preserve">l OC matiza </w:t>
      </w:r>
      <w:r w:rsidR="00295E96">
        <w:rPr>
          <w:sz w:val="22"/>
          <w:szCs w:val="22"/>
        </w:rPr>
        <w:t xml:space="preserve">en su informe </w:t>
      </w:r>
      <w:r w:rsidR="007A1AFB">
        <w:rPr>
          <w:sz w:val="22"/>
          <w:szCs w:val="22"/>
        </w:rPr>
        <w:t>qu</w:t>
      </w:r>
      <w:r w:rsidR="006F1531">
        <w:rPr>
          <w:sz w:val="22"/>
          <w:szCs w:val="22"/>
        </w:rPr>
        <w:t xml:space="preserve">e la oferta de la UTE </w:t>
      </w:r>
      <w:r w:rsidR="007A1AFB">
        <w:rPr>
          <w:sz w:val="22"/>
          <w:szCs w:val="22"/>
        </w:rPr>
        <w:t xml:space="preserve">sí </w:t>
      </w:r>
      <w:r w:rsidR="006F1531">
        <w:rPr>
          <w:sz w:val="22"/>
          <w:szCs w:val="22"/>
        </w:rPr>
        <w:t xml:space="preserve">incluye </w:t>
      </w:r>
      <w:r w:rsidR="007A1AFB">
        <w:rPr>
          <w:sz w:val="22"/>
          <w:szCs w:val="22"/>
        </w:rPr>
        <w:t xml:space="preserve">un centro de admisión masiva en Vitoria, concretamente en Jundiz. En las alegaciones de la UTE al RE, </w:t>
      </w:r>
      <w:r w:rsidR="004B6522">
        <w:rPr>
          <w:sz w:val="22"/>
          <w:szCs w:val="22"/>
        </w:rPr>
        <w:t xml:space="preserve">defiende que la recogida esporádica en situaciones urgentes constituye una mejora de su oferta con respecto a la de la competencia. Y en lo referido a los aspectos segundo y quinto, considera correcta la equiparación en puntos de las dos licitadoras. </w:t>
      </w:r>
    </w:p>
    <w:p w14:paraId="36E528D3" w14:textId="77777777" w:rsidR="00295E96" w:rsidRDefault="00295E96" w:rsidP="00305823">
      <w:pPr>
        <w:jc w:val="both"/>
        <w:rPr>
          <w:sz w:val="22"/>
          <w:szCs w:val="22"/>
        </w:rPr>
      </w:pPr>
    </w:p>
    <w:p w14:paraId="54F3C9A9" w14:textId="6ED9EF65" w:rsidR="00422DF2" w:rsidRDefault="004B6522" w:rsidP="00305823">
      <w:pPr>
        <w:jc w:val="both"/>
        <w:rPr>
          <w:sz w:val="22"/>
          <w:szCs w:val="22"/>
        </w:rPr>
      </w:pPr>
      <w:r>
        <w:rPr>
          <w:sz w:val="22"/>
          <w:szCs w:val="22"/>
        </w:rPr>
        <w:t xml:space="preserve">Lo cierto es que, en el informe de valoración de los criterios no evaluables mediante fórmulas, incluido en el expediente administrativo y fechado el 16 de diciembre de 2024, se motiva de forma suficiente las razones de la asignación de puntuación a las ofertas de las dos licitadoras. Por tanto, considerando que el control de la discrecionalidad técnica de la administración se </w:t>
      </w:r>
      <w:r w:rsidR="00AE5B09">
        <w:rPr>
          <w:sz w:val="22"/>
          <w:szCs w:val="22"/>
        </w:rPr>
        <w:t>debe desarrollar</w:t>
      </w:r>
      <w:r>
        <w:rPr>
          <w:sz w:val="22"/>
          <w:szCs w:val="22"/>
        </w:rPr>
        <w:t xml:space="preserve"> en el marco explicado</w:t>
      </w:r>
      <w:r w:rsidR="00AE5B09">
        <w:rPr>
          <w:sz w:val="22"/>
          <w:szCs w:val="22"/>
        </w:rPr>
        <w:t xml:space="preserve"> </w:t>
      </w:r>
      <w:r w:rsidR="00295E96">
        <w:rPr>
          <w:sz w:val="22"/>
          <w:szCs w:val="22"/>
        </w:rPr>
        <w:t>ut supra</w:t>
      </w:r>
      <w:r w:rsidR="00AE5B09">
        <w:rPr>
          <w:sz w:val="22"/>
          <w:szCs w:val="22"/>
        </w:rPr>
        <w:t>, este órgano no aprecia error, arbitrariedad o trato discriminatorio que justifique la estimación de este motivo del recurso. A lo anterior debe añadirse que la recurrente discrepa de la valoración realizada por el órgano de contratación, sin que ofrezca al OAFRC ningún detalle sobre cuál debería haber sido, a su juicio, la valoración correcta en los aspectos segundo y quinto.</w:t>
      </w:r>
    </w:p>
    <w:p w14:paraId="1D91E623" w14:textId="77777777" w:rsidR="006F0492" w:rsidRDefault="006F0492" w:rsidP="00305823">
      <w:pPr>
        <w:jc w:val="both"/>
        <w:rPr>
          <w:sz w:val="22"/>
          <w:szCs w:val="22"/>
        </w:rPr>
      </w:pPr>
    </w:p>
    <w:p w14:paraId="2405DC49" w14:textId="77777777" w:rsidR="006F0492" w:rsidRDefault="006F0492" w:rsidP="00305823">
      <w:pPr>
        <w:jc w:val="both"/>
        <w:rPr>
          <w:sz w:val="22"/>
          <w:szCs w:val="22"/>
        </w:rPr>
      </w:pPr>
    </w:p>
    <w:p w14:paraId="352F04BE" w14:textId="77777777" w:rsidR="006F0492" w:rsidRDefault="006F0492" w:rsidP="00305823">
      <w:pPr>
        <w:jc w:val="both"/>
        <w:rPr>
          <w:sz w:val="22"/>
          <w:szCs w:val="22"/>
        </w:rPr>
      </w:pPr>
    </w:p>
    <w:p w14:paraId="1542E6E6" w14:textId="77777777" w:rsidR="007A1AFB" w:rsidRDefault="007A1AFB" w:rsidP="00305823">
      <w:pPr>
        <w:jc w:val="both"/>
      </w:pPr>
    </w:p>
    <w:p w14:paraId="5E6B21BC" w14:textId="77777777" w:rsidR="00295E96" w:rsidRPr="00305823" w:rsidRDefault="00295E96" w:rsidP="00305823">
      <w:pPr>
        <w:jc w:val="both"/>
      </w:pPr>
    </w:p>
    <w:p w14:paraId="4880651C" w14:textId="77777777" w:rsidR="00305823" w:rsidRPr="006F0492" w:rsidRDefault="00305823" w:rsidP="006F0492">
      <w:pPr>
        <w:pStyle w:val="Prrafodelista"/>
        <w:numPr>
          <w:ilvl w:val="0"/>
          <w:numId w:val="7"/>
        </w:numPr>
        <w:jc w:val="both"/>
        <w:rPr>
          <w:rFonts w:ascii="Times New Roman" w:hAnsi="Times New Roman" w:cs="Times New Roman"/>
          <w:b/>
          <w:bCs/>
        </w:rPr>
      </w:pPr>
      <w:r w:rsidRPr="006F0492">
        <w:rPr>
          <w:rFonts w:ascii="Times New Roman" w:hAnsi="Times New Roman" w:cs="Times New Roman"/>
          <w:b/>
          <w:bCs/>
        </w:rPr>
        <w:lastRenderedPageBreak/>
        <w:t>Sobre la valoración de los criterios de adjudicación automáticos.</w:t>
      </w:r>
    </w:p>
    <w:p w14:paraId="2373FB23" w14:textId="77777777" w:rsidR="00521BB2" w:rsidRDefault="00521BB2" w:rsidP="007A7CE2">
      <w:pPr>
        <w:jc w:val="both"/>
        <w:rPr>
          <w:sz w:val="22"/>
          <w:szCs w:val="22"/>
        </w:rPr>
      </w:pPr>
    </w:p>
    <w:p w14:paraId="722608B3" w14:textId="14178A08" w:rsidR="00305823" w:rsidRDefault="00AE5B09" w:rsidP="007A7CE2">
      <w:pPr>
        <w:jc w:val="both"/>
        <w:rPr>
          <w:sz w:val="22"/>
          <w:szCs w:val="22"/>
        </w:rPr>
      </w:pPr>
      <w:r>
        <w:rPr>
          <w:sz w:val="22"/>
          <w:szCs w:val="22"/>
        </w:rPr>
        <w:t xml:space="preserve">Unido con el motivo primero del recurso, la recurrente considera que la UTE no debería haber recibido ningún punto en el criterio “oficinas en poblaciones de Alava de menos de 3.500 habitantes”, porque las </w:t>
      </w:r>
      <w:r w:rsidR="00C36535">
        <w:rPr>
          <w:sz w:val="22"/>
          <w:szCs w:val="22"/>
        </w:rPr>
        <w:t xml:space="preserve">oficinas ofrecidas son en realidad oficinas de Correos. </w:t>
      </w:r>
    </w:p>
    <w:p w14:paraId="1B283A9B" w14:textId="77777777" w:rsidR="00C36535" w:rsidRDefault="00C36535" w:rsidP="007A7CE2">
      <w:pPr>
        <w:jc w:val="both"/>
        <w:rPr>
          <w:sz w:val="22"/>
          <w:szCs w:val="22"/>
        </w:rPr>
      </w:pPr>
    </w:p>
    <w:p w14:paraId="6CF4923B" w14:textId="77777777" w:rsidR="00295E96" w:rsidRDefault="00C36535" w:rsidP="007A7CE2">
      <w:pPr>
        <w:jc w:val="both"/>
        <w:rPr>
          <w:sz w:val="22"/>
          <w:szCs w:val="22"/>
        </w:rPr>
      </w:pPr>
      <w:r>
        <w:rPr>
          <w:sz w:val="22"/>
          <w:szCs w:val="22"/>
        </w:rPr>
        <w:t xml:space="preserve">De acuerdo con el informe de valoración de los criterios sujetos a fórmulas, de 26 de diciembre de 2024, ambas licitadoras recibieron 3 puntos en el criterio referido a las oficinas. En este punto </w:t>
      </w:r>
      <w:r w:rsidR="00F1751D">
        <w:rPr>
          <w:sz w:val="22"/>
          <w:szCs w:val="22"/>
        </w:rPr>
        <w:t>conviene</w:t>
      </w:r>
      <w:r w:rsidR="0006490F">
        <w:rPr>
          <w:sz w:val="22"/>
          <w:szCs w:val="22"/>
        </w:rPr>
        <w:t xml:space="preserve"> señalar</w:t>
      </w:r>
      <w:r>
        <w:rPr>
          <w:sz w:val="22"/>
          <w:szCs w:val="22"/>
        </w:rPr>
        <w:t xml:space="preserve"> que la UTE, en sus alegaciones al RE, </w:t>
      </w:r>
      <w:r w:rsidR="0006490F">
        <w:rPr>
          <w:sz w:val="22"/>
          <w:szCs w:val="22"/>
        </w:rPr>
        <w:t xml:space="preserve">trae a colación la Sentencia 1080/2023 del Tribunal Superior de Justicia de Cataluña de 22 de marzo de 2023, </w:t>
      </w:r>
      <w:r w:rsidR="0006490F" w:rsidRPr="0006490F">
        <w:rPr>
          <w:sz w:val="22"/>
          <w:szCs w:val="22"/>
        </w:rPr>
        <w:t>EDJ 2023/578883</w:t>
      </w:r>
      <w:r w:rsidR="00F1751D">
        <w:rPr>
          <w:sz w:val="22"/>
          <w:szCs w:val="22"/>
        </w:rPr>
        <w:t>, con una doctrina aplicable al caso</w:t>
      </w:r>
      <w:r w:rsidR="00C65046">
        <w:rPr>
          <w:sz w:val="22"/>
          <w:szCs w:val="22"/>
        </w:rPr>
        <w:t>. Trata de la capilaridad de las oficinas de la red postal como criterio de adjudicación de un contrato público, y afirma que el acceso a la red pública postal debe equipa</w:t>
      </w:r>
      <w:r w:rsidR="00537B71">
        <w:rPr>
          <w:sz w:val="22"/>
          <w:szCs w:val="22"/>
        </w:rPr>
        <w:t>ra</w:t>
      </w:r>
      <w:r w:rsidR="00C65046">
        <w:rPr>
          <w:sz w:val="22"/>
          <w:szCs w:val="22"/>
        </w:rPr>
        <w:t xml:space="preserve">rse a disponer de las oficinas de Correos, </w:t>
      </w:r>
      <w:r w:rsidR="00537B71">
        <w:rPr>
          <w:sz w:val="22"/>
          <w:szCs w:val="22"/>
        </w:rPr>
        <w:t>porque es</w:t>
      </w:r>
      <w:r w:rsidR="00C65046">
        <w:rPr>
          <w:sz w:val="22"/>
          <w:szCs w:val="22"/>
        </w:rPr>
        <w:t xml:space="preserve"> una integración con la red pública y no una subcontratación, de tal forma que el criterio de adjudicación se convierte en </w:t>
      </w:r>
      <w:r w:rsidR="00C65046" w:rsidRPr="00C65046">
        <w:rPr>
          <w:i/>
          <w:iCs/>
          <w:sz w:val="22"/>
          <w:szCs w:val="22"/>
          <w:u w:val="single"/>
        </w:rPr>
        <w:t>un criterio de efecto neutro</w:t>
      </w:r>
      <w:r w:rsidR="00C65046">
        <w:rPr>
          <w:sz w:val="22"/>
          <w:szCs w:val="22"/>
        </w:rPr>
        <w:t xml:space="preserve">, esto es, que no puede generar diferencias entre los licitadores. Esto es precisamente lo que ocurre en </w:t>
      </w:r>
      <w:r w:rsidR="00537B71">
        <w:rPr>
          <w:sz w:val="22"/>
          <w:szCs w:val="22"/>
        </w:rPr>
        <w:t>el</w:t>
      </w:r>
      <w:r w:rsidR="00C65046">
        <w:rPr>
          <w:sz w:val="22"/>
          <w:szCs w:val="22"/>
        </w:rPr>
        <w:t xml:space="preserve"> </w:t>
      </w:r>
      <w:r w:rsidR="00537B71">
        <w:rPr>
          <w:sz w:val="22"/>
          <w:szCs w:val="22"/>
        </w:rPr>
        <w:t>aspecto valorable</w:t>
      </w:r>
      <w:r w:rsidR="00C65046">
        <w:rPr>
          <w:sz w:val="22"/>
          <w:szCs w:val="22"/>
        </w:rPr>
        <w:t xml:space="preserve"> de oficinas en poblaciones de menos de 3.500 habitantes y, de forma indirecta, en el aspecto 5º, no sometido a fórmulas automáticas, sobre </w:t>
      </w:r>
      <w:r w:rsidR="00C65046" w:rsidRPr="006F1531">
        <w:rPr>
          <w:i/>
          <w:iCs/>
          <w:sz w:val="22"/>
          <w:szCs w:val="22"/>
        </w:rPr>
        <w:t>adecuación de la metodología y medios propuestos para realizar envíos masivos</w:t>
      </w:r>
      <w:r w:rsidR="00C65046">
        <w:rPr>
          <w:i/>
          <w:iCs/>
          <w:sz w:val="22"/>
          <w:szCs w:val="22"/>
        </w:rPr>
        <w:t xml:space="preserve">. </w:t>
      </w:r>
      <w:r w:rsidR="00C65046" w:rsidRPr="00C65046">
        <w:rPr>
          <w:sz w:val="22"/>
          <w:szCs w:val="22"/>
        </w:rPr>
        <w:t>En ambos criterios las licitadoras obtienen el mismo número de puntos</w:t>
      </w:r>
      <w:r w:rsidR="00C65046">
        <w:rPr>
          <w:sz w:val="22"/>
          <w:szCs w:val="22"/>
        </w:rPr>
        <w:t xml:space="preserve">, de tal forma que el acceso a la red postal pública y </w:t>
      </w:r>
      <w:r w:rsidR="00537B71">
        <w:rPr>
          <w:sz w:val="22"/>
          <w:szCs w:val="22"/>
        </w:rPr>
        <w:t>los</w:t>
      </w:r>
      <w:r w:rsidR="00C65046">
        <w:rPr>
          <w:sz w:val="22"/>
          <w:szCs w:val="22"/>
        </w:rPr>
        <w:t xml:space="preserve"> medios asociados </w:t>
      </w:r>
      <w:r w:rsidR="00537B71">
        <w:rPr>
          <w:sz w:val="22"/>
          <w:szCs w:val="22"/>
        </w:rPr>
        <w:t>no generan—ni deben generar—</w:t>
      </w:r>
      <w:r w:rsidR="00C65046">
        <w:rPr>
          <w:sz w:val="22"/>
          <w:szCs w:val="22"/>
        </w:rPr>
        <w:t xml:space="preserve"> diferencias de trato entre los licitadores.</w:t>
      </w:r>
      <w:r w:rsidR="00537B71">
        <w:rPr>
          <w:sz w:val="22"/>
          <w:szCs w:val="22"/>
        </w:rPr>
        <w:t xml:space="preserve"> </w:t>
      </w:r>
    </w:p>
    <w:p w14:paraId="38E0669F" w14:textId="77777777" w:rsidR="00295E96" w:rsidRDefault="00295E96" w:rsidP="007A7CE2">
      <w:pPr>
        <w:jc w:val="both"/>
        <w:rPr>
          <w:sz w:val="22"/>
          <w:szCs w:val="22"/>
        </w:rPr>
      </w:pPr>
    </w:p>
    <w:p w14:paraId="1A00FA59" w14:textId="077C97E4" w:rsidR="00C36535" w:rsidRPr="00C65046" w:rsidRDefault="00537B71" w:rsidP="007A7CE2">
      <w:pPr>
        <w:jc w:val="both"/>
        <w:rPr>
          <w:sz w:val="22"/>
          <w:szCs w:val="22"/>
        </w:rPr>
      </w:pPr>
      <w:r>
        <w:rPr>
          <w:sz w:val="22"/>
          <w:szCs w:val="22"/>
        </w:rPr>
        <w:t>Por lo expuesto, este motivo</w:t>
      </w:r>
      <w:r w:rsidR="00295E96">
        <w:rPr>
          <w:sz w:val="22"/>
          <w:szCs w:val="22"/>
        </w:rPr>
        <w:t xml:space="preserve"> 4º</w:t>
      </w:r>
      <w:r>
        <w:rPr>
          <w:sz w:val="22"/>
          <w:szCs w:val="22"/>
        </w:rPr>
        <w:t xml:space="preserve">, al igual que los anteriores, </w:t>
      </w:r>
      <w:r w:rsidR="00295E96">
        <w:rPr>
          <w:sz w:val="22"/>
          <w:szCs w:val="22"/>
        </w:rPr>
        <w:t>no puede tener favorable acogida</w:t>
      </w:r>
      <w:r>
        <w:rPr>
          <w:sz w:val="22"/>
          <w:szCs w:val="22"/>
        </w:rPr>
        <w:t>, lo que conlleva la desestimación íntegra del recurso.</w:t>
      </w:r>
    </w:p>
    <w:p w14:paraId="4497ED6B" w14:textId="77777777" w:rsidR="00F1751D" w:rsidRDefault="00F1751D" w:rsidP="007A7CE2">
      <w:pPr>
        <w:jc w:val="both"/>
        <w:rPr>
          <w:sz w:val="22"/>
          <w:szCs w:val="22"/>
        </w:rPr>
      </w:pPr>
    </w:p>
    <w:bookmarkEnd w:id="0"/>
    <w:p w14:paraId="089D8803" w14:textId="77777777" w:rsidR="00981F92" w:rsidRDefault="00981F92" w:rsidP="003F3986">
      <w:pPr>
        <w:rPr>
          <w:bCs/>
          <w:sz w:val="22"/>
          <w:szCs w:val="22"/>
        </w:rPr>
      </w:pPr>
    </w:p>
    <w:p w14:paraId="1BCEEA04" w14:textId="51E99247" w:rsidR="003F3986" w:rsidRPr="003F3986" w:rsidRDefault="003F3986" w:rsidP="003F3986">
      <w:pPr>
        <w:rPr>
          <w:bCs/>
          <w:sz w:val="22"/>
          <w:szCs w:val="22"/>
        </w:rPr>
      </w:pPr>
      <w:r w:rsidRPr="003F3986">
        <w:rPr>
          <w:bCs/>
          <w:sz w:val="22"/>
          <w:szCs w:val="22"/>
        </w:rPr>
        <w:t>Vistos los preceptos legales de aplicación, este Órgano Administrativo Foral de Recursos Contractuales emite la siguiente</w:t>
      </w:r>
    </w:p>
    <w:p w14:paraId="6BF462EF" w14:textId="77777777" w:rsidR="003F3986" w:rsidRPr="003F3986" w:rsidRDefault="003F3986" w:rsidP="003F3986">
      <w:pPr>
        <w:rPr>
          <w:bCs/>
          <w:sz w:val="22"/>
          <w:szCs w:val="22"/>
        </w:rPr>
      </w:pPr>
    </w:p>
    <w:p w14:paraId="19844F9B" w14:textId="77777777" w:rsidR="003F3986" w:rsidRPr="003F3986" w:rsidRDefault="003F3986" w:rsidP="003F3986">
      <w:pPr>
        <w:jc w:val="center"/>
        <w:rPr>
          <w:b/>
          <w:sz w:val="22"/>
          <w:szCs w:val="22"/>
          <w:lang w:val="es-ES_tradnl"/>
        </w:rPr>
      </w:pPr>
      <w:r w:rsidRPr="003F3986">
        <w:rPr>
          <w:b/>
          <w:sz w:val="22"/>
          <w:szCs w:val="22"/>
          <w:lang w:val="es-ES_tradnl"/>
        </w:rPr>
        <w:t>RESOLUCIÓN</w:t>
      </w:r>
    </w:p>
    <w:p w14:paraId="1F3FC0A2" w14:textId="77777777" w:rsidR="003F3986" w:rsidRDefault="003F3986" w:rsidP="003F3986">
      <w:pPr>
        <w:rPr>
          <w:b/>
          <w:bCs/>
          <w:sz w:val="22"/>
          <w:szCs w:val="22"/>
        </w:rPr>
      </w:pPr>
    </w:p>
    <w:p w14:paraId="03EEACA1" w14:textId="2B7ED8A7" w:rsidR="003F3986" w:rsidRPr="003F3986" w:rsidRDefault="003F3986" w:rsidP="003F3986">
      <w:pPr>
        <w:jc w:val="both"/>
        <w:rPr>
          <w:bCs/>
          <w:sz w:val="22"/>
          <w:szCs w:val="22"/>
        </w:rPr>
      </w:pPr>
      <w:r w:rsidRPr="003F3986">
        <w:rPr>
          <w:b/>
          <w:bCs/>
          <w:sz w:val="22"/>
          <w:szCs w:val="22"/>
        </w:rPr>
        <w:t xml:space="preserve">Primero. - </w:t>
      </w:r>
      <w:r w:rsidRPr="003F3986">
        <w:rPr>
          <w:sz w:val="22"/>
          <w:szCs w:val="22"/>
        </w:rPr>
        <w:t xml:space="preserve">Desestimar el recurso especial en materia de contratación interpuesto </w:t>
      </w:r>
      <w:r w:rsidR="00002A8E" w:rsidRPr="00624496">
        <w:rPr>
          <w:sz w:val="22"/>
          <w:szCs w:val="22"/>
        </w:rPr>
        <w:t>por el director de Servicios Jurídicos de CORREOS</w:t>
      </w:r>
      <w:r w:rsidR="00002A8E">
        <w:rPr>
          <w:sz w:val="22"/>
          <w:szCs w:val="22"/>
        </w:rPr>
        <w:t xml:space="preserve"> SA</w:t>
      </w:r>
      <w:r w:rsidR="00002A8E" w:rsidRPr="00624496">
        <w:rPr>
          <w:sz w:val="22"/>
          <w:szCs w:val="22"/>
        </w:rPr>
        <w:t xml:space="preserve">, </w:t>
      </w:r>
      <w:r w:rsidR="006215AE">
        <w:rPr>
          <w:sz w:val="22"/>
          <w:szCs w:val="22"/>
        </w:rPr>
        <w:t>XXXXXXXXXXXXXXXX</w:t>
      </w:r>
      <w:r w:rsidR="00002A8E" w:rsidRPr="00624496">
        <w:rPr>
          <w:sz w:val="22"/>
          <w:szCs w:val="22"/>
        </w:rPr>
        <w:t>, en representación de la entidad</w:t>
      </w:r>
      <w:r w:rsidR="00002A8E" w:rsidRPr="00A56C4A">
        <w:rPr>
          <w:sz w:val="22"/>
          <w:szCs w:val="22"/>
        </w:rPr>
        <w:t xml:space="preserve"> </w:t>
      </w:r>
      <w:r w:rsidR="00002A8E">
        <w:rPr>
          <w:sz w:val="22"/>
          <w:szCs w:val="22"/>
        </w:rPr>
        <w:t>CORREOS SA</w:t>
      </w:r>
      <w:r w:rsidR="00002A8E" w:rsidRPr="00A56C4A">
        <w:rPr>
          <w:sz w:val="22"/>
          <w:szCs w:val="22"/>
        </w:rPr>
        <w:t xml:space="preserve"> contra</w:t>
      </w:r>
      <w:r w:rsidR="00002A8E">
        <w:rPr>
          <w:sz w:val="22"/>
          <w:szCs w:val="22"/>
        </w:rPr>
        <w:t xml:space="preserve"> </w:t>
      </w:r>
      <w:r w:rsidR="00002A8E" w:rsidRPr="00F820B9">
        <w:rPr>
          <w:sz w:val="22"/>
          <w:szCs w:val="22"/>
        </w:rPr>
        <w:t>Acuerdo del Consejo de Gobierno Foral 101/2025, de 25 de febrero</w:t>
      </w:r>
      <w:r w:rsidR="00002A8E">
        <w:rPr>
          <w:sz w:val="22"/>
          <w:szCs w:val="22"/>
        </w:rPr>
        <w:t xml:space="preserve">, que decide adjudicar el contrato </w:t>
      </w:r>
      <w:r w:rsidR="00002A8E" w:rsidRPr="00F820B9">
        <w:rPr>
          <w:sz w:val="22"/>
          <w:szCs w:val="22"/>
        </w:rPr>
        <w:t>a la UTE DFA AKROPOST SPPV S.A. - HISPAPOST S.A. (UTE</w:t>
      </w:r>
      <w:r w:rsidR="00002A8E">
        <w:rPr>
          <w:sz w:val="22"/>
          <w:szCs w:val="22"/>
        </w:rPr>
        <w:t>).</w:t>
      </w:r>
    </w:p>
    <w:p w14:paraId="76613C41" w14:textId="77777777" w:rsidR="003F3986" w:rsidRPr="003F3986" w:rsidRDefault="003F3986" w:rsidP="003F3986">
      <w:pPr>
        <w:jc w:val="both"/>
        <w:rPr>
          <w:bCs/>
          <w:sz w:val="22"/>
          <w:szCs w:val="22"/>
        </w:rPr>
      </w:pPr>
    </w:p>
    <w:p w14:paraId="0B518A6B" w14:textId="33A8F385" w:rsidR="003F3986" w:rsidRPr="003F3986" w:rsidRDefault="003F3986" w:rsidP="003F3986">
      <w:pPr>
        <w:jc w:val="both"/>
        <w:rPr>
          <w:bCs/>
          <w:sz w:val="22"/>
          <w:szCs w:val="22"/>
        </w:rPr>
      </w:pPr>
      <w:r w:rsidRPr="003F3986">
        <w:rPr>
          <w:b/>
          <w:sz w:val="22"/>
          <w:szCs w:val="22"/>
        </w:rPr>
        <w:t>Segundo.</w:t>
      </w:r>
      <w:r w:rsidRPr="003F3986">
        <w:rPr>
          <w:bCs/>
          <w:sz w:val="22"/>
          <w:szCs w:val="22"/>
        </w:rPr>
        <w:t xml:space="preserve"> - Levantar la suspensión cautelar acordada por este OAFRC, por Resolución</w:t>
      </w:r>
      <w:r w:rsidR="0055197F">
        <w:rPr>
          <w:bCs/>
          <w:sz w:val="22"/>
          <w:szCs w:val="22"/>
        </w:rPr>
        <w:t xml:space="preserve"> 8/2025</w:t>
      </w:r>
      <w:r w:rsidRPr="003F3986">
        <w:rPr>
          <w:bCs/>
          <w:sz w:val="22"/>
          <w:szCs w:val="22"/>
        </w:rPr>
        <w:t xml:space="preserve"> </w:t>
      </w:r>
      <w:r w:rsidR="0055197F">
        <w:rPr>
          <w:bCs/>
          <w:sz w:val="22"/>
          <w:szCs w:val="22"/>
        </w:rPr>
        <w:t>de 21 de marzo.</w:t>
      </w:r>
    </w:p>
    <w:p w14:paraId="5237E7A3" w14:textId="77777777" w:rsidR="003F3986" w:rsidRPr="003F3986" w:rsidRDefault="003F3986" w:rsidP="003F3986">
      <w:pPr>
        <w:jc w:val="both"/>
        <w:rPr>
          <w:bCs/>
          <w:sz w:val="22"/>
          <w:szCs w:val="22"/>
        </w:rPr>
      </w:pPr>
    </w:p>
    <w:p w14:paraId="45BE3DF8" w14:textId="77777777" w:rsidR="003F3986" w:rsidRPr="003F3986" w:rsidRDefault="003F3986" w:rsidP="003F3986">
      <w:pPr>
        <w:jc w:val="both"/>
        <w:rPr>
          <w:bCs/>
          <w:sz w:val="22"/>
          <w:szCs w:val="22"/>
        </w:rPr>
      </w:pPr>
      <w:r w:rsidRPr="003F3986">
        <w:rPr>
          <w:b/>
          <w:sz w:val="22"/>
          <w:szCs w:val="22"/>
        </w:rPr>
        <w:t>Tercero.</w:t>
      </w:r>
      <w:r w:rsidRPr="003F3986">
        <w:rPr>
          <w:bCs/>
          <w:sz w:val="22"/>
          <w:szCs w:val="22"/>
        </w:rPr>
        <w:t xml:space="preserve"> - Declarar que no se aprecia la concurrencia de mala fe o temeridad en la interposición del recurso, por lo que no procede la imposición de sanción prevista en el artículo 58.2 de la LCSP. </w:t>
      </w:r>
    </w:p>
    <w:p w14:paraId="2E5C2032" w14:textId="77777777" w:rsidR="003F3986" w:rsidRPr="003F3986" w:rsidRDefault="003F3986" w:rsidP="003F3986">
      <w:pPr>
        <w:jc w:val="both"/>
        <w:rPr>
          <w:bCs/>
          <w:sz w:val="22"/>
          <w:szCs w:val="22"/>
        </w:rPr>
      </w:pPr>
    </w:p>
    <w:p w14:paraId="1F4BF47C" w14:textId="77777777" w:rsidR="003F3986" w:rsidRPr="003F3986" w:rsidRDefault="003F3986" w:rsidP="003F3986">
      <w:pPr>
        <w:jc w:val="both"/>
        <w:rPr>
          <w:sz w:val="22"/>
          <w:szCs w:val="22"/>
        </w:rPr>
      </w:pPr>
      <w:r w:rsidRPr="003F3986">
        <w:rPr>
          <w:sz w:val="22"/>
          <w:szCs w:val="22"/>
        </w:rPr>
        <w:t xml:space="preserve">Esta resolución es definitiva en la vía administrativa y contra la misma cabe interponer recurso contencioso-administrativo ante la Sala de lo Contencioso-Administrativo del Tribunal Superior de Justicia del País Vasco, en el plazo de dos meses, a contar desde el día siguiente al de la </w:t>
      </w:r>
      <w:r w:rsidRPr="003F3986">
        <w:rPr>
          <w:sz w:val="22"/>
          <w:szCs w:val="22"/>
        </w:rPr>
        <w:lastRenderedPageBreak/>
        <w:t>recepción de esta notificación, de conformidad con lo dispuesto en los artículos 11.1.f) y 46.1 de la Ley 29/1998, de 13 de julio, Reguladora de la Jurisdicción Contencioso-Administrativa.</w:t>
      </w:r>
    </w:p>
    <w:p w14:paraId="472F0CC3" w14:textId="77777777" w:rsidR="003B7FC8" w:rsidRDefault="003B7FC8" w:rsidP="003F3986">
      <w:pPr>
        <w:jc w:val="both"/>
        <w:rPr>
          <w:sz w:val="24"/>
          <w:szCs w:val="24"/>
        </w:rPr>
      </w:pPr>
    </w:p>
    <w:p w14:paraId="657A8A48" w14:textId="77777777" w:rsidR="006F0492" w:rsidRDefault="006F0492" w:rsidP="003F3986">
      <w:pPr>
        <w:jc w:val="both"/>
        <w:rPr>
          <w:sz w:val="24"/>
          <w:szCs w:val="24"/>
        </w:rPr>
      </w:pPr>
    </w:p>
    <w:p w14:paraId="13B9CF48" w14:textId="77777777" w:rsidR="006F0492" w:rsidRDefault="006F0492" w:rsidP="003F3986">
      <w:pPr>
        <w:jc w:val="both"/>
        <w:rPr>
          <w:sz w:val="24"/>
          <w:szCs w:val="24"/>
        </w:rPr>
      </w:pPr>
    </w:p>
    <w:p w14:paraId="5142D3A2" w14:textId="77777777" w:rsidR="006F0492" w:rsidRDefault="006F0492" w:rsidP="003F3986">
      <w:pPr>
        <w:jc w:val="both"/>
        <w:rPr>
          <w:sz w:val="24"/>
          <w:szCs w:val="24"/>
        </w:rPr>
      </w:pPr>
    </w:p>
    <w:p w14:paraId="516D0BE4" w14:textId="77777777" w:rsidR="006F0492" w:rsidRDefault="006F0492" w:rsidP="003F3986">
      <w:pPr>
        <w:jc w:val="both"/>
        <w:rPr>
          <w:sz w:val="24"/>
          <w:szCs w:val="24"/>
        </w:rPr>
      </w:pPr>
    </w:p>
    <w:sectPr w:rsidR="006F0492">
      <w:headerReference w:type="default" r:id="rId7"/>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2EB81D" w14:textId="77777777" w:rsidR="005E5A55" w:rsidRDefault="005E5A55" w:rsidP="005E5A55">
      <w:r>
        <w:separator/>
      </w:r>
    </w:p>
  </w:endnote>
  <w:endnote w:type="continuationSeparator" w:id="0">
    <w:p w14:paraId="6F111F58" w14:textId="77777777" w:rsidR="005E5A55" w:rsidRDefault="005E5A55" w:rsidP="005E5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1658470"/>
      <w:docPartObj>
        <w:docPartGallery w:val="Page Numbers (Bottom of Page)"/>
        <w:docPartUnique/>
      </w:docPartObj>
    </w:sdtPr>
    <w:sdtEndPr/>
    <w:sdtContent>
      <w:p w14:paraId="0EAC5AB7" w14:textId="5700F73A" w:rsidR="00413051" w:rsidRDefault="00413051">
        <w:pPr>
          <w:pStyle w:val="Piedepgina"/>
          <w:jc w:val="right"/>
        </w:pPr>
        <w:r>
          <w:fldChar w:fldCharType="begin"/>
        </w:r>
        <w:r>
          <w:instrText>PAGE   \* MERGEFORMAT</w:instrText>
        </w:r>
        <w:r>
          <w:fldChar w:fldCharType="separate"/>
        </w:r>
        <w:r>
          <w:t>2</w:t>
        </w:r>
        <w:r>
          <w:fldChar w:fldCharType="end"/>
        </w:r>
      </w:p>
    </w:sdtContent>
  </w:sdt>
  <w:p w14:paraId="178F0562" w14:textId="77777777" w:rsidR="005E5A55" w:rsidRDefault="005E5A5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0AAE89" w14:textId="77777777" w:rsidR="005E5A55" w:rsidRDefault="005E5A55" w:rsidP="005E5A55">
      <w:r>
        <w:separator/>
      </w:r>
    </w:p>
  </w:footnote>
  <w:footnote w:type="continuationSeparator" w:id="0">
    <w:p w14:paraId="2587B2CF" w14:textId="77777777" w:rsidR="005E5A55" w:rsidRDefault="005E5A55" w:rsidP="005E5A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0" w:type="dxa"/>
        <w:right w:w="70" w:type="dxa"/>
      </w:tblCellMar>
      <w:tblLook w:val="0000" w:firstRow="0" w:lastRow="0" w:firstColumn="0" w:lastColumn="0" w:noHBand="0" w:noVBand="0"/>
    </w:tblPr>
    <w:tblGrid>
      <w:gridCol w:w="4890"/>
      <w:gridCol w:w="4961"/>
    </w:tblGrid>
    <w:tr w:rsidR="001C37FB" w:rsidRPr="00814F6B" w14:paraId="59FC5CDC" w14:textId="77777777" w:rsidTr="003F7CBE">
      <w:tc>
        <w:tcPr>
          <w:tcW w:w="4890" w:type="dxa"/>
        </w:tcPr>
        <w:p w14:paraId="0C19174C" w14:textId="77777777" w:rsidR="001C37FB" w:rsidRPr="00814F6B" w:rsidRDefault="001C37FB" w:rsidP="001C37FB">
          <w:pPr>
            <w:tabs>
              <w:tab w:val="center" w:pos="4819"/>
              <w:tab w:val="right" w:pos="9071"/>
            </w:tabs>
            <w:spacing w:after="720"/>
            <w:ind w:left="74" w:right="360"/>
            <w:rPr>
              <w:rFonts w:ascii="Arial" w:hAnsi="Arial"/>
              <w:noProof/>
              <w:sz w:val="16"/>
              <w:lang w:val="es-ES_tradnl"/>
            </w:rPr>
          </w:pPr>
          <w:r w:rsidRPr="00814F6B">
            <w:rPr>
              <w:rFonts w:ascii="Arial" w:hAnsi="Arial"/>
              <w:noProof/>
            </w:rPr>
            <w:drawing>
              <wp:inline distT="0" distB="0" distL="0" distR="0" wp14:anchorId="667D0A20" wp14:editId="65FA5EFD">
                <wp:extent cx="2076450" cy="7048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6450" cy="704850"/>
                        </a:xfrm>
                        <a:prstGeom prst="rect">
                          <a:avLst/>
                        </a:prstGeom>
                        <a:noFill/>
                        <a:ln>
                          <a:noFill/>
                        </a:ln>
                      </pic:spPr>
                    </pic:pic>
                  </a:graphicData>
                </a:graphic>
              </wp:inline>
            </w:drawing>
          </w:r>
        </w:p>
        <w:p w14:paraId="399F711D" w14:textId="77777777" w:rsidR="001C37FB" w:rsidRPr="00814F6B" w:rsidRDefault="001C37FB" w:rsidP="001C37FB">
          <w:pPr>
            <w:tabs>
              <w:tab w:val="center" w:pos="4819"/>
              <w:tab w:val="right" w:pos="9071"/>
            </w:tabs>
            <w:ind w:left="1064"/>
            <w:rPr>
              <w:rFonts w:ascii="Arial" w:hAnsi="Arial"/>
              <w:noProof/>
              <w:sz w:val="16"/>
              <w:lang w:val="es-ES_tradnl"/>
            </w:rPr>
          </w:pPr>
        </w:p>
      </w:tc>
      <w:tc>
        <w:tcPr>
          <w:tcW w:w="4961" w:type="dxa"/>
        </w:tcPr>
        <w:p w14:paraId="34C32959" w14:textId="77777777" w:rsidR="001C37FB" w:rsidRPr="00814F6B" w:rsidRDefault="001C37FB" w:rsidP="001C37FB">
          <w:pPr>
            <w:tabs>
              <w:tab w:val="center" w:pos="4819"/>
              <w:tab w:val="right" w:pos="9071"/>
            </w:tabs>
            <w:spacing w:after="40" w:line="240" w:lineRule="exact"/>
            <w:ind w:left="-68"/>
            <w:rPr>
              <w:rFonts w:ascii="Arial" w:hAnsi="Arial"/>
              <w:b/>
              <w:noProof/>
              <w:sz w:val="18"/>
              <w:lang w:val="es-ES_tradnl"/>
            </w:rPr>
          </w:pPr>
        </w:p>
        <w:p w14:paraId="3E15FD92" w14:textId="77777777" w:rsidR="001C37FB" w:rsidRPr="00814F6B" w:rsidRDefault="001C37FB" w:rsidP="001C37FB">
          <w:pPr>
            <w:tabs>
              <w:tab w:val="center" w:pos="4819"/>
              <w:tab w:val="right" w:pos="9071"/>
            </w:tabs>
            <w:spacing w:after="60" w:line="190" w:lineRule="exact"/>
            <w:ind w:left="-70"/>
            <w:rPr>
              <w:rFonts w:ascii="Arial" w:hAnsi="Arial"/>
              <w:noProof/>
              <w:sz w:val="18"/>
              <w:lang w:val="es-ES_tradnl"/>
            </w:rPr>
          </w:pPr>
          <w:r w:rsidRPr="00814F6B">
            <w:rPr>
              <w:rFonts w:ascii="Arial" w:hAnsi="Arial"/>
              <w:b/>
              <w:noProof/>
              <w:sz w:val="18"/>
              <w:lang w:val="es-ES_tradnl"/>
            </w:rPr>
            <w:t>Kontratu Errekurtsoen Foru Organo Administr</w:t>
          </w:r>
          <w:r>
            <w:rPr>
              <w:rFonts w:ascii="Arial" w:hAnsi="Arial"/>
              <w:b/>
              <w:noProof/>
              <w:sz w:val="18"/>
              <w:lang w:val="es-ES_tradnl"/>
            </w:rPr>
            <w:t>ati</w:t>
          </w:r>
          <w:r w:rsidRPr="00814F6B">
            <w:rPr>
              <w:rFonts w:ascii="Arial" w:hAnsi="Arial"/>
              <w:b/>
              <w:noProof/>
              <w:sz w:val="18"/>
              <w:lang w:val="es-ES_tradnl"/>
            </w:rPr>
            <w:t>boa</w:t>
          </w:r>
        </w:p>
        <w:p w14:paraId="6CAD9364" w14:textId="77777777" w:rsidR="001C37FB" w:rsidRPr="00814F6B" w:rsidRDefault="001C37FB" w:rsidP="001C37FB">
          <w:pPr>
            <w:tabs>
              <w:tab w:val="center" w:pos="4819"/>
              <w:tab w:val="right" w:pos="9071"/>
            </w:tabs>
            <w:spacing w:after="60" w:line="190" w:lineRule="exact"/>
            <w:ind w:left="-70"/>
            <w:rPr>
              <w:rFonts w:ascii="Arial" w:hAnsi="Arial"/>
              <w:b/>
              <w:noProof/>
              <w:sz w:val="18"/>
              <w:lang w:val="es-ES_tradnl"/>
            </w:rPr>
          </w:pPr>
          <w:r w:rsidRPr="00814F6B">
            <w:rPr>
              <w:rFonts w:ascii="Arial" w:hAnsi="Arial"/>
              <w:b/>
              <w:noProof/>
              <w:sz w:val="18"/>
              <w:lang w:val="es-ES_tradnl"/>
            </w:rPr>
            <w:t>Órgano Administrativo Foral de Recursos Contractuales</w:t>
          </w:r>
        </w:p>
      </w:tc>
    </w:tr>
  </w:tbl>
  <w:p w14:paraId="418355BD" w14:textId="77777777" w:rsidR="001C37FB" w:rsidRDefault="001C37FB" w:rsidP="001C37FB">
    <w:pPr>
      <w:pStyle w:val="Encabezado"/>
      <w:rPr>
        <w:lang w:val="es-ES_tradnl"/>
      </w:rPr>
    </w:pPr>
  </w:p>
  <w:p w14:paraId="0811B1B8" w14:textId="77777777" w:rsidR="001C37FB" w:rsidRDefault="001C37FB" w:rsidP="001C37FB">
    <w:pPr>
      <w:pStyle w:val="Encabezado"/>
      <w:rPr>
        <w:lang w:val="es-ES_tradnl"/>
      </w:rPr>
    </w:pPr>
  </w:p>
  <w:p w14:paraId="679B635D" w14:textId="77777777" w:rsidR="001C37FB" w:rsidRPr="00D70071" w:rsidRDefault="001C37FB" w:rsidP="001C37FB">
    <w:pPr>
      <w:pStyle w:val="Encabezado"/>
      <w:rPr>
        <w:lang w:val="es-ES_trad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9039A6"/>
    <w:multiLevelType w:val="hybridMultilevel"/>
    <w:tmpl w:val="69CE968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3F920FCF"/>
    <w:multiLevelType w:val="hybridMultilevel"/>
    <w:tmpl w:val="4D3693B0"/>
    <w:lvl w:ilvl="0" w:tplc="FFFFFFFF">
      <w:start w:val="1"/>
      <w:numFmt w:val="upperRoman"/>
      <w:lvlText w:val="%1."/>
      <w:lvlJc w:val="left"/>
      <w:pPr>
        <w:ind w:left="1440" w:hanging="72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 w15:restartNumberingAfterBreak="0">
    <w:nsid w:val="442F743F"/>
    <w:multiLevelType w:val="hybridMultilevel"/>
    <w:tmpl w:val="43A6A248"/>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560B24FF"/>
    <w:multiLevelType w:val="multilevel"/>
    <w:tmpl w:val="04769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8DA7795"/>
    <w:multiLevelType w:val="hybridMultilevel"/>
    <w:tmpl w:val="B62A1C48"/>
    <w:lvl w:ilvl="0" w:tplc="FFFFFFFF">
      <w:start w:val="1"/>
      <w:numFmt w:val="upperRoman"/>
      <w:lvlText w:val="%1."/>
      <w:lvlJc w:val="left"/>
      <w:pPr>
        <w:ind w:left="1440" w:hanging="72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 w15:restartNumberingAfterBreak="0">
    <w:nsid w:val="59263E65"/>
    <w:multiLevelType w:val="multilevel"/>
    <w:tmpl w:val="F3CC6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24F1F43"/>
    <w:multiLevelType w:val="hybridMultilevel"/>
    <w:tmpl w:val="96B8A1FC"/>
    <w:lvl w:ilvl="0" w:tplc="85FCA450">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469445312">
    <w:abstractNumId w:val="5"/>
  </w:num>
  <w:num w:numId="2" w16cid:durableId="636762707">
    <w:abstractNumId w:val="3"/>
  </w:num>
  <w:num w:numId="3" w16cid:durableId="193006363">
    <w:abstractNumId w:val="6"/>
  </w:num>
  <w:num w:numId="4" w16cid:durableId="1694530507">
    <w:abstractNumId w:val="2"/>
  </w:num>
  <w:num w:numId="5" w16cid:durableId="2056196996">
    <w:abstractNumId w:val="4"/>
  </w:num>
  <w:num w:numId="6" w16cid:durableId="1263027402">
    <w:abstractNumId w:val="1"/>
  </w:num>
  <w:num w:numId="7" w16cid:durableId="10003550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58F3"/>
    <w:rsid w:val="00001A98"/>
    <w:rsid w:val="00002A8E"/>
    <w:rsid w:val="0006490F"/>
    <w:rsid w:val="00086F0F"/>
    <w:rsid w:val="000B1F6A"/>
    <w:rsid w:val="000B4A59"/>
    <w:rsid w:val="000B5E2E"/>
    <w:rsid w:val="00111391"/>
    <w:rsid w:val="00152382"/>
    <w:rsid w:val="0015655B"/>
    <w:rsid w:val="00163ED7"/>
    <w:rsid w:val="00171012"/>
    <w:rsid w:val="001923B5"/>
    <w:rsid w:val="001A7920"/>
    <w:rsid w:val="001C37FB"/>
    <w:rsid w:val="001C3979"/>
    <w:rsid w:val="001F5CEE"/>
    <w:rsid w:val="00284327"/>
    <w:rsid w:val="00295E96"/>
    <w:rsid w:val="002C68AE"/>
    <w:rsid w:val="002F52CC"/>
    <w:rsid w:val="00305823"/>
    <w:rsid w:val="00331B93"/>
    <w:rsid w:val="00343DB5"/>
    <w:rsid w:val="00362A27"/>
    <w:rsid w:val="003819FF"/>
    <w:rsid w:val="003B7FC8"/>
    <w:rsid w:val="003F3986"/>
    <w:rsid w:val="00413051"/>
    <w:rsid w:val="00422DF2"/>
    <w:rsid w:val="00426DBA"/>
    <w:rsid w:val="004A2DB5"/>
    <w:rsid w:val="004B6522"/>
    <w:rsid w:val="004E347C"/>
    <w:rsid w:val="00500AF7"/>
    <w:rsid w:val="00502FFA"/>
    <w:rsid w:val="00515BA7"/>
    <w:rsid w:val="00521BB2"/>
    <w:rsid w:val="00537B71"/>
    <w:rsid w:val="0055197F"/>
    <w:rsid w:val="00563C27"/>
    <w:rsid w:val="00564C50"/>
    <w:rsid w:val="00574F5B"/>
    <w:rsid w:val="005E5A55"/>
    <w:rsid w:val="005F4D77"/>
    <w:rsid w:val="005F67C7"/>
    <w:rsid w:val="006215AE"/>
    <w:rsid w:val="00624496"/>
    <w:rsid w:val="00627944"/>
    <w:rsid w:val="00643597"/>
    <w:rsid w:val="006462B9"/>
    <w:rsid w:val="00651D7D"/>
    <w:rsid w:val="006545C8"/>
    <w:rsid w:val="006657C4"/>
    <w:rsid w:val="006901E2"/>
    <w:rsid w:val="006B58F3"/>
    <w:rsid w:val="006D1D17"/>
    <w:rsid w:val="006E1AA5"/>
    <w:rsid w:val="006F0492"/>
    <w:rsid w:val="006F1531"/>
    <w:rsid w:val="00753F9A"/>
    <w:rsid w:val="00765621"/>
    <w:rsid w:val="0078202B"/>
    <w:rsid w:val="007A1AFB"/>
    <w:rsid w:val="007A7CE2"/>
    <w:rsid w:val="007C743C"/>
    <w:rsid w:val="008032DD"/>
    <w:rsid w:val="00804EA3"/>
    <w:rsid w:val="00812F04"/>
    <w:rsid w:val="00837910"/>
    <w:rsid w:val="0086404A"/>
    <w:rsid w:val="008643B7"/>
    <w:rsid w:val="00884D0E"/>
    <w:rsid w:val="008A1DBB"/>
    <w:rsid w:val="008C5382"/>
    <w:rsid w:val="008E0324"/>
    <w:rsid w:val="008F3486"/>
    <w:rsid w:val="00911C45"/>
    <w:rsid w:val="009370A6"/>
    <w:rsid w:val="00981F92"/>
    <w:rsid w:val="009937BC"/>
    <w:rsid w:val="009B728D"/>
    <w:rsid w:val="009C4D25"/>
    <w:rsid w:val="009E1531"/>
    <w:rsid w:val="009E3DEC"/>
    <w:rsid w:val="009F4109"/>
    <w:rsid w:val="00A171DB"/>
    <w:rsid w:val="00A236F0"/>
    <w:rsid w:val="00A50142"/>
    <w:rsid w:val="00A654E4"/>
    <w:rsid w:val="00AC0C80"/>
    <w:rsid w:val="00AD408B"/>
    <w:rsid w:val="00AE5B09"/>
    <w:rsid w:val="00B357C3"/>
    <w:rsid w:val="00B472E2"/>
    <w:rsid w:val="00B559F0"/>
    <w:rsid w:val="00C36535"/>
    <w:rsid w:val="00C40A5B"/>
    <w:rsid w:val="00C44ACA"/>
    <w:rsid w:val="00C47FCE"/>
    <w:rsid w:val="00C65046"/>
    <w:rsid w:val="00C65488"/>
    <w:rsid w:val="00C67EB1"/>
    <w:rsid w:val="00CA61B5"/>
    <w:rsid w:val="00CC39CD"/>
    <w:rsid w:val="00D36E63"/>
    <w:rsid w:val="00DA3269"/>
    <w:rsid w:val="00DB1A99"/>
    <w:rsid w:val="00DF5BB6"/>
    <w:rsid w:val="00E175E0"/>
    <w:rsid w:val="00E17CF4"/>
    <w:rsid w:val="00E22C1F"/>
    <w:rsid w:val="00E411AD"/>
    <w:rsid w:val="00E47FE8"/>
    <w:rsid w:val="00E57EAB"/>
    <w:rsid w:val="00E63822"/>
    <w:rsid w:val="00E700C8"/>
    <w:rsid w:val="00E9406C"/>
    <w:rsid w:val="00F1751D"/>
    <w:rsid w:val="00F7050C"/>
    <w:rsid w:val="00F820B9"/>
    <w:rsid w:val="00FB5025"/>
    <w:rsid w:val="00FC5B43"/>
    <w:rsid w:val="00FF349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F25A98"/>
  <w15:chartTrackingRefBased/>
  <w15:docId w15:val="{60E4B13B-93A3-4B21-97E9-6AEAE608D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58F3"/>
    <w:pPr>
      <w:spacing w:after="0" w:line="240" w:lineRule="auto"/>
    </w:pPr>
    <w:rPr>
      <w:rFonts w:ascii="Times New Roman" w:eastAsia="Times New Roman" w:hAnsi="Times New Roman" w:cs="Times New Roman"/>
      <w:kern w:val="0"/>
      <w:sz w:val="20"/>
      <w:szCs w:val="20"/>
      <w:lang w:eastAsia="es-ES"/>
      <w14:ligatures w14:val="none"/>
    </w:rPr>
  </w:style>
  <w:style w:type="paragraph" w:styleId="Ttulo1">
    <w:name w:val="heading 1"/>
    <w:basedOn w:val="Normal"/>
    <w:next w:val="Normal"/>
    <w:link w:val="Ttulo1Car"/>
    <w:qFormat/>
    <w:rsid w:val="006B58F3"/>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tulo2">
    <w:name w:val="heading 2"/>
    <w:basedOn w:val="Normal"/>
    <w:next w:val="Normal"/>
    <w:link w:val="Ttulo2Car"/>
    <w:uiPriority w:val="9"/>
    <w:semiHidden/>
    <w:unhideWhenUsed/>
    <w:qFormat/>
    <w:rsid w:val="006B58F3"/>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tulo3">
    <w:name w:val="heading 3"/>
    <w:basedOn w:val="Normal"/>
    <w:next w:val="Normal"/>
    <w:link w:val="Ttulo3Car"/>
    <w:uiPriority w:val="9"/>
    <w:semiHidden/>
    <w:unhideWhenUsed/>
    <w:qFormat/>
    <w:rsid w:val="006B58F3"/>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tulo4">
    <w:name w:val="heading 4"/>
    <w:basedOn w:val="Normal"/>
    <w:next w:val="Normal"/>
    <w:link w:val="Ttulo4Car"/>
    <w:uiPriority w:val="9"/>
    <w:semiHidden/>
    <w:unhideWhenUsed/>
    <w:qFormat/>
    <w:rsid w:val="006B58F3"/>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Ttulo5">
    <w:name w:val="heading 5"/>
    <w:basedOn w:val="Normal"/>
    <w:next w:val="Normal"/>
    <w:link w:val="Ttulo5Car"/>
    <w:uiPriority w:val="9"/>
    <w:semiHidden/>
    <w:unhideWhenUsed/>
    <w:qFormat/>
    <w:rsid w:val="006B58F3"/>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Ttulo6">
    <w:name w:val="heading 6"/>
    <w:basedOn w:val="Normal"/>
    <w:next w:val="Normal"/>
    <w:link w:val="Ttulo6Car"/>
    <w:uiPriority w:val="9"/>
    <w:semiHidden/>
    <w:unhideWhenUsed/>
    <w:qFormat/>
    <w:rsid w:val="006B58F3"/>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Ttulo7">
    <w:name w:val="heading 7"/>
    <w:basedOn w:val="Normal"/>
    <w:next w:val="Normal"/>
    <w:link w:val="Ttulo7Car"/>
    <w:uiPriority w:val="9"/>
    <w:semiHidden/>
    <w:unhideWhenUsed/>
    <w:qFormat/>
    <w:rsid w:val="006B58F3"/>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Ttulo8">
    <w:name w:val="heading 8"/>
    <w:basedOn w:val="Normal"/>
    <w:next w:val="Normal"/>
    <w:link w:val="Ttulo8Car"/>
    <w:uiPriority w:val="9"/>
    <w:semiHidden/>
    <w:unhideWhenUsed/>
    <w:qFormat/>
    <w:rsid w:val="006B58F3"/>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Ttulo9">
    <w:name w:val="heading 9"/>
    <w:basedOn w:val="Normal"/>
    <w:next w:val="Normal"/>
    <w:link w:val="Ttulo9Car"/>
    <w:uiPriority w:val="9"/>
    <w:semiHidden/>
    <w:unhideWhenUsed/>
    <w:qFormat/>
    <w:rsid w:val="006B58F3"/>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6B58F3"/>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B58F3"/>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B58F3"/>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B58F3"/>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B58F3"/>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B58F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B58F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B58F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B58F3"/>
    <w:rPr>
      <w:rFonts w:eastAsiaTheme="majorEastAsia" w:cstheme="majorBidi"/>
      <w:color w:val="272727" w:themeColor="text1" w:themeTint="D8"/>
    </w:rPr>
  </w:style>
  <w:style w:type="paragraph" w:styleId="Ttulo">
    <w:name w:val="Title"/>
    <w:basedOn w:val="Normal"/>
    <w:next w:val="Normal"/>
    <w:link w:val="TtuloCar"/>
    <w:uiPriority w:val="10"/>
    <w:qFormat/>
    <w:rsid w:val="006B58F3"/>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tuloCar">
    <w:name w:val="Título Car"/>
    <w:basedOn w:val="Fuentedeprrafopredeter"/>
    <w:link w:val="Ttulo"/>
    <w:uiPriority w:val="10"/>
    <w:rsid w:val="006B58F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B58F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tuloCar">
    <w:name w:val="Subtítulo Car"/>
    <w:basedOn w:val="Fuentedeprrafopredeter"/>
    <w:link w:val="Subttulo"/>
    <w:uiPriority w:val="11"/>
    <w:rsid w:val="006B58F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B58F3"/>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Car">
    <w:name w:val="Cita Car"/>
    <w:basedOn w:val="Fuentedeprrafopredeter"/>
    <w:link w:val="Cita"/>
    <w:uiPriority w:val="29"/>
    <w:rsid w:val="006B58F3"/>
    <w:rPr>
      <w:i/>
      <w:iCs/>
      <w:color w:val="404040" w:themeColor="text1" w:themeTint="BF"/>
    </w:rPr>
  </w:style>
  <w:style w:type="paragraph" w:styleId="Prrafodelista">
    <w:name w:val="List Paragraph"/>
    <w:basedOn w:val="Normal"/>
    <w:uiPriority w:val="34"/>
    <w:qFormat/>
    <w:rsid w:val="006B58F3"/>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nfasisintenso">
    <w:name w:val="Intense Emphasis"/>
    <w:basedOn w:val="Fuentedeprrafopredeter"/>
    <w:uiPriority w:val="21"/>
    <w:qFormat/>
    <w:rsid w:val="006B58F3"/>
    <w:rPr>
      <w:i/>
      <w:iCs/>
      <w:color w:val="0F4761" w:themeColor="accent1" w:themeShade="BF"/>
    </w:rPr>
  </w:style>
  <w:style w:type="paragraph" w:styleId="Citadestacada">
    <w:name w:val="Intense Quote"/>
    <w:basedOn w:val="Normal"/>
    <w:next w:val="Normal"/>
    <w:link w:val="CitadestacadaCar"/>
    <w:uiPriority w:val="30"/>
    <w:qFormat/>
    <w:rsid w:val="006B58F3"/>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CitadestacadaCar">
    <w:name w:val="Cita destacada Car"/>
    <w:basedOn w:val="Fuentedeprrafopredeter"/>
    <w:link w:val="Citadestacada"/>
    <w:uiPriority w:val="30"/>
    <w:rsid w:val="006B58F3"/>
    <w:rPr>
      <w:i/>
      <w:iCs/>
      <w:color w:val="0F4761" w:themeColor="accent1" w:themeShade="BF"/>
    </w:rPr>
  </w:style>
  <w:style w:type="character" w:styleId="Referenciaintensa">
    <w:name w:val="Intense Reference"/>
    <w:basedOn w:val="Fuentedeprrafopredeter"/>
    <w:uiPriority w:val="32"/>
    <w:qFormat/>
    <w:rsid w:val="006B58F3"/>
    <w:rPr>
      <w:b/>
      <w:bCs/>
      <w:smallCaps/>
      <w:color w:val="0F4761" w:themeColor="accent1" w:themeShade="BF"/>
      <w:spacing w:val="5"/>
    </w:rPr>
  </w:style>
  <w:style w:type="paragraph" w:styleId="Piedepgina">
    <w:name w:val="footer"/>
    <w:basedOn w:val="Normal"/>
    <w:link w:val="PiedepginaCar"/>
    <w:uiPriority w:val="99"/>
    <w:unhideWhenUsed/>
    <w:rsid w:val="006B58F3"/>
    <w:pPr>
      <w:tabs>
        <w:tab w:val="center" w:pos="4252"/>
        <w:tab w:val="right" w:pos="8504"/>
      </w:tabs>
    </w:pPr>
  </w:style>
  <w:style w:type="character" w:customStyle="1" w:styleId="PiedepginaCar">
    <w:name w:val="Pie de página Car"/>
    <w:basedOn w:val="Fuentedeprrafopredeter"/>
    <w:link w:val="Piedepgina"/>
    <w:uiPriority w:val="99"/>
    <w:rsid w:val="006B58F3"/>
    <w:rPr>
      <w:rFonts w:ascii="Times New Roman" w:eastAsia="Times New Roman" w:hAnsi="Times New Roman" w:cs="Times New Roman"/>
      <w:kern w:val="0"/>
      <w:sz w:val="20"/>
      <w:szCs w:val="20"/>
      <w:lang w:eastAsia="es-ES"/>
      <w14:ligatures w14:val="none"/>
    </w:rPr>
  </w:style>
  <w:style w:type="paragraph" w:styleId="Textoindependiente">
    <w:name w:val="Body Text"/>
    <w:basedOn w:val="Normal"/>
    <w:link w:val="TextoindependienteCar"/>
    <w:semiHidden/>
    <w:unhideWhenUsed/>
    <w:rsid w:val="006B58F3"/>
    <w:pPr>
      <w:tabs>
        <w:tab w:val="left" w:pos="851"/>
      </w:tabs>
      <w:spacing w:after="120"/>
      <w:jc w:val="both"/>
    </w:pPr>
    <w:rPr>
      <w:rFonts w:ascii="Arial" w:hAnsi="Arial"/>
      <w:sz w:val="26"/>
      <w:lang w:val="es-ES_tradnl"/>
    </w:rPr>
  </w:style>
  <w:style w:type="character" w:customStyle="1" w:styleId="TextoindependienteCar">
    <w:name w:val="Texto independiente Car"/>
    <w:basedOn w:val="Fuentedeprrafopredeter"/>
    <w:link w:val="Textoindependiente"/>
    <w:semiHidden/>
    <w:rsid w:val="006B58F3"/>
    <w:rPr>
      <w:rFonts w:ascii="Arial" w:eastAsia="Times New Roman" w:hAnsi="Arial" w:cs="Times New Roman"/>
      <w:kern w:val="0"/>
      <w:sz w:val="26"/>
      <w:szCs w:val="20"/>
      <w:lang w:val="es-ES_tradnl" w:eastAsia="es-ES"/>
      <w14:ligatures w14:val="none"/>
    </w:rPr>
  </w:style>
  <w:style w:type="paragraph" w:styleId="Textoindependiente2">
    <w:name w:val="Body Text 2"/>
    <w:basedOn w:val="Normal"/>
    <w:link w:val="Textoindependiente2Car"/>
    <w:unhideWhenUsed/>
    <w:rsid w:val="006B58F3"/>
    <w:pPr>
      <w:jc w:val="both"/>
    </w:pPr>
    <w:rPr>
      <w:i/>
      <w:sz w:val="24"/>
    </w:rPr>
  </w:style>
  <w:style w:type="character" w:customStyle="1" w:styleId="Textoindependiente2Car">
    <w:name w:val="Texto independiente 2 Car"/>
    <w:basedOn w:val="Fuentedeprrafopredeter"/>
    <w:link w:val="Textoindependiente2"/>
    <w:rsid w:val="006B58F3"/>
    <w:rPr>
      <w:rFonts w:ascii="Times New Roman" w:eastAsia="Times New Roman" w:hAnsi="Times New Roman" w:cs="Times New Roman"/>
      <w:i/>
      <w:kern w:val="0"/>
      <w:sz w:val="24"/>
      <w:szCs w:val="20"/>
      <w:lang w:eastAsia="es-ES"/>
      <w14:ligatures w14:val="none"/>
    </w:rPr>
  </w:style>
  <w:style w:type="paragraph" w:customStyle="1" w:styleId="Estilo1">
    <w:name w:val="Estilo1"/>
    <w:basedOn w:val="Normal"/>
    <w:rsid w:val="006B58F3"/>
    <w:pPr>
      <w:tabs>
        <w:tab w:val="left" w:pos="1418"/>
      </w:tabs>
      <w:spacing w:after="120"/>
      <w:ind w:firstLine="709"/>
      <w:jc w:val="both"/>
    </w:pPr>
    <w:rPr>
      <w:sz w:val="24"/>
      <w:lang w:val="es-ES_tradnl"/>
    </w:rPr>
  </w:style>
  <w:style w:type="paragraph" w:styleId="Encabezado">
    <w:name w:val="header"/>
    <w:basedOn w:val="Normal"/>
    <w:link w:val="EncabezadoCar"/>
    <w:uiPriority w:val="99"/>
    <w:unhideWhenUsed/>
    <w:rsid w:val="005E5A55"/>
    <w:pPr>
      <w:tabs>
        <w:tab w:val="center" w:pos="4252"/>
        <w:tab w:val="right" w:pos="8504"/>
      </w:tabs>
    </w:pPr>
  </w:style>
  <w:style w:type="character" w:customStyle="1" w:styleId="EncabezadoCar">
    <w:name w:val="Encabezado Car"/>
    <w:basedOn w:val="Fuentedeprrafopredeter"/>
    <w:link w:val="Encabezado"/>
    <w:uiPriority w:val="99"/>
    <w:rsid w:val="005E5A55"/>
    <w:rPr>
      <w:rFonts w:ascii="Times New Roman" w:eastAsia="Times New Roman" w:hAnsi="Times New Roman" w:cs="Times New Roman"/>
      <w:kern w:val="0"/>
      <w:sz w:val="20"/>
      <w:szCs w:val="20"/>
      <w:lang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081617">
      <w:bodyDiv w:val="1"/>
      <w:marLeft w:val="0"/>
      <w:marRight w:val="0"/>
      <w:marTop w:val="0"/>
      <w:marBottom w:val="0"/>
      <w:divBdr>
        <w:top w:val="none" w:sz="0" w:space="0" w:color="auto"/>
        <w:left w:val="none" w:sz="0" w:space="0" w:color="auto"/>
        <w:bottom w:val="none" w:sz="0" w:space="0" w:color="auto"/>
        <w:right w:val="none" w:sz="0" w:space="0" w:color="auto"/>
      </w:divBdr>
    </w:div>
    <w:div w:id="808980821">
      <w:bodyDiv w:val="1"/>
      <w:marLeft w:val="0"/>
      <w:marRight w:val="0"/>
      <w:marTop w:val="0"/>
      <w:marBottom w:val="0"/>
      <w:divBdr>
        <w:top w:val="none" w:sz="0" w:space="0" w:color="auto"/>
        <w:left w:val="none" w:sz="0" w:space="0" w:color="auto"/>
        <w:bottom w:val="none" w:sz="0" w:space="0" w:color="auto"/>
        <w:right w:val="none" w:sz="0" w:space="0" w:color="auto"/>
      </w:divBdr>
    </w:div>
    <w:div w:id="826630903">
      <w:bodyDiv w:val="1"/>
      <w:marLeft w:val="0"/>
      <w:marRight w:val="0"/>
      <w:marTop w:val="0"/>
      <w:marBottom w:val="0"/>
      <w:divBdr>
        <w:top w:val="none" w:sz="0" w:space="0" w:color="auto"/>
        <w:left w:val="none" w:sz="0" w:space="0" w:color="auto"/>
        <w:bottom w:val="none" w:sz="0" w:space="0" w:color="auto"/>
        <w:right w:val="none" w:sz="0" w:space="0" w:color="auto"/>
      </w:divBdr>
    </w:div>
    <w:div w:id="1024677041">
      <w:bodyDiv w:val="1"/>
      <w:marLeft w:val="0"/>
      <w:marRight w:val="0"/>
      <w:marTop w:val="0"/>
      <w:marBottom w:val="0"/>
      <w:divBdr>
        <w:top w:val="none" w:sz="0" w:space="0" w:color="auto"/>
        <w:left w:val="none" w:sz="0" w:space="0" w:color="auto"/>
        <w:bottom w:val="none" w:sz="0" w:space="0" w:color="auto"/>
        <w:right w:val="none" w:sz="0" w:space="0" w:color="auto"/>
      </w:divBdr>
    </w:div>
    <w:div w:id="1712725375">
      <w:bodyDiv w:val="1"/>
      <w:marLeft w:val="0"/>
      <w:marRight w:val="0"/>
      <w:marTop w:val="0"/>
      <w:marBottom w:val="0"/>
      <w:divBdr>
        <w:top w:val="none" w:sz="0" w:space="0" w:color="auto"/>
        <w:left w:val="none" w:sz="0" w:space="0" w:color="auto"/>
        <w:bottom w:val="none" w:sz="0" w:space="0" w:color="auto"/>
        <w:right w:val="none" w:sz="0" w:space="0" w:color="auto"/>
      </w:divBdr>
    </w:div>
    <w:div w:id="2140149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12</Pages>
  <Words>6046</Words>
  <Characters>30759</Characters>
  <Application>Microsoft Office Word</Application>
  <DocSecurity>0</DocSecurity>
  <Lines>501</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Arregui Lacuesta, Jon</dc:creator>
  <cp:keywords/>
  <dc:description/>
  <cp:lastModifiedBy>Achotegui Martinez de Arenaza, Fernando</cp:lastModifiedBy>
  <cp:revision>3</cp:revision>
  <cp:lastPrinted>2025-06-30T10:50:00Z</cp:lastPrinted>
  <dcterms:created xsi:type="dcterms:W3CDTF">2025-06-30T10:50:00Z</dcterms:created>
  <dcterms:modified xsi:type="dcterms:W3CDTF">2025-06-30T10:51:00Z</dcterms:modified>
</cp:coreProperties>
</file>