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0B29E" w14:textId="77777777" w:rsidR="006F0796" w:rsidRDefault="006F0796"/>
    <w:p w14:paraId="37B1312A" w14:textId="77777777" w:rsidR="006F0796" w:rsidRDefault="006F0796"/>
    <w:tbl>
      <w:tblPr>
        <w:tblW w:w="9072" w:type="dxa"/>
        <w:tblLayout w:type="fixed"/>
        <w:tblCellMar>
          <w:left w:w="0" w:type="dxa"/>
          <w:right w:w="0" w:type="dxa"/>
        </w:tblCellMar>
        <w:tblLook w:val="0000" w:firstRow="0" w:lastRow="0" w:firstColumn="0" w:lastColumn="0" w:noHBand="0" w:noVBand="0"/>
      </w:tblPr>
      <w:tblGrid>
        <w:gridCol w:w="4375"/>
        <w:gridCol w:w="20"/>
        <w:gridCol w:w="4677"/>
      </w:tblGrid>
      <w:tr w:rsidR="00020C36" w14:paraId="389F1392" w14:textId="77777777" w:rsidTr="006F0796">
        <w:trPr>
          <w:trHeight w:val="2093"/>
        </w:trPr>
        <w:tc>
          <w:tcPr>
            <w:tcW w:w="4375" w:type="dxa"/>
          </w:tcPr>
          <w:p w14:paraId="23B7E2F7" w14:textId="53C36FB3" w:rsidR="00F965D8" w:rsidRPr="00A060CB" w:rsidRDefault="00F965D8" w:rsidP="00F965D8">
            <w:pPr>
              <w:pStyle w:val="Ttulo1"/>
              <w:spacing w:after="240"/>
              <w:jc w:val="both"/>
              <w:rPr>
                <w:rFonts w:ascii="Times New Roman" w:hAnsi="Times New Roman"/>
                <w:b w:val="0"/>
                <w:bCs/>
                <w:sz w:val="22"/>
                <w:u w:val="none"/>
              </w:rPr>
            </w:pPr>
            <w:proofErr w:type="spellStart"/>
            <w:r w:rsidRPr="00F965D8">
              <w:rPr>
                <w:rFonts w:ascii="Times New Roman" w:hAnsi="Times New Roman"/>
                <w:sz w:val="22"/>
                <w:u w:val="none"/>
              </w:rPr>
              <w:t>Erref</w:t>
            </w:r>
            <w:proofErr w:type="spellEnd"/>
            <w:r w:rsidRPr="00F965D8">
              <w:rPr>
                <w:rFonts w:ascii="Times New Roman" w:hAnsi="Times New Roman"/>
                <w:sz w:val="22"/>
                <w:u w:val="none"/>
              </w:rPr>
              <w:t>/</w:t>
            </w:r>
            <w:proofErr w:type="spellStart"/>
            <w:r w:rsidRPr="00F965D8">
              <w:rPr>
                <w:rFonts w:ascii="Times New Roman" w:hAnsi="Times New Roman"/>
                <w:sz w:val="22"/>
                <w:u w:val="none"/>
              </w:rPr>
              <w:t>Ref</w:t>
            </w:r>
            <w:proofErr w:type="spellEnd"/>
            <w:r w:rsidRPr="00F965D8">
              <w:rPr>
                <w:rFonts w:ascii="Times New Roman" w:hAnsi="Times New Roman"/>
                <w:sz w:val="22"/>
                <w:u w:val="none"/>
              </w:rPr>
              <w:t xml:space="preserve">: </w:t>
            </w:r>
            <w:r w:rsidR="005754C1" w:rsidRPr="005754C1">
              <w:rPr>
                <w:rFonts w:ascii="Times New Roman" w:hAnsi="Times New Roman"/>
                <w:b w:val="0"/>
                <w:bCs/>
                <w:sz w:val="22"/>
                <w:u w:val="none"/>
              </w:rPr>
              <w:t xml:space="preserve">Recursos Especiales de </w:t>
            </w:r>
            <w:r w:rsidR="00460EC2" w:rsidRPr="00460EC2">
              <w:rPr>
                <w:rFonts w:ascii="Times New Roman" w:hAnsi="Times New Roman"/>
                <w:b w:val="0"/>
                <w:bCs/>
                <w:sz w:val="22"/>
                <w:u w:val="none"/>
              </w:rPr>
              <w:t>SETALDE SUMINISTROS INTEGRALES, S</w:t>
            </w:r>
            <w:r w:rsidR="00460EC2">
              <w:rPr>
                <w:rFonts w:ascii="Times New Roman" w:hAnsi="Times New Roman"/>
                <w:b w:val="0"/>
                <w:bCs/>
                <w:sz w:val="22"/>
                <w:u w:val="none"/>
              </w:rPr>
              <w:t>.</w:t>
            </w:r>
            <w:r w:rsidR="00460EC2" w:rsidRPr="00460EC2">
              <w:rPr>
                <w:rFonts w:ascii="Times New Roman" w:hAnsi="Times New Roman"/>
                <w:b w:val="0"/>
                <w:bCs/>
                <w:sz w:val="22"/>
                <w:u w:val="none"/>
              </w:rPr>
              <w:t>A</w:t>
            </w:r>
            <w:r w:rsidR="00460EC2">
              <w:rPr>
                <w:rFonts w:ascii="Times New Roman" w:hAnsi="Times New Roman"/>
                <w:b w:val="0"/>
                <w:bCs/>
                <w:sz w:val="22"/>
                <w:u w:val="none"/>
              </w:rPr>
              <w:t xml:space="preserve">. </w:t>
            </w:r>
            <w:r w:rsidR="005754C1" w:rsidRPr="005754C1">
              <w:rPr>
                <w:rFonts w:ascii="Times New Roman" w:hAnsi="Times New Roman"/>
                <w:b w:val="0"/>
                <w:bCs/>
                <w:sz w:val="22"/>
                <w:u w:val="none"/>
              </w:rPr>
              <w:t xml:space="preserve">contra </w:t>
            </w:r>
            <w:r w:rsidR="00460EC2">
              <w:rPr>
                <w:rFonts w:ascii="Times New Roman" w:hAnsi="Times New Roman"/>
                <w:b w:val="0"/>
                <w:bCs/>
                <w:sz w:val="22"/>
                <w:u w:val="none"/>
              </w:rPr>
              <w:t xml:space="preserve">los pliegos </w:t>
            </w:r>
            <w:r w:rsidR="005754C1" w:rsidRPr="005754C1">
              <w:rPr>
                <w:rFonts w:ascii="Times New Roman" w:hAnsi="Times New Roman"/>
                <w:b w:val="0"/>
                <w:bCs/>
                <w:sz w:val="22"/>
                <w:u w:val="none"/>
              </w:rPr>
              <w:t>del procedimiento de contratación “</w:t>
            </w:r>
            <w:r w:rsidR="00460EC2" w:rsidRPr="00460EC2">
              <w:rPr>
                <w:rFonts w:ascii="Times New Roman" w:hAnsi="Times New Roman"/>
                <w:b w:val="0"/>
                <w:bCs/>
                <w:sz w:val="22"/>
                <w:u w:val="none"/>
              </w:rPr>
              <w:t>Suministro de material eléctrico para la Diputación Foral de Álava</w:t>
            </w:r>
            <w:r w:rsidR="005754C1" w:rsidRPr="005754C1">
              <w:rPr>
                <w:rFonts w:ascii="Times New Roman" w:hAnsi="Times New Roman"/>
                <w:b w:val="0"/>
                <w:bCs/>
                <w:sz w:val="22"/>
                <w:u w:val="none"/>
              </w:rPr>
              <w:t>” (</w:t>
            </w:r>
            <w:proofErr w:type="spellStart"/>
            <w:r w:rsidR="005754C1" w:rsidRPr="005754C1">
              <w:rPr>
                <w:rFonts w:ascii="Times New Roman" w:hAnsi="Times New Roman"/>
                <w:b w:val="0"/>
                <w:bCs/>
                <w:sz w:val="22"/>
                <w:u w:val="none"/>
              </w:rPr>
              <w:t>expte</w:t>
            </w:r>
            <w:proofErr w:type="spellEnd"/>
            <w:r w:rsidR="005754C1" w:rsidRPr="005754C1">
              <w:rPr>
                <w:rFonts w:ascii="Times New Roman" w:hAnsi="Times New Roman"/>
                <w:b w:val="0"/>
                <w:bCs/>
                <w:sz w:val="22"/>
                <w:u w:val="none"/>
              </w:rPr>
              <w:t xml:space="preserve"> </w:t>
            </w:r>
            <w:r w:rsidR="00460EC2">
              <w:rPr>
                <w:rFonts w:ascii="Times New Roman" w:hAnsi="Times New Roman"/>
                <w:b w:val="0"/>
                <w:bCs/>
                <w:sz w:val="22"/>
                <w:u w:val="none"/>
              </w:rPr>
              <w:t>SG 19/26</w:t>
            </w:r>
            <w:r w:rsidR="005754C1" w:rsidRPr="005754C1">
              <w:rPr>
                <w:rFonts w:ascii="Times New Roman" w:hAnsi="Times New Roman"/>
                <w:b w:val="0"/>
                <w:bCs/>
                <w:sz w:val="22"/>
                <w:u w:val="none"/>
              </w:rPr>
              <w:t>)</w:t>
            </w:r>
            <w:r w:rsidRPr="00A060CB">
              <w:rPr>
                <w:rFonts w:ascii="Times New Roman" w:hAnsi="Times New Roman"/>
                <w:b w:val="0"/>
                <w:bCs/>
                <w:sz w:val="22"/>
                <w:u w:val="none"/>
              </w:rPr>
              <w:t>.</w:t>
            </w:r>
          </w:p>
          <w:p w14:paraId="608AD4E0" w14:textId="2762FEF9" w:rsidR="00200F29" w:rsidRPr="00200F29" w:rsidRDefault="00F965D8" w:rsidP="00F965D8">
            <w:pPr>
              <w:rPr>
                <w:lang w:val="es-ES_tradnl"/>
              </w:rPr>
            </w:pPr>
            <w:proofErr w:type="spellStart"/>
            <w:r w:rsidRPr="00F965D8">
              <w:rPr>
                <w:b/>
                <w:bCs/>
                <w:sz w:val="22"/>
              </w:rPr>
              <w:t>Esp</w:t>
            </w:r>
            <w:proofErr w:type="spellEnd"/>
            <w:r w:rsidRPr="00F965D8">
              <w:rPr>
                <w:b/>
                <w:bCs/>
                <w:sz w:val="22"/>
              </w:rPr>
              <w:t xml:space="preserve"> </w:t>
            </w:r>
            <w:proofErr w:type="spellStart"/>
            <w:r w:rsidRPr="00F965D8">
              <w:rPr>
                <w:b/>
                <w:bCs/>
                <w:sz w:val="22"/>
              </w:rPr>
              <w:t>Zenb</w:t>
            </w:r>
            <w:proofErr w:type="spellEnd"/>
            <w:r w:rsidRPr="00F965D8">
              <w:rPr>
                <w:b/>
                <w:bCs/>
                <w:sz w:val="22"/>
              </w:rPr>
              <w:t>/</w:t>
            </w:r>
            <w:proofErr w:type="spellStart"/>
            <w:r w:rsidRPr="00F965D8">
              <w:rPr>
                <w:b/>
                <w:bCs/>
                <w:sz w:val="22"/>
              </w:rPr>
              <w:t>Nº</w:t>
            </w:r>
            <w:proofErr w:type="spellEnd"/>
            <w:r w:rsidRPr="00F965D8">
              <w:rPr>
                <w:b/>
                <w:bCs/>
                <w:sz w:val="22"/>
              </w:rPr>
              <w:t xml:space="preserve"> </w:t>
            </w:r>
            <w:proofErr w:type="spellStart"/>
            <w:r w:rsidRPr="00F965D8">
              <w:rPr>
                <w:b/>
                <w:bCs/>
                <w:sz w:val="22"/>
              </w:rPr>
              <w:t>exp</w:t>
            </w:r>
            <w:proofErr w:type="spellEnd"/>
            <w:r w:rsidRPr="00F965D8">
              <w:rPr>
                <w:b/>
                <w:bCs/>
                <w:sz w:val="22"/>
              </w:rPr>
              <w:t>:</w:t>
            </w:r>
            <w:r w:rsidRPr="00F965D8">
              <w:rPr>
                <w:sz w:val="22"/>
              </w:rPr>
              <w:t xml:space="preserve"> </w:t>
            </w:r>
            <w:r w:rsidR="005754C1" w:rsidRPr="005754C1">
              <w:rPr>
                <w:sz w:val="22"/>
              </w:rPr>
              <w:t>1</w:t>
            </w:r>
            <w:r w:rsidR="00460EC2">
              <w:rPr>
                <w:sz w:val="22"/>
              </w:rPr>
              <w:t>8</w:t>
            </w:r>
            <w:r w:rsidR="005754C1" w:rsidRPr="005754C1">
              <w:rPr>
                <w:sz w:val="22"/>
              </w:rPr>
              <w:t xml:space="preserve">/25 </w:t>
            </w:r>
          </w:p>
        </w:tc>
        <w:tc>
          <w:tcPr>
            <w:tcW w:w="20" w:type="dxa"/>
          </w:tcPr>
          <w:p w14:paraId="49158997" w14:textId="77777777" w:rsidR="00020C36" w:rsidRDefault="00020C36">
            <w:r>
              <w:t xml:space="preserve"> </w:t>
            </w:r>
          </w:p>
        </w:tc>
        <w:tc>
          <w:tcPr>
            <w:tcW w:w="4677" w:type="dxa"/>
          </w:tcPr>
          <w:p w14:paraId="5A4C3521" w14:textId="77777777" w:rsidR="00020C36" w:rsidRDefault="00020C36">
            <w:pPr>
              <w:pStyle w:val="Piedepgina"/>
              <w:tabs>
                <w:tab w:val="clear" w:pos="4252"/>
                <w:tab w:val="clear" w:pos="8504"/>
                <w:tab w:val="right" w:pos="4677"/>
              </w:tabs>
              <w:spacing w:after="240"/>
            </w:pPr>
          </w:p>
        </w:tc>
      </w:tr>
    </w:tbl>
    <w:p w14:paraId="49BEA70C" w14:textId="77777777" w:rsidR="00F965D8" w:rsidRDefault="00F965D8">
      <w:pPr>
        <w:pStyle w:val="Textoindependiente"/>
        <w:spacing w:after="480"/>
        <w:jc w:val="center"/>
        <w:rPr>
          <w:rFonts w:ascii="Times New Roman" w:hAnsi="Times New Roman"/>
          <w:b/>
          <w:sz w:val="24"/>
          <w:szCs w:val="24"/>
          <w:u w:val="single"/>
        </w:rPr>
      </w:pPr>
    </w:p>
    <w:p w14:paraId="321B5D7D" w14:textId="26592472" w:rsidR="00020C36" w:rsidRPr="000A20E7" w:rsidRDefault="00020C36">
      <w:pPr>
        <w:pStyle w:val="Textoindependiente"/>
        <w:spacing w:after="480"/>
        <w:jc w:val="center"/>
        <w:rPr>
          <w:rFonts w:ascii="Times New Roman" w:hAnsi="Times New Roman"/>
          <w:b/>
          <w:sz w:val="24"/>
          <w:szCs w:val="24"/>
          <w:u w:val="single"/>
        </w:rPr>
      </w:pPr>
      <w:r w:rsidRPr="000A20E7">
        <w:rPr>
          <w:rFonts w:ascii="Times New Roman" w:hAnsi="Times New Roman"/>
          <w:b/>
          <w:sz w:val="24"/>
          <w:szCs w:val="24"/>
          <w:u w:val="single"/>
        </w:rPr>
        <w:t>RESOLUCIÓN Nº</w:t>
      </w:r>
      <w:r w:rsidR="005D424C">
        <w:rPr>
          <w:rFonts w:ascii="Times New Roman" w:hAnsi="Times New Roman"/>
          <w:b/>
          <w:sz w:val="24"/>
          <w:szCs w:val="24"/>
          <w:u w:val="single"/>
        </w:rPr>
        <w:t>29</w:t>
      </w:r>
      <w:r w:rsidR="00E95CFC" w:rsidRPr="000A20E7">
        <w:rPr>
          <w:rFonts w:ascii="Times New Roman" w:hAnsi="Times New Roman"/>
          <w:b/>
          <w:sz w:val="24"/>
          <w:szCs w:val="24"/>
          <w:u w:val="single"/>
        </w:rPr>
        <w:t>/2</w:t>
      </w:r>
      <w:r w:rsidR="00200F2B" w:rsidRPr="000A20E7">
        <w:rPr>
          <w:rFonts w:ascii="Times New Roman" w:hAnsi="Times New Roman"/>
          <w:b/>
          <w:sz w:val="24"/>
          <w:szCs w:val="24"/>
          <w:u w:val="single"/>
        </w:rPr>
        <w:t>02</w:t>
      </w:r>
      <w:r w:rsidR="0072601F" w:rsidRPr="000A20E7">
        <w:rPr>
          <w:rFonts w:ascii="Times New Roman" w:hAnsi="Times New Roman"/>
          <w:b/>
          <w:sz w:val="24"/>
          <w:szCs w:val="24"/>
          <w:u w:val="single"/>
        </w:rPr>
        <w:t>5</w:t>
      </w:r>
    </w:p>
    <w:p w14:paraId="5EDE4DFD" w14:textId="12B77365" w:rsidR="00020C36" w:rsidRDefault="00020C36" w:rsidP="006F0796">
      <w:pPr>
        <w:tabs>
          <w:tab w:val="left" w:pos="3261"/>
        </w:tabs>
        <w:spacing w:after="240"/>
        <w:jc w:val="both"/>
        <w:rPr>
          <w:sz w:val="22"/>
        </w:rPr>
      </w:pPr>
      <w:r>
        <w:rPr>
          <w:sz w:val="22"/>
        </w:rPr>
        <w:t>En Vitoria-Gasteiz</w:t>
      </w:r>
      <w:r w:rsidRPr="00A8518F">
        <w:rPr>
          <w:sz w:val="22"/>
        </w:rPr>
        <w:t xml:space="preserve">, a </w:t>
      </w:r>
      <w:r w:rsidR="005D424C">
        <w:rPr>
          <w:sz w:val="22"/>
        </w:rPr>
        <w:t>29</w:t>
      </w:r>
      <w:r w:rsidR="00FE0337">
        <w:rPr>
          <w:sz w:val="22"/>
        </w:rPr>
        <w:t xml:space="preserve"> de </w:t>
      </w:r>
      <w:r w:rsidR="00460EC2">
        <w:rPr>
          <w:sz w:val="22"/>
        </w:rPr>
        <w:t>septiembre</w:t>
      </w:r>
      <w:r w:rsidR="00FE0337">
        <w:rPr>
          <w:sz w:val="22"/>
        </w:rPr>
        <w:t xml:space="preserve"> de 2025</w:t>
      </w:r>
    </w:p>
    <w:p w14:paraId="3D33391C" w14:textId="5C483119" w:rsidR="00460EC2" w:rsidRDefault="00020C36" w:rsidP="00460EC2">
      <w:pPr>
        <w:tabs>
          <w:tab w:val="left" w:pos="3261"/>
        </w:tabs>
        <w:spacing w:after="240"/>
        <w:jc w:val="both"/>
        <w:rPr>
          <w:sz w:val="22"/>
        </w:rPr>
      </w:pPr>
      <w:r w:rsidRPr="00A060CB">
        <w:rPr>
          <w:sz w:val="22"/>
        </w:rPr>
        <w:t>El Órgano Administrativo Foral de Recursos Contractuales de la Diputa</w:t>
      </w:r>
      <w:r w:rsidR="00810B98" w:rsidRPr="00A060CB">
        <w:rPr>
          <w:sz w:val="22"/>
        </w:rPr>
        <w:t>ción Foral de Á</w:t>
      </w:r>
      <w:r w:rsidRPr="00A060CB">
        <w:rPr>
          <w:sz w:val="22"/>
        </w:rPr>
        <w:t>lava ha dictado la siguiente RESOLUCIÓN de</w:t>
      </w:r>
      <w:r w:rsidR="00A64238">
        <w:rPr>
          <w:sz w:val="22"/>
        </w:rPr>
        <w:t xml:space="preserve"> </w:t>
      </w:r>
      <w:r w:rsidRPr="00A060CB">
        <w:rPr>
          <w:sz w:val="22"/>
        </w:rPr>
        <w:t xml:space="preserve">medidas provisionales en relación con </w:t>
      </w:r>
      <w:r w:rsidR="00460EC2">
        <w:rPr>
          <w:sz w:val="22"/>
        </w:rPr>
        <w:t>el</w:t>
      </w:r>
      <w:r w:rsidR="005754C1" w:rsidRPr="005754C1">
        <w:rPr>
          <w:sz w:val="22"/>
        </w:rPr>
        <w:t xml:space="preserve"> Recurso Especial en materia de contratación</w:t>
      </w:r>
      <w:r w:rsidR="005754C1">
        <w:rPr>
          <w:sz w:val="22"/>
        </w:rPr>
        <w:t xml:space="preserve"> </w:t>
      </w:r>
      <w:r w:rsidR="00460EC2">
        <w:rPr>
          <w:sz w:val="22"/>
        </w:rPr>
        <w:t>18</w:t>
      </w:r>
      <w:r w:rsidR="005754C1">
        <w:rPr>
          <w:sz w:val="22"/>
        </w:rPr>
        <w:t>/25-RE</w:t>
      </w:r>
      <w:r w:rsidR="005754C1" w:rsidRPr="005754C1">
        <w:rPr>
          <w:sz w:val="22"/>
        </w:rPr>
        <w:t xml:space="preserve"> interpuesto por </w:t>
      </w:r>
      <w:r w:rsidR="00460EC2" w:rsidRPr="00460EC2">
        <w:rPr>
          <w:sz w:val="22"/>
        </w:rPr>
        <w:t>SETALDE SUMINISTROS INTEGRALES, S.A.</w:t>
      </w:r>
      <w:r w:rsidR="005754C1" w:rsidRPr="005754C1">
        <w:rPr>
          <w:sz w:val="22"/>
        </w:rPr>
        <w:t xml:space="preserve"> contra </w:t>
      </w:r>
      <w:r w:rsidR="00460EC2" w:rsidRPr="00460EC2">
        <w:rPr>
          <w:sz w:val="22"/>
        </w:rPr>
        <w:t>los pliegos del procedimiento de contratación “Suministro de material eléctrico para la Diputación Foral de Álava” (</w:t>
      </w:r>
      <w:proofErr w:type="spellStart"/>
      <w:r w:rsidR="00460EC2" w:rsidRPr="00460EC2">
        <w:rPr>
          <w:sz w:val="22"/>
        </w:rPr>
        <w:t>expte</w:t>
      </w:r>
      <w:proofErr w:type="spellEnd"/>
      <w:r w:rsidR="00460EC2" w:rsidRPr="00460EC2">
        <w:rPr>
          <w:sz w:val="22"/>
        </w:rPr>
        <w:t xml:space="preserve"> SG 19/26).</w:t>
      </w:r>
    </w:p>
    <w:p w14:paraId="16120ADA" w14:textId="2043177D" w:rsidR="008E66A1" w:rsidRPr="003A3B91" w:rsidRDefault="005661F7" w:rsidP="00460EC2">
      <w:pPr>
        <w:tabs>
          <w:tab w:val="left" w:pos="3261"/>
        </w:tabs>
        <w:spacing w:after="240"/>
        <w:jc w:val="both"/>
        <w:rPr>
          <w:sz w:val="24"/>
          <w:szCs w:val="24"/>
        </w:rPr>
      </w:pPr>
      <w:r w:rsidRPr="00750DA7">
        <w:rPr>
          <w:sz w:val="22"/>
          <w:szCs w:val="22"/>
        </w:rPr>
        <w:t>Son partes en dicho recurso:</w:t>
      </w:r>
      <w:r w:rsidRPr="00A060CB">
        <w:rPr>
          <w:sz w:val="22"/>
          <w:szCs w:val="22"/>
        </w:rPr>
        <w:t xml:space="preserve"> como </w:t>
      </w:r>
      <w:r w:rsidR="00ED39A8" w:rsidRPr="00A060CB">
        <w:rPr>
          <w:sz w:val="22"/>
          <w:szCs w:val="22"/>
        </w:rPr>
        <w:t>recurrente,</w:t>
      </w:r>
      <w:r w:rsidR="00F965D8" w:rsidRPr="00A060CB">
        <w:rPr>
          <w:sz w:val="22"/>
          <w:szCs w:val="22"/>
        </w:rPr>
        <w:t xml:space="preserve"> </w:t>
      </w:r>
      <w:r w:rsidR="00460EC2" w:rsidRPr="00460EC2">
        <w:rPr>
          <w:rStyle w:val="Nmerodepgina"/>
          <w:sz w:val="22"/>
          <w:szCs w:val="22"/>
          <w:lang w:val="es-ES_tradnl"/>
        </w:rPr>
        <w:t>SETALDE SUMINISTROS INTEGRALES, S.A.</w:t>
      </w:r>
      <w:r w:rsidRPr="00495221">
        <w:rPr>
          <w:sz w:val="22"/>
          <w:szCs w:val="22"/>
        </w:rPr>
        <w:t>;</w:t>
      </w:r>
      <w:r w:rsidRPr="00495221">
        <w:rPr>
          <w:sz w:val="22"/>
        </w:rPr>
        <w:t xml:space="preserve"> y como </w:t>
      </w:r>
      <w:r w:rsidR="00ED39A8" w:rsidRPr="00495221">
        <w:rPr>
          <w:sz w:val="22"/>
        </w:rPr>
        <w:t>parte demandada</w:t>
      </w:r>
      <w:r w:rsidR="005754C1" w:rsidRPr="00495221">
        <w:rPr>
          <w:sz w:val="22"/>
        </w:rPr>
        <w:t xml:space="preserve"> la </w:t>
      </w:r>
      <w:r w:rsidR="00460EC2">
        <w:rPr>
          <w:sz w:val="22"/>
        </w:rPr>
        <w:t>Diputación Foral de Álava</w:t>
      </w:r>
      <w:r w:rsidR="005754C1" w:rsidRPr="00495221">
        <w:rPr>
          <w:sz w:val="22"/>
        </w:rPr>
        <w:t xml:space="preserve">, </w:t>
      </w:r>
      <w:r w:rsidRPr="00495221">
        <w:rPr>
          <w:sz w:val="22"/>
        </w:rPr>
        <w:t>siendo el órgano</w:t>
      </w:r>
      <w:r w:rsidRPr="00A060CB">
        <w:rPr>
          <w:sz w:val="22"/>
        </w:rPr>
        <w:t xml:space="preserve"> de </w:t>
      </w:r>
      <w:r w:rsidRPr="003A3B91">
        <w:rPr>
          <w:sz w:val="22"/>
        </w:rPr>
        <w:t xml:space="preserve">contratación </w:t>
      </w:r>
      <w:r w:rsidR="008E66A1" w:rsidRPr="003A3B91">
        <w:rPr>
          <w:sz w:val="22"/>
        </w:rPr>
        <w:t xml:space="preserve">el </w:t>
      </w:r>
      <w:r w:rsidR="00460EC2">
        <w:rPr>
          <w:sz w:val="22"/>
        </w:rPr>
        <w:t>Consejo de Gobierno Foral</w:t>
      </w:r>
      <w:r w:rsidR="008E66A1" w:rsidRPr="003A3B91">
        <w:rPr>
          <w:sz w:val="22"/>
        </w:rPr>
        <w:t xml:space="preserve"> (en adelante OC) y el </w:t>
      </w:r>
      <w:r w:rsidR="00460EC2">
        <w:rPr>
          <w:sz w:val="22"/>
        </w:rPr>
        <w:t xml:space="preserve">órgano </w:t>
      </w:r>
      <w:r w:rsidR="008E66A1" w:rsidRPr="003A3B91">
        <w:rPr>
          <w:sz w:val="22"/>
        </w:rPr>
        <w:t xml:space="preserve">tramitador del expediente </w:t>
      </w:r>
      <w:r w:rsidR="00460EC2">
        <w:rPr>
          <w:sz w:val="22"/>
        </w:rPr>
        <w:t>la Secretaría Técnica de Servicios Generales</w:t>
      </w:r>
      <w:r w:rsidR="008E66A1" w:rsidRPr="003A3B91">
        <w:rPr>
          <w:sz w:val="22"/>
        </w:rPr>
        <w:t xml:space="preserve"> (</w:t>
      </w:r>
      <w:proofErr w:type="spellStart"/>
      <w:r w:rsidR="008E66A1" w:rsidRPr="003A3B91">
        <w:rPr>
          <w:sz w:val="22"/>
        </w:rPr>
        <w:t>expte</w:t>
      </w:r>
      <w:proofErr w:type="spellEnd"/>
      <w:r w:rsidR="008E66A1" w:rsidRPr="003A3B91">
        <w:rPr>
          <w:sz w:val="22"/>
        </w:rPr>
        <w:t xml:space="preserve"> </w:t>
      </w:r>
      <w:r w:rsidR="00460EC2" w:rsidRPr="00460EC2">
        <w:rPr>
          <w:sz w:val="22"/>
        </w:rPr>
        <w:t>SG 19/26</w:t>
      </w:r>
      <w:r w:rsidR="008E66A1" w:rsidRPr="003A3B91">
        <w:rPr>
          <w:sz w:val="22"/>
        </w:rPr>
        <w:t>)</w:t>
      </w:r>
      <w:r w:rsidR="008E66A1" w:rsidRPr="003A3B91">
        <w:rPr>
          <w:sz w:val="24"/>
          <w:szCs w:val="24"/>
        </w:rPr>
        <w:t>.</w:t>
      </w:r>
    </w:p>
    <w:p w14:paraId="4D3716D9" w14:textId="07702692" w:rsidR="00020C36" w:rsidRPr="00F57C4C" w:rsidRDefault="00822F42" w:rsidP="006F0796">
      <w:pPr>
        <w:spacing w:after="240"/>
        <w:jc w:val="both"/>
        <w:rPr>
          <w:sz w:val="22"/>
        </w:rPr>
      </w:pPr>
      <w:r w:rsidRPr="00F57C4C">
        <w:rPr>
          <w:sz w:val="22"/>
        </w:rPr>
        <w:t>Vist</w:t>
      </w:r>
      <w:r w:rsidR="00460EC2">
        <w:rPr>
          <w:sz w:val="22"/>
        </w:rPr>
        <w:t>o</w:t>
      </w:r>
      <w:r w:rsidR="00A64606">
        <w:rPr>
          <w:sz w:val="22"/>
        </w:rPr>
        <w:t xml:space="preserve"> el artículo 56.3 </w:t>
      </w:r>
      <w:r w:rsidR="00460EC2">
        <w:rPr>
          <w:sz w:val="22"/>
        </w:rPr>
        <w:t>de la LCSP</w:t>
      </w:r>
      <w:r w:rsidR="00FE0337" w:rsidRPr="00F57C4C">
        <w:rPr>
          <w:sz w:val="22"/>
        </w:rPr>
        <w:t>,</w:t>
      </w:r>
      <w:r w:rsidR="00A840B7" w:rsidRPr="00F57C4C">
        <w:rPr>
          <w:sz w:val="22"/>
        </w:rPr>
        <w:t xml:space="preserve"> e</w:t>
      </w:r>
      <w:r w:rsidR="00020C36" w:rsidRPr="00F57C4C">
        <w:rPr>
          <w:sz w:val="22"/>
        </w:rPr>
        <w:t>ste Órgano efectúa las siguientes consideraciones:</w:t>
      </w:r>
    </w:p>
    <w:p w14:paraId="557471E0" w14:textId="77777777" w:rsidR="006F0796" w:rsidRDefault="006F0796" w:rsidP="006F0796">
      <w:pPr>
        <w:spacing w:after="240"/>
        <w:jc w:val="center"/>
        <w:rPr>
          <w:b/>
          <w:sz w:val="22"/>
        </w:rPr>
      </w:pPr>
    </w:p>
    <w:p w14:paraId="6F417F8E" w14:textId="77777777" w:rsidR="00822F42" w:rsidRDefault="00822F42" w:rsidP="006F0796">
      <w:pPr>
        <w:spacing w:after="240"/>
        <w:jc w:val="center"/>
        <w:rPr>
          <w:b/>
          <w:sz w:val="22"/>
        </w:rPr>
      </w:pPr>
      <w:r>
        <w:rPr>
          <w:b/>
          <w:sz w:val="22"/>
        </w:rPr>
        <w:t>ANTECEDENTES DE HECHO</w:t>
      </w:r>
    </w:p>
    <w:p w14:paraId="3EC75AFB" w14:textId="5B2399B5" w:rsidR="005754C1" w:rsidRPr="005754C1" w:rsidRDefault="005754C1" w:rsidP="005754C1">
      <w:pPr>
        <w:spacing w:after="240"/>
        <w:jc w:val="both"/>
        <w:rPr>
          <w:bCs/>
          <w:sz w:val="22"/>
        </w:rPr>
      </w:pPr>
      <w:r w:rsidRPr="005754C1">
        <w:rPr>
          <w:b/>
          <w:sz w:val="22"/>
        </w:rPr>
        <w:t xml:space="preserve">1º - </w:t>
      </w:r>
      <w:r w:rsidRPr="005754C1">
        <w:rPr>
          <w:bCs/>
          <w:sz w:val="22"/>
        </w:rPr>
        <w:t>Mediante Acuer</w:t>
      </w:r>
      <w:r w:rsidR="00460EC2">
        <w:rPr>
          <w:bCs/>
          <w:sz w:val="22"/>
        </w:rPr>
        <w:t xml:space="preserve">do del Consejo de Gobierno Foral </w:t>
      </w:r>
      <w:r w:rsidR="00460EC2" w:rsidRPr="00460EC2">
        <w:rPr>
          <w:bCs/>
          <w:sz w:val="22"/>
        </w:rPr>
        <w:t>519/2025, de 2 de septiembre</w:t>
      </w:r>
      <w:r w:rsidRPr="005754C1">
        <w:rPr>
          <w:bCs/>
          <w:sz w:val="22"/>
        </w:rPr>
        <w:t>, se aprobó la contratación de</w:t>
      </w:r>
      <w:r w:rsidR="00460EC2">
        <w:rPr>
          <w:bCs/>
          <w:sz w:val="22"/>
        </w:rPr>
        <w:t xml:space="preserve">l </w:t>
      </w:r>
      <w:r w:rsidRPr="005754C1">
        <w:rPr>
          <w:bCs/>
          <w:sz w:val="22"/>
        </w:rPr>
        <w:t>“</w:t>
      </w:r>
      <w:bookmarkStart w:id="0" w:name="_Hlk209558216"/>
      <w:r w:rsidR="00460EC2" w:rsidRPr="00460EC2">
        <w:rPr>
          <w:bCs/>
          <w:sz w:val="22"/>
        </w:rPr>
        <w:t>Suministro de material eléctrico para la Diputación Foral de Álava</w:t>
      </w:r>
      <w:bookmarkEnd w:id="0"/>
      <w:r w:rsidRPr="005754C1">
        <w:rPr>
          <w:bCs/>
          <w:sz w:val="22"/>
        </w:rPr>
        <w:t xml:space="preserve">”, con un valor estimado de </w:t>
      </w:r>
      <w:r w:rsidR="00460EC2" w:rsidRPr="00460EC2">
        <w:rPr>
          <w:bCs/>
          <w:sz w:val="22"/>
        </w:rPr>
        <w:t>443.572,40</w:t>
      </w:r>
      <w:r w:rsidR="00460EC2">
        <w:rPr>
          <w:bCs/>
          <w:sz w:val="22"/>
        </w:rPr>
        <w:t xml:space="preserve"> </w:t>
      </w:r>
      <w:r w:rsidRPr="005754C1">
        <w:rPr>
          <w:bCs/>
          <w:sz w:val="22"/>
        </w:rPr>
        <w:t xml:space="preserve">€ (IVA excluido), con número de expediente </w:t>
      </w:r>
      <w:r w:rsidR="00460EC2" w:rsidRPr="00460EC2">
        <w:rPr>
          <w:bCs/>
          <w:sz w:val="22"/>
        </w:rPr>
        <w:t>SG 19/26</w:t>
      </w:r>
      <w:r w:rsidRPr="005754C1">
        <w:rPr>
          <w:bCs/>
          <w:sz w:val="22"/>
        </w:rPr>
        <w:t xml:space="preserve">. El plazo de ejecución se estableció desde el </w:t>
      </w:r>
      <w:r w:rsidR="008C4EC2">
        <w:rPr>
          <w:bCs/>
          <w:sz w:val="22"/>
        </w:rPr>
        <w:t>01-01-2026</w:t>
      </w:r>
      <w:r w:rsidRPr="005754C1">
        <w:rPr>
          <w:bCs/>
          <w:sz w:val="22"/>
        </w:rPr>
        <w:t xml:space="preserve"> (o fecha de firma del contrato en caso de ser posterior) hasta el 31-12-2027.</w:t>
      </w:r>
    </w:p>
    <w:p w14:paraId="00FA1459" w14:textId="25D89565" w:rsidR="005754C1" w:rsidRPr="005754C1" w:rsidRDefault="005754C1" w:rsidP="005754C1">
      <w:pPr>
        <w:spacing w:after="240"/>
        <w:jc w:val="both"/>
        <w:rPr>
          <w:bCs/>
          <w:sz w:val="22"/>
        </w:rPr>
      </w:pPr>
      <w:r w:rsidRPr="005754C1">
        <w:rPr>
          <w:b/>
          <w:sz w:val="22"/>
        </w:rPr>
        <w:t xml:space="preserve">2º.- </w:t>
      </w:r>
      <w:r w:rsidRPr="005754C1">
        <w:rPr>
          <w:bCs/>
          <w:sz w:val="22"/>
        </w:rPr>
        <w:t>El expediente fue instruido por tramitación anticipada y procedimiento abierto, según lo dispuesto en la LCSP.</w:t>
      </w:r>
      <w:r w:rsidR="008C4EC2">
        <w:rPr>
          <w:bCs/>
          <w:sz w:val="22"/>
        </w:rPr>
        <w:t xml:space="preserve"> El plazo fin de presentación de solicitudes finalizó el 24 de septiembre de 2025</w:t>
      </w:r>
      <w:r w:rsidRPr="005754C1">
        <w:rPr>
          <w:bCs/>
          <w:sz w:val="22"/>
        </w:rPr>
        <w:t>.</w:t>
      </w:r>
    </w:p>
    <w:p w14:paraId="14EB408C" w14:textId="712FF9BE" w:rsidR="005754C1" w:rsidRPr="005754C1" w:rsidRDefault="005754C1" w:rsidP="005754C1">
      <w:pPr>
        <w:spacing w:after="240"/>
        <w:jc w:val="both"/>
        <w:rPr>
          <w:bCs/>
          <w:sz w:val="22"/>
        </w:rPr>
      </w:pPr>
      <w:r w:rsidRPr="005754C1">
        <w:rPr>
          <w:b/>
          <w:sz w:val="22"/>
        </w:rPr>
        <w:t xml:space="preserve">3º. – </w:t>
      </w:r>
      <w:r w:rsidRPr="00791A7D">
        <w:rPr>
          <w:bCs/>
          <w:sz w:val="22"/>
        </w:rPr>
        <w:t xml:space="preserve">El </w:t>
      </w:r>
      <w:r w:rsidR="00791A7D" w:rsidRPr="00791A7D">
        <w:rPr>
          <w:bCs/>
          <w:sz w:val="22"/>
        </w:rPr>
        <w:t>19</w:t>
      </w:r>
      <w:r w:rsidRPr="00791A7D">
        <w:rPr>
          <w:bCs/>
          <w:sz w:val="22"/>
        </w:rPr>
        <w:t xml:space="preserve"> de </w:t>
      </w:r>
      <w:r w:rsidR="00791A7D" w:rsidRPr="00791A7D">
        <w:rPr>
          <w:bCs/>
          <w:sz w:val="22"/>
        </w:rPr>
        <w:t>septiembre</w:t>
      </w:r>
      <w:r w:rsidRPr="00791A7D">
        <w:rPr>
          <w:bCs/>
          <w:sz w:val="22"/>
        </w:rPr>
        <w:t xml:space="preserve"> de 2025</w:t>
      </w:r>
      <w:r w:rsidRPr="005754C1">
        <w:rPr>
          <w:bCs/>
          <w:sz w:val="22"/>
        </w:rPr>
        <w:t xml:space="preserve"> tuvo entrada en el Registro Electrónico Común de la Diputación Foral de Álava un Recurso Especial en materia de contratación ante el Órgano Administrativo Foral de Recursos Contractuales de la Diputación Foral de Álava presentado por </w:t>
      </w:r>
      <w:r w:rsidRPr="005754C1">
        <w:rPr>
          <w:bCs/>
          <w:sz w:val="22"/>
        </w:rPr>
        <w:lastRenderedPageBreak/>
        <w:t xml:space="preserve">la empresa </w:t>
      </w:r>
      <w:r w:rsidR="008C4EC2" w:rsidRPr="008C4EC2">
        <w:rPr>
          <w:bCs/>
          <w:sz w:val="22"/>
        </w:rPr>
        <w:t>SETALDE SUMINISTROS INTEGRALES, S.A</w:t>
      </w:r>
      <w:r w:rsidRPr="005754C1">
        <w:rPr>
          <w:bCs/>
          <w:sz w:val="22"/>
        </w:rPr>
        <w:t>. contra l</w:t>
      </w:r>
      <w:r w:rsidR="008C4EC2">
        <w:rPr>
          <w:bCs/>
          <w:sz w:val="22"/>
        </w:rPr>
        <w:t xml:space="preserve">os pliegos </w:t>
      </w:r>
      <w:r w:rsidRPr="005754C1">
        <w:rPr>
          <w:bCs/>
          <w:sz w:val="22"/>
        </w:rPr>
        <w:t>del procedimiento citado en el antecedente primero (</w:t>
      </w:r>
      <w:r w:rsidR="00097103" w:rsidRPr="00097103">
        <w:rPr>
          <w:bCs/>
          <w:sz w:val="22"/>
        </w:rPr>
        <w:t>SG 19/26</w:t>
      </w:r>
      <w:r w:rsidRPr="005754C1">
        <w:rPr>
          <w:bCs/>
          <w:sz w:val="22"/>
        </w:rPr>
        <w:t>).</w:t>
      </w:r>
    </w:p>
    <w:p w14:paraId="5DCC4E48" w14:textId="632BBEF6" w:rsidR="00D07706" w:rsidRDefault="008C4EC2" w:rsidP="005754C1">
      <w:pPr>
        <w:spacing w:after="240"/>
        <w:jc w:val="both"/>
        <w:rPr>
          <w:sz w:val="22"/>
        </w:rPr>
      </w:pPr>
      <w:r>
        <w:rPr>
          <w:b/>
          <w:sz w:val="22"/>
        </w:rPr>
        <w:t>4</w:t>
      </w:r>
      <w:r w:rsidR="001803B3">
        <w:rPr>
          <w:b/>
          <w:sz w:val="22"/>
        </w:rPr>
        <w:t>º. -</w:t>
      </w:r>
      <w:r w:rsidR="00AE47C6">
        <w:rPr>
          <w:sz w:val="22"/>
        </w:rPr>
        <w:t xml:space="preserve"> </w:t>
      </w:r>
      <w:r w:rsidR="008307C2">
        <w:rPr>
          <w:sz w:val="22"/>
        </w:rPr>
        <w:t>En</w:t>
      </w:r>
      <w:r w:rsidR="005238CE">
        <w:rPr>
          <w:sz w:val="22"/>
        </w:rPr>
        <w:t xml:space="preserve"> cumplimiento de lo previsto en el artículo </w:t>
      </w:r>
      <w:r w:rsidR="007328F9">
        <w:rPr>
          <w:sz w:val="22"/>
        </w:rPr>
        <w:t>56</w:t>
      </w:r>
      <w:r w:rsidR="005238CE">
        <w:rPr>
          <w:sz w:val="22"/>
        </w:rPr>
        <w:t>.2</w:t>
      </w:r>
      <w:r w:rsidR="00DA56FC">
        <w:rPr>
          <w:sz w:val="22"/>
        </w:rPr>
        <w:t xml:space="preserve"> </w:t>
      </w:r>
      <w:r w:rsidR="007328F9">
        <w:rPr>
          <w:sz w:val="22"/>
        </w:rPr>
        <w:t>de la LCSP</w:t>
      </w:r>
      <w:r w:rsidR="00DA56FC">
        <w:rPr>
          <w:sz w:val="22"/>
        </w:rPr>
        <w:t xml:space="preserve">, </w:t>
      </w:r>
      <w:r w:rsidR="005238CE">
        <w:rPr>
          <w:sz w:val="22"/>
        </w:rPr>
        <w:t xml:space="preserve">se </w:t>
      </w:r>
      <w:r w:rsidR="003C1D7C">
        <w:rPr>
          <w:sz w:val="22"/>
        </w:rPr>
        <w:t>solicitó al OC</w:t>
      </w:r>
      <w:r w:rsidR="00DA56FC">
        <w:rPr>
          <w:sz w:val="22"/>
        </w:rPr>
        <w:t xml:space="preserve"> el expedient</w:t>
      </w:r>
      <w:r w:rsidR="008F0ADC">
        <w:rPr>
          <w:sz w:val="22"/>
        </w:rPr>
        <w:t>e</w:t>
      </w:r>
      <w:r w:rsidR="00595C68">
        <w:rPr>
          <w:sz w:val="22"/>
        </w:rPr>
        <w:t xml:space="preserve"> administrativo</w:t>
      </w:r>
      <w:r w:rsidR="008F0ADC">
        <w:rPr>
          <w:sz w:val="22"/>
        </w:rPr>
        <w:t xml:space="preserve"> y </w:t>
      </w:r>
      <w:r w:rsidR="00595C68">
        <w:rPr>
          <w:sz w:val="22"/>
        </w:rPr>
        <w:t>su</w:t>
      </w:r>
      <w:r w:rsidR="008F0ADC">
        <w:rPr>
          <w:sz w:val="22"/>
        </w:rPr>
        <w:t xml:space="preserve"> informe </w:t>
      </w:r>
      <w:r w:rsidR="00595C68">
        <w:rPr>
          <w:sz w:val="22"/>
        </w:rPr>
        <w:t>sobre el RE</w:t>
      </w:r>
      <w:r w:rsidR="00B000A7">
        <w:rPr>
          <w:sz w:val="22"/>
        </w:rPr>
        <w:t>.</w:t>
      </w:r>
      <w:r w:rsidR="00A64606">
        <w:rPr>
          <w:sz w:val="22"/>
        </w:rPr>
        <w:t xml:space="preserve"> Además, en virtud del artículo 56.3 LCSP se ha dado audiencia por dos días al OC </w:t>
      </w:r>
      <w:r w:rsidR="00791A7D">
        <w:rPr>
          <w:sz w:val="22"/>
        </w:rPr>
        <w:t>antes de</w:t>
      </w:r>
      <w:r w:rsidR="00A64606">
        <w:rPr>
          <w:sz w:val="22"/>
        </w:rPr>
        <w:t xml:space="preserve"> </w:t>
      </w:r>
      <w:r w:rsidR="00791A7D">
        <w:rPr>
          <w:sz w:val="22"/>
        </w:rPr>
        <w:t>la presente</w:t>
      </w:r>
      <w:r w:rsidR="00A64606">
        <w:rPr>
          <w:sz w:val="22"/>
        </w:rPr>
        <w:t xml:space="preserve"> decisión de este OAFRC.</w:t>
      </w:r>
    </w:p>
    <w:p w14:paraId="15D113ED" w14:textId="77777777" w:rsidR="00495221" w:rsidRDefault="00495221" w:rsidP="005754C1">
      <w:pPr>
        <w:spacing w:after="240"/>
        <w:jc w:val="both"/>
        <w:rPr>
          <w:sz w:val="22"/>
        </w:rPr>
      </w:pPr>
    </w:p>
    <w:p w14:paraId="23F186AE" w14:textId="77777777" w:rsidR="00DA56FC" w:rsidRDefault="00DA56FC" w:rsidP="006F0796">
      <w:pPr>
        <w:spacing w:after="240"/>
        <w:jc w:val="center"/>
        <w:rPr>
          <w:b/>
          <w:sz w:val="22"/>
        </w:rPr>
      </w:pPr>
      <w:r>
        <w:rPr>
          <w:b/>
          <w:sz w:val="22"/>
        </w:rPr>
        <w:t>FUNDAMENTOS DE DERECHO</w:t>
      </w:r>
    </w:p>
    <w:p w14:paraId="3D484011" w14:textId="5A7B4A2D" w:rsidR="00186D2A" w:rsidRDefault="001803B3" w:rsidP="006F0796">
      <w:pPr>
        <w:spacing w:after="240"/>
        <w:jc w:val="both"/>
        <w:rPr>
          <w:sz w:val="22"/>
        </w:rPr>
      </w:pPr>
      <w:r>
        <w:rPr>
          <w:b/>
          <w:sz w:val="22"/>
        </w:rPr>
        <w:t>PRIMERO. -</w:t>
      </w:r>
      <w:r w:rsidR="00020C36">
        <w:rPr>
          <w:b/>
          <w:sz w:val="22"/>
        </w:rPr>
        <w:t xml:space="preserve"> </w:t>
      </w:r>
      <w:r w:rsidR="00186D2A">
        <w:rPr>
          <w:sz w:val="22"/>
        </w:rPr>
        <w:t xml:space="preserve">Tratándose de un contrato de </w:t>
      </w:r>
      <w:r w:rsidR="004413D5">
        <w:rPr>
          <w:sz w:val="22"/>
        </w:rPr>
        <w:t>suministro</w:t>
      </w:r>
      <w:r w:rsidR="00186D2A">
        <w:rPr>
          <w:sz w:val="22"/>
        </w:rPr>
        <w:t xml:space="preserve"> cuyo valor estimado asciende </w:t>
      </w:r>
      <w:r w:rsidR="00186D2A" w:rsidRPr="00700397">
        <w:rPr>
          <w:sz w:val="22"/>
        </w:rPr>
        <w:t xml:space="preserve">a </w:t>
      </w:r>
      <w:r w:rsidR="00097103" w:rsidRPr="00097103">
        <w:rPr>
          <w:b/>
          <w:bCs/>
          <w:sz w:val="22"/>
        </w:rPr>
        <w:t xml:space="preserve">443.572,40 </w:t>
      </w:r>
      <w:r w:rsidR="00CB1A27" w:rsidRPr="00700397">
        <w:rPr>
          <w:b/>
          <w:bCs/>
          <w:sz w:val="22"/>
        </w:rPr>
        <w:t>euros</w:t>
      </w:r>
      <w:r w:rsidR="00CB1A27">
        <w:rPr>
          <w:b/>
          <w:bCs/>
          <w:sz w:val="22"/>
        </w:rPr>
        <w:t xml:space="preserve"> </w:t>
      </w:r>
      <w:r w:rsidR="00186D2A">
        <w:rPr>
          <w:sz w:val="22"/>
        </w:rPr>
        <w:t xml:space="preserve">(IVA </w:t>
      </w:r>
      <w:r w:rsidR="0089229B">
        <w:rPr>
          <w:sz w:val="22"/>
        </w:rPr>
        <w:t>excluido</w:t>
      </w:r>
      <w:r w:rsidR="00186D2A">
        <w:rPr>
          <w:sz w:val="22"/>
        </w:rPr>
        <w:t xml:space="preserve">), se cumplen los requisitos exigidos en el artículo </w:t>
      </w:r>
      <w:r w:rsidR="003C1D7C">
        <w:rPr>
          <w:sz w:val="22"/>
        </w:rPr>
        <w:t>44</w:t>
      </w:r>
      <w:r w:rsidR="00186D2A">
        <w:rPr>
          <w:sz w:val="22"/>
        </w:rPr>
        <w:t xml:space="preserve"> de la </w:t>
      </w:r>
      <w:r w:rsidR="003C1D7C">
        <w:rPr>
          <w:sz w:val="22"/>
        </w:rPr>
        <w:t>LCSP</w:t>
      </w:r>
      <w:r w:rsidR="00186D2A">
        <w:rPr>
          <w:sz w:val="22"/>
        </w:rPr>
        <w:t xml:space="preserve"> para poder considerar </w:t>
      </w:r>
      <w:r w:rsidR="00097103">
        <w:rPr>
          <w:sz w:val="22"/>
        </w:rPr>
        <w:t>los pliegos</w:t>
      </w:r>
      <w:r w:rsidR="009C7699">
        <w:rPr>
          <w:sz w:val="22"/>
        </w:rPr>
        <w:t xml:space="preserve"> como</w:t>
      </w:r>
      <w:r w:rsidR="00186D2A">
        <w:rPr>
          <w:sz w:val="22"/>
        </w:rPr>
        <w:t xml:space="preserve"> susceptible</w:t>
      </w:r>
      <w:r w:rsidR="00097103">
        <w:rPr>
          <w:sz w:val="22"/>
        </w:rPr>
        <w:t>s</w:t>
      </w:r>
      <w:r w:rsidR="00186D2A">
        <w:rPr>
          <w:sz w:val="22"/>
        </w:rPr>
        <w:t xml:space="preserve"> de recurso especial en materia de contratación. En concreto, </w:t>
      </w:r>
      <w:r w:rsidR="00FE432D">
        <w:rPr>
          <w:sz w:val="22"/>
        </w:rPr>
        <w:t>son</w:t>
      </w:r>
      <w:r w:rsidR="00186D2A">
        <w:rPr>
          <w:sz w:val="22"/>
        </w:rPr>
        <w:t xml:space="preserve"> susceptibles de</w:t>
      </w:r>
      <w:r w:rsidR="00FE432D">
        <w:rPr>
          <w:sz w:val="22"/>
        </w:rPr>
        <w:t xml:space="preserve"> </w:t>
      </w:r>
      <w:r w:rsidR="00186D2A">
        <w:rPr>
          <w:sz w:val="22"/>
        </w:rPr>
        <w:t>recurso especial los actos</w:t>
      </w:r>
      <w:r w:rsidR="003C1D7C">
        <w:rPr>
          <w:sz w:val="22"/>
        </w:rPr>
        <w:t xml:space="preserve"> y decisiones </w:t>
      </w:r>
      <w:r w:rsidR="00186D2A">
        <w:rPr>
          <w:sz w:val="22"/>
        </w:rPr>
        <w:t>relacionados en el apartado 2</w:t>
      </w:r>
      <w:r w:rsidR="00FE432D">
        <w:rPr>
          <w:sz w:val="22"/>
        </w:rPr>
        <w:t xml:space="preserve"> del citado artículo—</w:t>
      </w:r>
      <w:r w:rsidR="00186D2A">
        <w:rPr>
          <w:sz w:val="22"/>
        </w:rPr>
        <w:t xml:space="preserve"> </w:t>
      </w:r>
      <w:r w:rsidR="00FE432D">
        <w:rPr>
          <w:sz w:val="22"/>
        </w:rPr>
        <w:t xml:space="preserve">como los </w:t>
      </w:r>
      <w:r w:rsidR="009D1B5C" w:rsidRPr="009D1B5C">
        <w:rPr>
          <w:sz w:val="22"/>
        </w:rPr>
        <w:t>actos de trámite adoptados en el procedimiento de adjudicación, siempre que estos decidan directa o indirectamente sobre la adjudicación, determinen la imposibilidad de continuar el procedimiento o produzcan indefensión o perjuicio irreparable a derechos o intereses legítimos</w:t>
      </w:r>
      <w:r w:rsidR="00FE432D">
        <w:rPr>
          <w:sz w:val="22"/>
        </w:rPr>
        <w:t>—</w:t>
      </w:r>
      <w:r w:rsidR="00186D2A">
        <w:rPr>
          <w:sz w:val="22"/>
        </w:rPr>
        <w:t xml:space="preserve"> cuando se refieran</w:t>
      </w:r>
      <w:r w:rsidR="009D1B5C">
        <w:rPr>
          <w:sz w:val="22"/>
        </w:rPr>
        <w:t xml:space="preserve">, </w:t>
      </w:r>
      <w:r w:rsidR="00186D2A">
        <w:rPr>
          <w:sz w:val="22"/>
        </w:rPr>
        <w:t>entre otros</w:t>
      </w:r>
      <w:r w:rsidR="009D1B5C">
        <w:rPr>
          <w:sz w:val="22"/>
        </w:rPr>
        <w:t xml:space="preserve"> tipos contractuales,</w:t>
      </w:r>
      <w:r w:rsidR="00186D2A">
        <w:rPr>
          <w:sz w:val="22"/>
        </w:rPr>
        <w:t xml:space="preserve"> a los contratos de </w:t>
      </w:r>
      <w:r w:rsidR="003F1EA3">
        <w:rPr>
          <w:sz w:val="22"/>
        </w:rPr>
        <w:t>suministro</w:t>
      </w:r>
      <w:r w:rsidR="00186D2A">
        <w:rPr>
          <w:sz w:val="22"/>
        </w:rPr>
        <w:t xml:space="preserve"> </w:t>
      </w:r>
      <w:r w:rsidR="003C1D7C">
        <w:rPr>
          <w:sz w:val="22"/>
        </w:rPr>
        <w:t>cuyo valor estimado sea superior a cien mil euros</w:t>
      </w:r>
      <w:r w:rsidR="00186D2A">
        <w:rPr>
          <w:sz w:val="22"/>
        </w:rPr>
        <w:t xml:space="preserve"> (art. 4</w:t>
      </w:r>
      <w:r w:rsidR="003C1D7C">
        <w:rPr>
          <w:sz w:val="22"/>
        </w:rPr>
        <w:t>4</w:t>
      </w:r>
      <w:r w:rsidR="00186D2A">
        <w:rPr>
          <w:sz w:val="22"/>
        </w:rPr>
        <w:t>.2.</w:t>
      </w:r>
      <w:r w:rsidR="002E15C2">
        <w:rPr>
          <w:sz w:val="22"/>
        </w:rPr>
        <w:t>b</w:t>
      </w:r>
      <w:r w:rsidR="00186D2A">
        <w:rPr>
          <w:sz w:val="22"/>
        </w:rPr>
        <w:t>).</w:t>
      </w:r>
    </w:p>
    <w:p w14:paraId="43642B6D" w14:textId="525BE282" w:rsidR="00003588" w:rsidRPr="00003588" w:rsidRDefault="00A23EAA" w:rsidP="006F0796">
      <w:pPr>
        <w:spacing w:after="240"/>
        <w:jc w:val="both"/>
        <w:rPr>
          <w:sz w:val="22"/>
          <w:szCs w:val="22"/>
        </w:rPr>
      </w:pPr>
      <w:r>
        <w:rPr>
          <w:b/>
          <w:sz w:val="22"/>
        </w:rPr>
        <w:t>SEGUNDO. –</w:t>
      </w:r>
      <w:r>
        <w:rPr>
          <w:sz w:val="22"/>
        </w:rPr>
        <w:t xml:space="preserve"> </w:t>
      </w:r>
      <w:r w:rsidR="00F618A7">
        <w:rPr>
          <w:sz w:val="22"/>
        </w:rPr>
        <w:t>R</w:t>
      </w:r>
      <w:r w:rsidR="00DA56FC">
        <w:rPr>
          <w:sz w:val="22"/>
        </w:rPr>
        <w:t xml:space="preserve">especto a su tramitación </w:t>
      </w:r>
      <w:r w:rsidR="00F618A7">
        <w:rPr>
          <w:sz w:val="22"/>
        </w:rPr>
        <w:t>ha de estarse</w:t>
      </w:r>
      <w:r w:rsidR="00DA56FC">
        <w:rPr>
          <w:sz w:val="22"/>
        </w:rPr>
        <w:t xml:space="preserve"> a lo dispuesto en el artículo </w:t>
      </w:r>
      <w:r w:rsidR="00D16A48">
        <w:rPr>
          <w:sz w:val="22"/>
        </w:rPr>
        <w:t>5</w:t>
      </w:r>
      <w:r w:rsidR="00DA56FC">
        <w:rPr>
          <w:sz w:val="22"/>
        </w:rPr>
        <w:t xml:space="preserve">6.3 </w:t>
      </w:r>
      <w:r w:rsidR="00D16A48">
        <w:rPr>
          <w:sz w:val="22"/>
        </w:rPr>
        <w:t>de la LCSP</w:t>
      </w:r>
      <w:r w:rsidR="00DA56FC">
        <w:rPr>
          <w:sz w:val="22"/>
        </w:rPr>
        <w:t xml:space="preserve">, </w:t>
      </w:r>
      <w:r w:rsidR="00003588">
        <w:rPr>
          <w:sz w:val="22"/>
        </w:rPr>
        <w:t xml:space="preserve">según el cual </w:t>
      </w:r>
      <w:r w:rsidR="00003588" w:rsidRPr="00003588">
        <w:rPr>
          <w:i/>
          <w:iCs/>
          <w:sz w:val="22"/>
          <w:szCs w:val="22"/>
        </w:rPr>
        <w:t xml:space="preserve">“Dentro de los cinco días hábiles siguientes a la interposición del recurso, dará traslado </w:t>
      </w:r>
      <w:proofErr w:type="gramStart"/>
      <w:r w:rsidR="00003588" w:rsidRPr="00003588">
        <w:rPr>
          <w:i/>
          <w:iCs/>
          <w:sz w:val="22"/>
          <w:szCs w:val="22"/>
        </w:rPr>
        <w:t>del mismo</w:t>
      </w:r>
      <w:proofErr w:type="gramEnd"/>
      <w:r w:rsidR="00003588" w:rsidRPr="00003588">
        <w:rPr>
          <w:i/>
          <w:iCs/>
          <w:sz w:val="22"/>
          <w:szCs w:val="22"/>
        </w:rPr>
        <w:t xml:space="preserve"> a los restantes interesados, concediéndoles un plazo de cinco días hábiles para </w:t>
      </w:r>
      <w:r w:rsidR="00003588">
        <w:rPr>
          <w:i/>
          <w:iCs/>
          <w:sz w:val="22"/>
          <w:szCs w:val="22"/>
        </w:rPr>
        <w:t>f</w:t>
      </w:r>
      <w:r w:rsidR="00003588" w:rsidRPr="00003588">
        <w:rPr>
          <w:i/>
          <w:iCs/>
          <w:sz w:val="22"/>
          <w:szCs w:val="22"/>
        </w:rPr>
        <w:t xml:space="preserve">ormular alegaciones, </w:t>
      </w:r>
      <w:r w:rsidR="00D16A48">
        <w:rPr>
          <w:i/>
          <w:iCs/>
          <w:sz w:val="22"/>
          <w:szCs w:val="22"/>
        </w:rPr>
        <w:t>(…).</w:t>
      </w:r>
      <w:r w:rsidR="00003588" w:rsidRPr="00003588">
        <w:rPr>
          <w:i/>
          <w:iCs/>
          <w:sz w:val="22"/>
          <w:szCs w:val="22"/>
        </w:rPr>
        <w:t xml:space="preserve"> </w:t>
      </w:r>
      <w:r w:rsidR="00D16A48">
        <w:rPr>
          <w:i/>
          <w:iCs/>
          <w:sz w:val="22"/>
          <w:szCs w:val="22"/>
        </w:rPr>
        <w:t>D</w:t>
      </w:r>
      <w:r w:rsidR="00003588" w:rsidRPr="00003588">
        <w:rPr>
          <w:i/>
          <w:iCs/>
          <w:sz w:val="22"/>
          <w:szCs w:val="22"/>
        </w:rPr>
        <w:t>e forma simultánea a este trámite, decidirá, en el plazo de cinco días hábiles, acerca de las medidas cautelares si se hubiese solicitado la adopción de alguna en el escrito de interposición del recurso o se hubiera procedido a la acumulación</w:t>
      </w:r>
      <w:r w:rsidR="00D16A48">
        <w:rPr>
          <w:i/>
          <w:iCs/>
          <w:sz w:val="22"/>
          <w:szCs w:val="22"/>
        </w:rPr>
        <w:t xml:space="preserve">, en el caso de que la solicitud de tales medidas </w:t>
      </w:r>
      <w:r w:rsidR="00102A21">
        <w:rPr>
          <w:i/>
          <w:iCs/>
          <w:sz w:val="22"/>
          <w:szCs w:val="22"/>
        </w:rPr>
        <w:t>se hubiera realiza</w:t>
      </w:r>
      <w:r w:rsidR="00D16A48">
        <w:rPr>
          <w:i/>
          <w:iCs/>
          <w:sz w:val="22"/>
          <w:szCs w:val="22"/>
        </w:rPr>
        <w:t>do con anterioridad a la presentación del recurso</w:t>
      </w:r>
      <w:r w:rsidR="00D16A48" w:rsidRPr="00003588">
        <w:rPr>
          <w:i/>
          <w:iCs/>
          <w:sz w:val="22"/>
          <w:szCs w:val="22"/>
        </w:rPr>
        <w:t xml:space="preserve"> </w:t>
      </w:r>
      <w:r w:rsidR="00003588" w:rsidRPr="00003588">
        <w:rPr>
          <w:i/>
          <w:iCs/>
          <w:sz w:val="22"/>
          <w:szCs w:val="22"/>
        </w:rPr>
        <w:t>(…)</w:t>
      </w:r>
      <w:r w:rsidR="00A64606">
        <w:rPr>
          <w:i/>
          <w:iCs/>
          <w:sz w:val="22"/>
          <w:szCs w:val="22"/>
        </w:rPr>
        <w:t xml:space="preserve">. </w:t>
      </w:r>
      <w:r w:rsidR="00A64606" w:rsidRPr="00A64606">
        <w:rPr>
          <w:b/>
          <w:bCs/>
          <w:i/>
          <w:iCs/>
          <w:sz w:val="22"/>
          <w:szCs w:val="22"/>
        </w:rPr>
        <w:t>En todo caso, las medidas cautelares podrán acordarse de oficio por el órgano competente en cualquier fase del procedimiento dando audiencia sobre ello al órgano de contratación autor del acto impugnado, por plazo de dos días</w:t>
      </w:r>
      <w:r w:rsidR="00003588" w:rsidRPr="00003588">
        <w:rPr>
          <w:i/>
          <w:iCs/>
          <w:sz w:val="22"/>
          <w:szCs w:val="22"/>
        </w:rPr>
        <w:t>”</w:t>
      </w:r>
      <w:r w:rsidR="00003588" w:rsidRPr="00003588">
        <w:rPr>
          <w:iCs/>
          <w:sz w:val="22"/>
          <w:szCs w:val="22"/>
        </w:rPr>
        <w:t>.</w:t>
      </w:r>
    </w:p>
    <w:p w14:paraId="74E2DC38" w14:textId="63A2B66A" w:rsidR="00FE432D" w:rsidRPr="00E16D4D" w:rsidRDefault="00A23EAA" w:rsidP="006F0796">
      <w:pPr>
        <w:spacing w:after="240"/>
        <w:jc w:val="both"/>
        <w:rPr>
          <w:sz w:val="22"/>
        </w:rPr>
      </w:pPr>
      <w:r>
        <w:rPr>
          <w:b/>
          <w:sz w:val="22"/>
        </w:rPr>
        <w:t xml:space="preserve">TERCERO. - </w:t>
      </w:r>
      <w:r w:rsidR="00FE432D" w:rsidRPr="004C30C3">
        <w:rPr>
          <w:sz w:val="22"/>
        </w:rPr>
        <w:t xml:space="preserve">El artículo </w:t>
      </w:r>
      <w:r w:rsidR="00FE432D">
        <w:rPr>
          <w:sz w:val="22"/>
        </w:rPr>
        <w:t>53 de la LCSP contempla la suspensión automática de la tramitación del procedimiento cuando el acto recurrido sea la adjudicación, entendiéndose vigente en tanto no se dicte resolución expresa acordando el levantamiento, tal como se prevé en el artículo 56.3. Si bien no se contempla esta suspensión automática para otros actos recurridos,</w:t>
      </w:r>
      <w:r w:rsidR="00A64606">
        <w:rPr>
          <w:sz w:val="22"/>
        </w:rPr>
        <w:t xml:space="preserve"> el OAFRC puede acordarla de oficio</w:t>
      </w:r>
      <w:r w:rsidR="00FE432D" w:rsidRPr="00E16D4D">
        <w:rPr>
          <w:sz w:val="22"/>
        </w:rPr>
        <w:t xml:space="preserve">. </w:t>
      </w:r>
    </w:p>
    <w:p w14:paraId="3E275890" w14:textId="4CFAC593" w:rsidR="00FE432D" w:rsidRPr="00F95EC5" w:rsidRDefault="00FE432D" w:rsidP="006F0796">
      <w:pPr>
        <w:spacing w:after="240"/>
        <w:jc w:val="both"/>
        <w:rPr>
          <w:iCs/>
          <w:sz w:val="22"/>
        </w:rPr>
      </w:pPr>
      <w:r>
        <w:rPr>
          <w:sz w:val="22"/>
        </w:rPr>
        <w:t xml:space="preserve">Según señala el artículo 49.1 del citado texto legal, </w:t>
      </w:r>
      <w:r w:rsidRPr="00F95EC5">
        <w:rPr>
          <w:iCs/>
          <w:sz w:val="22"/>
        </w:rPr>
        <w:t>esas medidas cautelares pueden estar destinadas a suspender o a hacer que se suspenda el procedimiento de adjudicación del contrato en cuestión.</w:t>
      </w:r>
    </w:p>
    <w:p w14:paraId="067D6ED9" w14:textId="77777777" w:rsidR="002B14B7" w:rsidRPr="002B14B7" w:rsidRDefault="00A23EAA" w:rsidP="006F0796">
      <w:pPr>
        <w:spacing w:after="240"/>
        <w:jc w:val="both"/>
        <w:rPr>
          <w:sz w:val="22"/>
          <w:szCs w:val="22"/>
        </w:rPr>
      </w:pPr>
      <w:r w:rsidRPr="00DF3675">
        <w:rPr>
          <w:b/>
          <w:sz w:val="22"/>
        </w:rPr>
        <w:t xml:space="preserve">CUARTO. - </w:t>
      </w:r>
      <w:r w:rsidR="00B83425">
        <w:rPr>
          <w:sz w:val="22"/>
        </w:rPr>
        <w:t>E</w:t>
      </w:r>
      <w:r w:rsidR="002B14B7">
        <w:rPr>
          <w:sz w:val="22"/>
        </w:rPr>
        <w:t xml:space="preserve">n la legislación de contratos </w:t>
      </w:r>
      <w:r w:rsidR="003A14AE">
        <w:rPr>
          <w:sz w:val="22"/>
        </w:rPr>
        <w:t>del sector público</w:t>
      </w:r>
      <w:r w:rsidR="00B83425">
        <w:rPr>
          <w:sz w:val="22"/>
        </w:rPr>
        <w:t xml:space="preserve"> no se definen</w:t>
      </w:r>
      <w:r w:rsidR="002B14B7">
        <w:rPr>
          <w:sz w:val="22"/>
        </w:rPr>
        <w:t xml:space="preserve"> los parámetros sobre los que adoptar o denegar las medidas provisionales.</w:t>
      </w:r>
      <w:r w:rsidR="00B83425">
        <w:rPr>
          <w:sz w:val="22"/>
        </w:rPr>
        <w:t xml:space="preserve"> </w:t>
      </w:r>
      <w:r w:rsidR="00345B6D">
        <w:rPr>
          <w:sz w:val="22"/>
        </w:rPr>
        <w:t>No obstante</w:t>
      </w:r>
      <w:r w:rsidR="002B14B7" w:rsidRPr="002B14B7">
        <w:rPr>
          <w:sz w:val="22"/>
        </w:rPr>
        <w:t>,</w:t>
      </w:r>
      <w:r w:rsidR="002B14B7">
        <w:rPr>
          <w:sz w:val="22"/>
        </w:rPr>
        <w:t xml:space="preserve"> c</w:t>
      </w:r>
      <w:r w:rsidR="002B14B7" w:rsidRPr="002B14B7">
        <w:rPr>
          <w:sz w:val="22"/>
          <w:szCs w:val="22"/>
        </w:rPr>
        <w:t xml:space="preserve">abe entender que los requisitos exigidos por el Tribunal Supremo con relación al proceso cautelar en el ámbito judicial </w:t>
      </w:r>
      <w:r w:rsidR="00345B6D" w:rsidRPr="002B14B7">
        <w:rPr>
          <w:sz w:val="22"/>
          <w:szCs w:val="22"/>
        </w:rPr>
        <w:t>se aplican</w:t>
      </w:r>
      <w:r w:rsidR="002B14B7" w:rsidRPr="002B14B7">
        <w:rPr>
          <w:sz w:val="22"/>
          <w:szCs w:val="22"/>
        </w:rPr>
        <w:t xml:space="preserve"> </w:t>
      </w:r>
      <w:r w:rsidR="00345B6D">
        <w:rPr>
          <w:sz w:val="22"/>
          <w:szCs w:val="22"/>
        </w:rPr>
        <w:t xml:space="preserve">también </w:t>
      </w:r>
      <w:r w:rsidR="002B14B7" w:rsidRPr="002B14B7">
        <w:rPr>
          <w:sz w:val="22"/>
          <w:szCs w:val="22"/>
        </w:rPr>
        <w:t>en el marco del procedimiento del recurso especial</w:t>
      </w:r>
      <w:r w:rsidR="00F618A7">
        <w:rPr>
          <w:sz w:val="22"/>
          <w:szCs w:val="22"/>
        </w:rPr>
        <w:t>.</w:t>
      </w:r>
      <w:r w:rsidR="00345B6D">
        <w:rPr>
          <w:sz w:val="22"/>
          <w:szCs w:val="22"/>
        </w:rPr>
        <w:t xml:space="preserve"> En este sentido, </w:t>
      </w:r>
      <w:r w:rsidR="002B14B7" w:rsidRPr="002B14B7">
        <w:rPr>
          <w:sz w:val="22"/>
          <w:szCs w:val="22"/>
        </w:rPr>
        <w:t xml:space="preserve">toda decisión sobre las medidas cautelares debe adoptarse ponderando las circunstancias del caso y teniendo en cuenta la finalidad de la medida cautelar y su fundamento constitucional, </w:t>
      </w:r>
      <w:r w:rsidR="008307C2">
        <w:rPr>
          <w:sz w:val="22"/>
          <w:szCs w:val="22"/>
        </w:rPr>
        <w:t>tendente a</w:t>
      </w:r>
      <w:r w:rsidR="002B14B7" w:rsidRPr="002B14B7">
        <w:rPr>
          <w:sz w:val="22"/>
          <w:szCs w:val="22"/>
        </w:rPr>
        <w:t xml:space="preserve"> asegurar que la futura resolución del</w:t>
      </w:r>
      <w:r w:rsidR="002B14B7">
        <w:rPr>
          <w:sz w:val="22"/>
          <w:szCs w:val="22"/>
        </w:rPr>
        <w:t xml:space="preserve"> </w:t>
      </w:r>
      <w:r w:rsidR="002B14B7" w:rsidRPr="002B14B7">
        <w:rPr>
          <w:sz w:val="22"/>
          <w:szCs w:val="22"/>
        </w:rPr>
        <w:t>procedimiento principal pueda llevarse a la práctica de modo útil</w:t>
      </w:r>
      <w:r w:rsidR="008307C2">
        <w:rPr>
          <w:sz w:val="22"/>
          <w:szCs w:val="22"/>
        </w:rPr>
        <w:t>, evitando perjuicios de difícil o imposible reparación.</w:t>
      </w:r>
      <w:r w:rsidR="002B14B7" w:rsidRPr="002B14B7">
        <w:rPr>
          <w:sz w:val="22"/>
          <w:szCs w:val="22"/>
        </w:rPr>
        <w:t xml:space="preserve"> </w:t>
      </w:r>
    </w:p>
    <w:p w14:paraId="151228D7" w14:textId="6107139C" w:rsidR="00E04C3D" w:rsidRPr="0059762E" w:rsidRDefault="00A23EAA" w:rsidP="00CB1A27">
      <w:pPr>
        <w:autoSpaceDE w:val="0"/>
        <w:autoSpaceDN w:val="0"/>
        <w:adjustRightInd w:val="0"/>
        <w:spacing w:after="240"/>
        <w:jc w:val="both"/>
        <w:rPr>
          <w:sz w:val="22"/>
          <w:szCs w:val="22"/>
        </w:rPr>
      </w:pPr>
      <w:r>
        <w:rPr>
          <w:b/>
          <w:sz w:val="22"/>
        </w:rPr>
        <w:lastRenderedPageBreak/>
        <w:t>QUINTO</w:t>
      </w:r>
      <w:r w:rsidR="00F10DF3" w:rsidRPr="00DF3675">
        <w:rPr>
          <w:b/>
          <w:sz w:val="22"/>
        </w:rPr>
        <w:t>. -</w:t>
      </w:r>
      <w:r w:rsidR="00745A90" w:rsidRPr="00DF3675">
        <w:rPr>
          <w:b/>
          <w:sz w:val="22"/>
        </w:rPr>
        <w:t xml:space="preserve"> </w:t>
      </w:r>
      <w:r w:rsidR="002D73DA" w:rsidRPr="00DF3675">
        <w:rPr>
          <w:sz w:val="22"/>
        </w:rPr>
        <w:t xml:space="preserve">Este </w:t>
      </w:r>
      <w:r w:rsidR="00495221">
        <w:rPr>
          <w:sz w:val="22"/>
        </w:rPr>
        <w:t>Ó</w:t>
      </w:r>
      <w:r w:rsidR="002D73DA" w:rsidRPr="00DF3675">
        <w:rPr>
          <w:sz w:val="22"/>
        </w:rPr>
        <w:t>rgano considera que</w:t>
      </w:r>
      <w:r w:rsidR="0027091C" w:rsidRPr="00DF3675">
        <w:rPr>
          <w:sz w:val="22"/>
        </w:rPr>
        <w:t xml:space="preserve"> </w:t>
      </w:r>
      <w:r w:rsidR="002D73DA" w:rsidRPr="00DF3675">
        <w:rPr>
          <w:sz w:val="22"/>
        </w:rPr>
        <w:t>las medidas cautelares a adoptar durante la tramitación</w:t>
      </w:r>
      <w:r w:rsidR="002D73DA" w:rsidRPr="00F10DF3">
        <w:rPr>
          <w:sz w:val="22"/>
        </w:rPr>
        <w:t xml:space="preserve"> del recurso especial deben servir, no sólo para</w:t>
      </w:r>
      <w:r w:rsidR="0027091C" w:rsidRPr="00F10DF3">
        <w:rPr>
          <w:sz w:val="22"/>
        </w:rPr>
        <w:t xml:space="preserve"> asegurar la eficacia de la </w:t>
      </w:r>
      <w:r w:rsidR="0027091C" w:rsidRPr="00F10DF3">
        <w:rPr>
          <w:sz w:val="22"/>
          <w:szCs w:val="22"/>
        </w:rPr>
        <w:t xml:space="preserve">resolución del recurso </w:t>
      </w:r>
      <w:r w:rsidR="002D73DA" w:rsidRPr="00F10DF3">
        <w:rPr>
          <w:sz w:val="22"/>
          <w:szCs w:val="22"/>
        </w:rPr>
        <w:t xml:space="preserve">que finalmente se tome, sino también para evitar o minimizar los perjuicios que podría causar, tanto a la propia administración como a los intereses de los particulares afectados, </w:t>
      </w:r>
      <w:r w:rsidR="00A64606">
        <w:rPr>
          <w:sz w:val="22"/>
          <w:szCs w:val="22"/>
        </w:rPr>
        <w:t>la continuación del procedimiento</w:t>
      </w:r>
      <w:r w:rsidR="00F10DF3" w:rsidRPr="00F10DF3">
        <w:rPr>
          <w:sz w:val="22"/>
          <w:szCs w:val="22"/>
        </w:rPr>
        <w:t xml:space="preserve"> </w:t>
      </w:r>
      <w:r w:rsidR="002D73DA" w:rsidRPr="00F10DF3">
        <w:rPr>
          <w:sz w:val="22"/>
          <w:szCs w:val="22"/>
        </w:rPr>
        <w:t>sin que este órgano haya analizado de forma plena y previa los argumentos que sustentan el recurso especial, ya que</w:t>
      </w:r>
      <w:r w:rsidR="004F047F" w:rsidRPr="0059762E">
        <w:rPr>
          <w:sz w:val="22"/>
          <w:szCs w:val="22"/>
        </w:rPr>
        <w:t xml:space="preserve"> una eventual estimación del recurso obligaría a retrotraer las actuaciones</w:t>
      </w:r>
      <w:r w:rsidR="0059762E">
        <w:rPr>
          <w:sz w:val="22"/>
          <w:szCs w:val="22"/>
        </w:rPr>
        <w:t xml:space="preserve"> del potencial nuevo expediente</w:t>
      </w:r>
      <w:r w:rsidR="004F047F" w:rsidRPr="0059762E">
        <w:rPr>
          <w:sz w:val="22"/>
          <w:szCs w:val="22"/>
        </w:rPr>
        <w:t xml:space="preserve"> y a dejar sin efecto actos declarativos de derechos</w:t>
      </w:r>
      <w:r w:rsidR="00F10DF3" w:rsidRPr="0059762E">
        <w:rPr>
          <w:sz w:val="22"/>
          <w:szCs w:val="22"/>
        </w:rPr>
        <w:t>, con las consecuencias correspondientes</w:t>
      </w:r>
      <w:r w:rsidR="004F047F" w:rsidRPr="0059762E">
        <w:rPr>
          <w:sz w:val="22"/>
          <w:szCs w:val="22"/>
        </w:rPr>
        <w:t>.</w:t>
      </w:r>
    </w:p>
    <w:p w14:paraId="74B587CF" w14:textId="21630046" w:rsidR="00020C36" w:rsidRDefault="00721E13" w:rsidP="006F0796">
      <w:pPr>
        <w:widowControl w:val="0"/>
        <w:autoSpaceDE w:val="0"/>
        <w:autoSpaceDN w:val="0"/>
        <w:adjustRightInd w:val="0"/>
        <w:spacing w:after="240"/>
        <w:jc w:val="both"/>
        <w:rPr>
          <w:sz w:val="22"/>
        </w:rPr>
      </w:pPr>
      <w:r w:rsidRPr="00721E13">
        <w:rPr>
          <w:bCs/>
          <w:sz w:val="22"/>
        </w:rPr>
        <w:t>Por lo expuesto</w:t>
      </w:r>
      <w:r>
        <w:rPr>
          <w:b/>
          <w:sz w:val="22"/>
        </w:rPr>
        <w:t>,</w:t>
      </w:r>
      <w:r w:rsidR="00020C36">
        <w:rPr>
          <w:sz w:val="22"/>
        </w:rPr>
        <w:t xml:space="preserve"> </w:t>
      </w:r>
      <w:r>
        <w:rPr>
          <w:sz w:val="22"/>
        </w:rPr>
        <w:t>s</w:t>
      </w:r>
      <w:r w:rsidR="00020C36">
        <w:rPr>
          <w:sz w:val="22"/>
        </w:rPr>
        <w:t>in prejuzgar la cuestión de fondo planteada en el recurso, este Órgano Foral de Recursos Contractuales emite la siguiente</w:t>
      </w:r>
    </w:p>
    <w:p w14:paraId="732809E1" w14:textId="77777777" w:rsidR="009732E6" w:rsidRDefault="009732E6" w:rsidP="006F0796">
      <w:pPr>
        <w:pStyle w:val="Textoindependiente"/>
        <w:spacing w:after="240"/>
        <w:jc w:val="center"/>
        <w:rPr>
          <w:rFonts w:ascii="Times New Roman" w:hAnsi="Times New Roman"/>
          <w:b/>
          <w:sz w:val="22"/>
          <w:u w:val="single"/>
        </w:rPr>
      </w:pPr>
    </w:p>
    <w:p w14:paraId="620FFC57" w14:textId="77777777" w:rsidR="00020C36" w:rsidRDefault="00020C36" w:rsidP="006F0796">
      <w:pPr>
        <w:pStyle w:val="Textoindependiente"/>
        <w:spacing w:after="240"/>
        <w:jc w:val="center"/>
        <w:rPr>
          <w:rFonts w:ascii="Times New Roman" w:hAnsi="Times New Roman"/>
          <w:b/>
          <w:sz w:val="22"/>
          <w:u w:val="single"/>
        </w:rPr>
      </w:pPr>
      <w:r>
        <w:rPr>
          <w:rFonts w:ascii="Times New Roman" w:hAnsi="Times New Roman"/>
          <w:b/>
          <w:sz w:val="22"/>
          <w:u w:val="single"/>
        </w:rPr>
        <w:t>RESOLUCIÓN</w:t>
      </w:r>
    </w:p>
    <w:p w14:paraId="1A507C56" w14:textId="77777777" w:rsidR="00020C36" w:rsidRDefault="00020C36" w:rsidP="006F0796">
      <w:pPr>
        <w:pStyle w:val="Textoindependiente"/>
        <w:spacing w:after="240"/>
        <w:jc w:val="center"/>
        <w:rPr>
          <w:rFonts w:ascii="Times New Roman" w:hAnsi="Times New Roman"/>
          <w:b/>
          <w:sz w:val="22"/>
          <w:u w:val="single"/>
        </w:rPr>
      </w:pPr>
    </w:p>
    <w:p w14:paraId="17AE9A77" w14:textId="354802CC" w:rsidR="00A64606" w:rsidRDefault="00A64606" w:rsidP="00A64606">
      <w:pPr>
        <w:pStyle w:val="Ttulo4"/>
        <w:spacing w:after="240"/>
        <w:jc w:val="both"/>
        <w:rPr>
          <w:rStyle w:val="Nmerodepgina"/>
          <w:b w:val="0"/>
          <w:szCs w:val="22"/>
          <w:lang w:val="es-ES_tradnl"/>
        </w:rPr>
      </w:pPr>
      <w:r>
        <w:rPr>
          <w:b w:val="0"/>
          <w:szCs w:val="22"/>
          <w:lang w:val="es-ES_tradnl"/>
        </w:rPr>
        <w:t>Acordar</w:t>
      </w:r>
      <w:r w:rsidR="00F45840">
        <w:rPr>
          <w:b w:val="0"/>
          <w:szCs w:val="22"/>
        </w:rPr>
        <w:t xml:space="preserve"> </w:t>
      </w:r>
      <w:r w:rsidR="001F38BF">
        <w:rPr>
          <w:b w:val="0"/>
          <w:szCs w:val="22"/>
        </w:rPr>
        <w:t>la</w:t>
      </w:r>
      <w:r w:rsidR="00A23EAA">
        <w:rPr>
          <w:b w:val="0"/>
          <w:szCs w:val="22"/>
        </w:rPr>
        <w:t xml:space="preserve"> </w:t>
      </w:r>
      <w:r w:rsidR="00A95300" w:rsidRPr="00071E04">
        <w:rPr>
          <w:b w:val="0"/>
          <w:szCs w:val="22"/>
        </w:rPr>
        <w:t xml:space="preserve">medida </w:t>
      </w:r>
      <w:r w:rsidR="00A95300" w:rsidRPr="00C46CDC">
        <w:rPr>
          <w:b w:val="0"/>
          <w:szCs w:val="22"/>
        </w:rPr>
        <w:t xml:space="preserve">provisional de </w:t>
      </w:r>
      <w:r w:rsidR="00A95300" w:rsidRPr="00495221">
        <w:rPr>
          <w:b w:val="0"/>
          <w:szCs w:val="22"/>
        </w:rPr>
        <w:t xml:space="preserve">suspensión </w:t>
      </w:r>
      <w:r w:rsidR="00A95300" w:rsidRPr="00495221">
        <w:rPr>
          <w:b w:val="0"/>
        </w:rPr>
        <w:t>de</w:t>
      </w:r>
      <w:r>
        <w:rPr>
          <w:b w:val="0"/>
        </w:rPr>
        <w:t>l procedimiento de contratación</w:t>
      </w:r>
      <w:r w:rsidR="00F57C4C" w:rsidRPr="00495221">
        <w:rPr>
          <w:b w:val="0"/>
        </w:rPr>
        <w:t xml:space="preserve"> “</w:t>
      </w:r>
      <w:r w:rsidRPr="00A64606">
        <w:rPr>
          <w:b w:val="0"/>
        </w:rPr>
        <w:t>Suministro de material eléctrico para la Diputación Foral de Álava</w:t>
      </w:r>
      <w:r w:rsidR="00F57C4C" w:rsidRPr="00495221">
        <w:rPr>
          <w:b w:val="0"/>
        </w:rPr>
        <w:t>” (</w:t>
      </w:r>
      <w:proofErr w:type="spellStart"/>
      <w:r w:rsidR="00F57C4C" w:rsidRPr="00495221">
        <w:rPr>
          <w:b w:val="0"/>
        </w:rPr>
        <w:t>expte</w:t>
      </w:r>
      <w:proofErr w:type="spellEnd"/>
      <w:r w:rsidR="00F57C4C" w:rsidRPr="00495221">
        <w:rPr>
          <w:b w:val="0"/>
        </w:rPr>
        <w:t xml:space="preserve"> </w:t>
      </w:r>
      <w:r w:rsidRPr="00A64606">
        <w:rPr>
          <w:b w:val="0"/>
        </w:rPr>
        <w:t>SG 19/26</w:t>
      </w:r>
      <w:r w:rsidR="00F57C4C" w:rsidRPr="00495221">
        <w:rPr>
          <w:b w:val="0"/>
        </w:rPr>
        <w:t xml:space="preserve">) </w:t>
      </w:r>
      <w:r>
        <w:rPr>
          <w:b w:val="0"/>
        </w:rPr>
        <w:t>cuyos pliegos han sido recurridos</w:t>
      </w:r>
      <w:r w:rsidR="00D07706" w:rsidRPr="00495221">
        <w:rPr>
          <w:b w:val="0"/>
          <w:szCs w:val="22"/>
        </w:rPr>
        <w:t xml:space="preserve"> por</w:t>
      </w:r>
      <w:r w:rsidR="00A95300" w:rsidRPr="00495221">
        <w:rPr>
          <w:b w:val="0"/>
          <w:szCs w:val="22"/>
        </w:rPr>
        <w:t xml:space="preserve"> </w:t>
      </w:r>
      <w:r w:rsidRPr="00A64606">
        <w:rPr>
          <w:rStyle w:val="Nmerodepgina"/>
          <w:b w:val="0"/>
          <w:szCs w:val="22"/>
          <w:lang w:val="es-ES_tradnl"/>
        </w:rPr>
        <w:t xml:space="preserve">SETALDE SUMINISTROS INTEGRALES, S.A. </w:t>
      </w:r>
    </w:p>
    <w:p w14:paraId="58A05C93" w14:textId="6B82E596" w:rsidR="008D6A2D" w:rsidRPr="00A64606" w:rsidRDefault="008D6A2D" w:rsidP="00A64606">
      <w:pPr>
        <w:pStyle w:val="Ttulo4"/>
        <w:spacing w:after="240"/>
        <w:jc w:val="both"/>
        <w:rPr>
          <w:b w:val="0"/>
          <w:bCs/>
          <w:szCs w:val="22"/>
        </w:rPr>
      </w:pPr>
      <w:r w:rsidRPr="00A64606">
        <w:rPr>
          <w:b w:val="0"/>
          <w:bCs/>
          <w:szCs w:val="22"/>
        </w:rPr>
        <w:t>Contra la presente resolución no cabe recurso alguno, sin perjuicio del que proceda contra la resolución que se dicte en el procedimiento principal del recurso.</w:t>
      </w:r>
    </w:p>
    <w:p w14:paraId="1B0C5BB5" w14:textId="77777777" w:rsidR="005528CE" w:rsidRDefault="005528CE" w:rsidP="005528CE">
      <w:pPr>
        <w:jc w:val="both"/>
        <w:rPr>
          <w:sz w:val="22"/>
          <w:szCs w:val="22"/>
        </w:rPr>
      </w:pPr>
    </w:p>
    <w:p w14:paraId="4426DC3C" w14:textId="77777777" w:rsidR="002401EA" w:rsidRDefault="002401EA" w:rsidP="005528CE">
      <w:pPr>
        <w:jc w:val="both"/>
        <w:rPr>
          <w:sz w:val="22"/>
          <w:szCs w:val="22"/>
        </w:rPr>
      </w:pPr>
    </w:p>
    <w:p w14:paraId="21DBCD74" w14:textId="77777777" w:rsidR="002401EA" w:rsidRDefault="002401EA" w:rsidP="005528CE">
      <w:pPr>
        <w:jc w:val="both"/>
        <w:rPr>
          <w:sz w:val="22"/>
          <w:szCs w:val="22"/>
        </w:rPr>
      </w:pPr>
    </w:p>
    <w:p w14:paraId="5C5E07F5" w14:textId="7C8C805B" w:rsidR="00020C36" w:rsidRPr="00DE751B" w:rsidRDefault="00020C36" w:rsidP="00DE751B">
      <w:pPr>
        <w:jc w:val="both"/>
        <w:rPr>
          <w:sz w:val="22"/>
          <w:lang w:val="es-ES_tradnl"/>
        </w:rPr>
      </w:pPr>
    </w:p>
    <w:sectPr w:rsidR="00020C36" w:rsidRPr="00DE751B">
      <w:headerReference w:type="default" r:id="rId8"/>
      <w:footerReference w:type="even" r:id="rId9"/>
      <w:footerReference w:type="default" r:id="rId10"/>
      <w:headerReference w:type="first" r:id="rId11"/>
      <w:footerReference w:type="first" r:id="rId12"/>
      <w:pgSz w:w="11906" w:h="16838" w:code="9"/>
      <w:pgMar w:top="1418" w:right="1701" w:bottom="1418" w:left="1701"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F5AEB" w14:textId="77777777" w:rsidR="00972084" w:rsidRDefault="00972084">
      <w:r>
        <w:separator/>
      </w:r>
    </w:p>
  </w:endnote>
  <w:endnote w:type="continuationSeparator" w:id="0">
    <w:p w14:paraId="69443DA5" w14:textId="77777777" w:rsidR="00972084" w:rsidRDefault="0097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53226" w14:textId="77777777" w:rsidR="000A14FE" w:rsidRDefault="000A14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44184F1" w14:textId="77777777" w:rsidR="000A14FE" w:rsidRDefault="000A14F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1F7F" w14:textId="77777777" w:rsidR="000A14FE" w:rsidRDefault="000A14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00F29">
      <w:rPr>
        <w:rStyle w:val="Nmerodepgina"/>
        <w:noProof/>
      </w:rPr>
      <w:t>4</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00F29">
      <w:rPr>
        <w:rStyle w:val="Nmerodepgina"/>
        <w:noProof/>
      </w:rPr>
      <w:t>4</w:t>
    </w:r>
    <w:r>
      <w:rPr>
        <w:rStyle w:val="Nmerodepgina"/>
      </w:rPr>
      <w:fldChar w:fldCharType="end"/>
    </w:r>
  </w:p>
  <w:p w14:paraId="149A0C07" w14:textId="77777777" w:rsidR="000A14FE" w:rsidRDefault="000A14F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A543" w14:textId="77777777" w:rsidR="000A14FE" w:rsidRDefault="000A14FE">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200F29">
      <w:rPr>
        <w:rStyle w:val="Nmerodepgina"/>
        <w:noProof/>
      </w:rPr>
      <w:t>1</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00F29">
      <w:rPr>
        <w:rStyle w:val="Nmerodepgina"/>
        <w:noProof/>
      </w:rPr>
      <w:t>4</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55224" w14:textId="77777777" w:rsidR="00972084" w:rsidRDefault="00972084">
      <w:r>
        <w:separator/>
      </w:r>
    </w:p>
  </w:footnote>
  <w:footnote w:type="continuationSeparator" w:id="0">
    <w:p w14:paraId="32A78D62" w14:textId="77777777" w:rsidR="00972084" w:rsidRDefault="00972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A14FE" w14:paraId="6CB6FF58" w14:textId="77777777">
      <w:trPr>
        <w:cantSplit/>
        <w:trHeight w:val="338"/>
      </w:trPr>
      <w:tc>
        <w:tcPr>
          <w:tcW w:w="3856" w:type="dxa"/>
        </w:tcPr>
        <w:p w14:paraId="18651DA1" w14:textId="77777777" w:rsidR="000A14FE" w:rsidRDefault="000A14FE">
          <w:pPr>
            <w:pStyle w:val="Encabezado"/>
          </w:pPr>
        </w:p>
      </w:tc>
      <w:tc>
        <w:tcPr>
          <w:tcW w:w="1361" w:type="dxa"/>
          <w:vMerge w:val="restart"/>
        </w:tcPr>
        <w:p w14:paraId="7A2E6F18" w14:textId="77777777" w:rsidR="000A14FE" w:rsidRDefault="00BB4B49">
          <w:pPr>
            <w:pStyle w:val="Encabezado"/>
            <w:jc w:val="center"/>
          </w:pPr>
          <w:r>
            <w:pict w14:anchorId="1A6133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6pt" fillcolor="window">
                <v:imagedata r:id="rId1" o:title="S MBOLO 12 X 12"/>
              </v:shape>
            </w:pict>
          </w:r>
        </w:p>
      </w:tc>
      <w:tc>
        <w:tcPr>
          <w:tcW w:w="3856" w:type="dxa"/>
        </w:tcPr>
        <w:p w14:paraId="6268E21B" w14:textId="77777777" w:rsidR="000A14FE" w:rsidRDefault="000A14FE">
          <w:pPr>
            <w:pStyle w:val="Encabezado"/>
          </w:pPr>
        </w:p>
      </w:tc>
    </w:tr>
    <w:tr w:rsidR="000A14FE" w14:paraId="1C604587" w14:textId="77777777">
      <w:trPr>
        <w:cantSplit/>
        <w:trHeight w:val="337"/>
      </w:trPr>
      <w:tc>
        <w:tcPr>
          <w:tcW w:w="3856" w:type="dxa"/>
        </w:tcPr>
        <w:p w14:paraId="436ED57E" w14:textId="77777777" w:rsidR="000A14FE" w:rsidRDefault="000A14FE">
          <w:pPr>
            <w:pStyle w:val="Encabezado"/>
          </w:pPr>
        </w:p>
      </w:tc>
      <w:tc>
        <w:tcPr>
          <w:tcW w:w="1361" w:type="dxa"/>
          <w:vMerge/>
        </w:tcPr>
        <w:p w14:paraId="0E012CCD" w14:textId="77777777" w:rsidR="000A14FE" w:rsidRDefault="000A14FE">
          <w:pPr>
            <w:pStyle w:val="Encabezado"/>
            <w:jc w:val="center"/>
          </w:pPr>
        </w:p>
      </w:tc>
      <w:tc>
        <w:tcPr>
          <w:tcW w:w="3856" w:type="dxa"/>
        </w:tcPr>
        <w:p w14:paraId="5E2068C5" w14:textId="77777777" w:rsidR="000A14FE" w:rsidRDefault="000A14FE">
          <w:pPr>
            <w:pStyle w:val="Encabezado"/>
          </w:pPr>
        </w:p>
      </w:tc>
    </w:tr>
  </w:tbl>
  <w:p w14:paraId="34581E77" w14:textId="77777777" w:rsidR="000A14FE" w:rsidRDefault="000A14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0A14FE" w14:paraId="4DA0BC12" w14:textId="77777777">
      <w:tc>
        <w:tcPr>
          <w:tcW w:w="4890" w:type="dxa"/>
        </w:tcPr>
        <w:p w14:paraId="57166992" w14:textId="77777777" w:rsidR="000A14FE" w:rsidRDefault="00BB4B49">
          <w:pPr>
            <w:pStyle w:val="Encabezado"/>
            <w:spacing w:after="720"/>
            <w:ind w:left="74" w:right="360"/>
            <w:rPr>
              <w:noProof/>
              <w:sz w:val="16"/>
            </w:rPr>
          </w:pPr>
          <w:r>
            <w:rPr>
              <w:noProof/>
              <w:sz w:val="20"/>
            </w:rPr>
            <w:pict w14:anchorId="1E0E1E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w:pict>
          </w:r>
        </w:p>
        <w:p w14:paraId="11DCF0F7" w14:textId="77777777" w:rsidR="000A14FE" w:rsidRDefault="000A14FE">
          <w:pPr>
            <w:pStyle w:val="Encabezado"/>
            <w:ind w:left="1064"/>
            <w:rPr>
              <w:noProof/>
              <w:sz w:val="16"/>
            </w:rPr>
          </w:pPr>
        </w:p>
      </w:tc>
      <w:tc>
        <w:tcPr>
          <w:tcW w:w="4961" w:type="dxa"/>
        </w:tcPr>
        <w:p w14:paraId="6414EEEC" w14:textId="77777777" w:rsidR="000A14FE" w:rsidRDefault="000A14FE">
          <w:pPr>
            <w:pStyle w:val="Encabezado"/>
            <w:spacing w:after="40" w:line="240" w:lineRule="exact"/>
            <w:ind w:left="-68"/>
            <w:rPr>
              <w:b/>
              <w:noProof/>
              <w:sz w:val="18"/>
            </w:rPr>
          </w:pPr>
        </w:p>
        <w:p w14:paraId="121EC09C" w14:textId="77777777" w:rsidR="000A14FE" w:rsidRDefault="000A14FE">
          <w:pPr>
            <w:pStyle w:val="Encabezado"/>
            <w:spacing w:after="40" w:line="240" w:lineRule="exact"/>
            <w:ind w:left="-68"/>
            <w:rPr>
              <w:b/>
              <w:noProof/>
              <w:sz w:val="18"/>
            </w:rPr>
          </w:pPr>
        </w:p>
        <w:p w14:paraId="40CFD13A" w14:textId="77777777" w:rsidR="000A14FE" w:rsidRDefault="000A14FE">
          <w:pPr>
            <w:pStyle w:val="Encabezado"/>
            <w:spacing w:after="40" w:line="240" w:lineRule="exact"/>
            <w:ind w:left="-68"/>
            <w:rPr>
              <w:b/>
              <w:noProof/>
              <w:sz w:val="18"/>
            </w:rPr>
          </w:pPr>
          <w:r>
            <w:rPr>
              <w:b/>
              <w:noProof/>
              <w:sz w:val="18"/>
            </w:rPr>
            <w:t>Diputatu Nagusiaren Saila</w:t>
          </w:r>
        </w:p>
        <w:p w14:paraId="7F9A6C84" w14:textId="77777777" w:rsidR="000A14FE" w:rsidRDefault="000A14FE">
          <w:pPr>
            <w:pStyle w:val="Encabezado"/>
            <w:spacing w:after="240" w:line="240" w:lineRule="exact"/>
            <w:ind w:left="-68"/>
            <w:rPr>
              <w:b/>
              <w:noProof/>
              <w:sz w:val="18"/>
            </w:rPr>
          </w:pPr>
          <w:r>
            <w:rPr>
              <w:b/>
              <w:noProof/>
              <w:sz w:val="18"/>
            </w:rPr>
            <w:t>Departamento del Diputado General</w:t>
          </w:r>
        </w:p>
        <w:p w14:paraId="62420AF9" w14:textId="77777777" w:rsidR="000A14FE" w:rsidRDefault="000A14FE">
          <w:pPr>
            <w:pStyle w:val="Encabezado"/>
            <w:spacing w:after="60" w:line="190" w:lineRule="exact"/>
            <w:ind w:left="-70"/>
            <w:rPr>
              <w:noProof/>
              <w:sz w:val="18"/>
            </w:rPr>
          </w:pPr>
          <w:r>
            <w:rPr>
              <w:b/>
              <w:noProof/>
              <w:sz w:val="18"/>
            </w:rPr>
            <w:t>Kontratu Errekurtsoen Foru Organo Administriboa</w:t>
          </w:r>
        </w:p>
        <w:p w14:paraId="1AABD896" w14:textId="77777777" w:rsidR="000A14FE" w:rsidRDefault="000A14FE">
          <w:pPr>
            <w:pStyle w:val="Encabezado"/>
            <w:spacing w:after="60" w:line="190" w:lineRule="exact"/>
            <w:ind w:left="-70"/>
            <w:rPr>
              <w:b/>
              <w:noProof/>
              <w:sz w:val="18"/>
            </w:rPr>
          </w:pPr>
          <w:r>
            <w:rPr>
              <w:b/>
              <w:noProof/>
              <w:sz w:val="18"/>
            </w:rPr>
            <w:t xml:space="preserve">Organo Administrativo Foral de Recursos Contractuales </w:t>
          </w:r>
        </w:p>
      </w:tc>
    </w:tr>
  </w:tbl>
  <w:p w14:paraId="2A5BE69E" w14:textId="77777777" w:rsidR="000A14FE" w:rsidRDefault="000A14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FFFFFFF">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727869"/>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AB4BE1"/>
    <w:multiLevelType w:val="singleLevel"/>
    <w:tmpl w:val="0C0A0017"/>
    <w:lvl w:ilvl="0">
      <w:start w:val="1"/>
      <w:numFmt w:val="lowerLetter"/>
      <w:lvlText w:val="%1)"/>
      <w:lvlJc w:val="left"/>
      <w:pPr>
        <w:tabs>
          <w:tab w:val="num" w:pos="360"/>
        </w:tabs>
        <w:ind w:left="360" w:hanging="360"/>
      </w:pPr>
      <w:rPr>
        <w:rFonts w:hint="default"/>
      </w:rPr>
    </w:lvl>
  </w:abstractNum>
  <w:abstractNum w:abstractNumId="3" w15:restartNumberingAfterBreak="0">
    <w:nsid w:val="1D126A41"/>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CE92692"/>
    <w:multiLevelType w:val="hybridMultilevel"/>
    <w:tmpl w:val="12B860C4"/>
    <w:lvl w:ilvl="0" w:tplc="A7B2D7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DAE2F64"/>
    <w:multiLevelType w:val="singleLevel"/>
    <w:tmpl w:val="0C0A0017"/>
    <w:lvl w:ilvl="0">
      <w:start w:val="1"/>
      <w:numFmt w:val="lowerLetter"/>
      <w:lvlText w:val="%1)"/>
      <w:lvlJc w:val="left"/>
      <w:pPr>
        <w:tabs>
          <w:tab w:val="num" w:pos="360"/>
        </w:tabs>
        <w:ind w:left="360" w:hanging="360"/>
      </w:pPr>
      <w:rPr>
        <w:rFonts w:hint="default"/>
        <w:i w:val="0"/>
      </w:rPr>
    </w:lvl>
  </w:abstractNum>
  <w:abstractNum w:abstractNumId="6" w15:restartNumberingAfterBreak="0">
    <w:nsid w:val="2EDA23C0"/>
    <w:multiLevelType w:val="multilevel"/>
    <w:tmpl w:val="7D78DAC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F24DE0"/>
    <w:multiLevelType w:val="singleLevel"/>
    <w:tmpl w:val="A1FA6A06"/>
    <w:lvl w:ilvl="0">
      <w:numFmt w:val="bullet"/>
      <w:lvlText w:val="-"/>
      <w:lvlJc w:val="left"/>
      <w:pPr>
        <w:tabs>
          <w:tab w:val="num" w:pos="360"/>
        </w:tabs>
        <w:ind w:left="360" w:hanging="360"/>
      </w:pPr>
      <w:rPr>
        <w:rFonts w:hint="default"/>
      </w:rPr>
    </w:lvl>
  </w:abstractNum>
  <w:abstractNum w:abstractNumId="8" w15:restartNumberingAfterBreak="0">
    <w:nsid w:val="447B63F0"/>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8221109"/>
    <w:multiLevelType w:val="singleLevel"/>
    <w:tmpl w:val="637C1540"/>
    <w:lvl w:ilvl="0">
      <w:numFmt w:val="bullet"/>
      <w:lvlText w:val="-"/>
      <w:lvlJc w:val="left"/>
      <w:pPr>
        <w:tabs>
          <w:tab w:val="num" w:pos="360"/>
        </w:tabs>
        <w:ind w:left="360" w:hanging="360"/>
      </w:pPr>
      <w:rPr>
        <w:rFonts w:hint="default"/>
      </w:rPr>
    </w:lvl>
  </w:abstractNum>
  <w:abstractNum w:abstractNumId="10" w15:restartNumberingAfterBreak="0">
    <w:nsid w:val="4B750CCB"/>
    <w:multiLevelType w:val="singleLevel"/>
    <w:tmpl w:val="0C0A000F"/>
    <w:lvl w:ilvl="0">
      <w:start w:val="1"/>
      <w:numFmt w:val="decimal"/>
      <w:lvlText w:val="%1."/>
      <w:lvlJc w:val="left"/>
      <w:pPr>
        <w:tabs>
          <w:tab w:val="num" w:pos="360"/>
        </w:tabs>
        <w:ind w:left="360" w:hanging="360"/>
      </w:pPr>
      <w:rPr>
        <w:rFonts w:hint="default"/>
      </w:rPr>
    </w:lvl>
  </w:abstractNum>
  <w:abstractNum w:abstractNumId="11" w15:restartNumberingAfterBreak="0">
    <w:nsid w:val="4D6D07E8"/>
    <w:multiLevelType w:val="singleLevel"/>
    <w:tmpl w:val="0C0A0017"/>
    <w:lvl w:ilvl="0">
      <w:start w:val="1"/>
      <w:numFmt w:val="lowerLetter"/>
      <w:lvlText w:val="%1)"/>
      <w:lvlJc w:val="left"/>
      <w:pPr>
        <w:tabs>
          <w:tab w:val="num" w:pos="360"/>
        </w:tabs>
        <w:ind w:left="360" w:hanging="360"/>
      </w:pPr>
      <w:rPr>
        <w:rFonts w:hint="default"/>
      </w:rPr>
    </w:lvl>
  </w:abstractNum>
  <w:abstractNum w:abstractNumId="12" w15:restartNumberingAfterBreak="0">
    <w:nsid w:val="5F643C8B"/>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3C253CE"/>
    <w:multiLevelType w:val="singleLevel"/>
    <w:tmpl w:val="0C0A000F"/>
    <w:lvl w:ilvl="0">
      <w:start w:val="1"/>
      <w:numFmt w:val="decimal"/>
      <w:lvlText w:val="%1."/>
      <w:lvlJc w:val="left"/>
      <w:pPr>
        <w:tabs>
          <w:tab w:val="num" w:pos="360"/>
        </w:tabs>
        <w:ind w:left="360" w:hanging="360"/>
      </w:pPr>
      <w:rPr>
        <w:rFonts w:hint="default"/>
      </w:rPr>
    </w:lvl>
  </w:abstractNum>
  <w:abstractNum w:abstractNumId="14" w15:restartNumberingAfterBreak="0">
    <w:nsid w:val="69663DF0"/>
    <w:multiLevelType w:val="hybridMultilevel"/>
    <w:tmpl w:val="E1A66280"/>
    <w:lvl w:ilvl="0" w:tplc="A7B2D74C">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15:restartNumberingAfterBreak="0">
    <w:nsid w:val="6CF95CDF"/>
    <w:multiLevelType w:val="singleLevel"/>
    <w:tmpl w:val="0C0A0017"/>
    <w:lvl w:ilvl="0">
      <w:start w:val="1"/>
      <w:numFmt w:val="lowerLetter"/>
      <w:lvlText w:val="%1)"/>
      <w:lvlJc w:val="left"/>
      <w:pPr>
        <w:tabs>
          <w:tab w:val="num" w:pos="360"/>
        </w:tabs>
        <w:ind w:left="360" w:hanging="360"/>
      </w:pPr>
      <w:rPr>
        <w:rFonts w:hint="default"/>
      </w:rPr>
    </w:lvl>
  </w:abstractNum>
  <w:abstractNum w:abstractNumId="16" w15:restartNumberingAfterBreak="0">
    <w:nsid w:val="6D85505A"/>
    <w:multiLevelType w:val="singleLevel"/>
    <w:tmpl w:val="0C0A0017"/>
    <w:lvl w:ilvl="0">
      <w:start w:val="1"/>
      <w:numFmt w:val="lowerLetter"/>
      <w:lvlText w:val="%1)"/>
      <w:lvlJc w:val="left"/>
      <w:pPr>
        <w:tabs>
          <w:tab w:val="num" w:pos="360"/>
        </w:tabs>
        <w:ind w:left="360" w:hanging="360"/>
      </w:pPr>
      <w:rPr>
        <w:rFonts w:hint="default"/>
      </w:rPr>
    </w:lvl>
  </w:abstractNum>
  <w:abstractNum w:abstractNumId="17" w15:restartNumberingAfterBreak="0">
    <w:nsid w:val="714B26C4"/>
    <w:multiLevelType w:val="singleLevel"/>
    <w:tmpl w:val="0C0A000F"/>
    <w:lvl w:ilvl="0">
      <w:start w:val="1"/>
      <w:numFmt w:val="decimal"/>
      <w:lvlText w:val="%1."/>
      <w:lvlJc w:val="left"/>
      <w:pPr>
        <w:tabs>
          <w:tab w:val="num" w:pos="360"/>
        </w:tabs>
        <w:ind w:left="360" w:hanging="360"/>
      </w:pPr>
    </w:lvl>
  </w:abstractNum>
  <w:abstractNum w:abstractNumId="18" w15:restartNumberingAfterBreak="0">
    <w:nsid w:val="736D603E"/>
    <w:multiLevelType w:val="singleLevel"/>
    <w:tmpl w:val="FB9053E6"/>
    <w:lvl w:ilvl="0">
      <w:numFmt w:val="bullet"/>
      <w:lvlText w:val=""/>
      <w:lvlJc w:val="left"/>
      <w:pPr>
        <w:tabs>
          <w:tab w:val="num" w:pos="360"/>
        </w:tabs>
        <w:ind w:left="360" w:hanging="360"/>
      </w:pPr>
      <w:rPr>
        <w:rFonts w:ascii="Wingdings" w:hAnsi="Wingdings" w:hint="default"/>
      </w:rPr>
    </w:lvl>
  </w:abstractNum>
  <w:abstractNum w:abstractNumId="19" w15:restartNumberingAfterBreak="0">
    <w:nsid w:val="74D903FC"/>
    <w:multiLevelType w:val="hybridMultilevel"/>
    <w:tmpl w:val="44C234A0"/>
    <w:lvl w:ilvl="0" w:tplc="71C87364">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465468412">
    <w:abstractNumId w:val="15"/>
  </w:num>
  <w:num w:numId="2" w16cid:durableId="1269922091">
    <w:abstractNumId w:val="13"/>
  </w:num>
  <w:num w:numId="3" w16cid:durableId="800466374">
    <w:abstractNumId w:val="10"/>
  </w:num>
  <w:num w:numId="4" w16cid:durableId="1213228305">
    <w:abstractNumId w:val="2"/>
  </w:num>
  <w:num w:numId="5" w16cid:durableId="419528198">
    <w:abstractNumId w:val="5"/>
  </w:num>
  <w:num w:numId="6" w16cid:durableId="29261810">
    <w:abstractNumId w:val="18"/>
  </w:num>
  <w:num w:numId="7" w16cid:durableId="1246303163">
    <w:abstractNumId w:val="11"/>
  </w:num>
  <w:num w:numId="8" w16cid:durableId="799231565">
    <w:abstractNumId w:val="6"/>
  </w:num>
  <w:num w:numId="9" w16cid:durableId="632909319">
    <w:abstractNumId w:val="16"/>
  </w:num>
  <w:num w:numId="10" w16cid:durableId="1171408014">
    <w:abstractNumId w:val="9"/>
  </w:num>
  <w:num w:numId="11" w16cid:durableId="855119770">
    <w:abstractNumId w:val="0"/>
  </w:num>
  <w:num w:numId="12" w16cid:durableId="665520250">
    <w:abstractNumId w:val="7"/>
  </w:num>
  <w:num w:numId="13" w16cid:durableId="1769035803">
    <w:abstractNumId w:val="8"/>
  </w:num>
  <w:num w:numId="14" w16cid:durableId="1277756491">
    <w:abstractNumId w:val="3"/>
  </w:num>
  <w:num w:numId="15" w16cid:durableId="1476219162">
    <w:abstractNumId w:val="17"/>
  </w:num>
  <w:num w:numId="16" w16cid:durableId="412238740">
    <w:abstractNumId w:val="12"/>
  </w:num>
  <w:num w:numId="17" w16cid:durableId="1010377271">
    <w:abstractNumId w:val="1"/>
  </w:num>
  <w:num w:numId="18" w16cid:durableId="1576740353">
    <w:abstractNumId w:val="4"/>
  </w:num>
  <w:num w:numId="19" w16cid:durableId="590047065">
    <w:abstractNumId w:val="14"/>
  </w:num>
  <w:num w:numId="20" w16cid:durableId="2225678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26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6D09"/>
    <w:rsid w:val="00001586"/>
    <w:rsid w:val="00003588"/>
    <w:rsid w:val="00020C36"/>
    <w:rsid w:val="00020EDC"/>
    <w:rsid w:val="00026D62"/>
    <w:rsid w:val="00055EE7"/>
    <w:rsid w:val="0006707A"/>
    <w:rsid w:val="00071E04"/>
    <w:rsid w:val="00072803"/>
    <w:rsid w:val="00074605"/>
    <w:rsid w:val="00075441"/>
    <w:rsid w:val="0008105F"/>
    <w:rsid w:val="000878CC"/>
    <w:rsid w:val="00097103"/>
    <w:rsid w:val="000A14FE"/>
    <w:rsid w:val="000A20E7"/>
    <w:rsid w:val="000C0C60"/>
    <w:rsid w:val="00102A21"/>
    <w:rsid w:val="00111AB3"/>
    <w:rsid w:val="00112014"/>
    <w:rsid w:val="00131AB7"/>
    <w:rsid w:val="0015091C"/>
    <w:rsid w:val="00173641"/>
    <w:rsid w:val="00174A62"/>
    <w:rsid w:val="001803B3"/>
    <w:rsid w:val="00186D2A"/>
    <w:rsid w:val="00187C98"/>
    <w:rsid w:val="00191E7D"/>
    <w:rsid w:val="001A4C07"/>
    <w:rsid w:val="001B61D0"/>
    <w:rsid w:val="001C5FC1"/>
    <w:rsid w:val="001D438E"/>
    <w:rsid w:val="001D7331"/>
    <w:rsid w:val="001F38BF"/>
    <w:rsid w:val="001F7487"/>
    <w:rsid w:val="00200F29"/>
    <w:rsid w:val="00200F2B"/>
    <w:rsid w:val="00236D09"/>
    <w:rsid w:val="002401EA"/>
    <w:rsid w:val="00254EC7"/>
    <w:rsid w:val="00257FA4"/>
    <w:rsid w:val="002626FC"/>
    <w:rsid w:val="002631C7"/>
    <w:rsid w:val="00263EE5"/>
    <w:rsid w:val="00267099"/>
    <w:rsid w:val="0027091C"/>
    <w:rsid w:val="002A7B84"/>
    <w:rsid w:val="002B14B7"/>
    <w:rsid w:val="002B40B8"/>
    <w:rsid w:val="002C2032"/>
    <w:rsid w:val="002C6C8E"/>
    <w:rsid w:val="002D68DC"/>
    <w:rsid w:val="002D73DA"/>
    <w:rsid w:val="002E15C2"/>
    <w:rsid w:val="002E51B1"/>
    <w:rsid w:val="00304F0C"/>
    <w:rsid w:val="00307D78"/>
    <w:rsid w:val="00320AD1"/>
    <w:rsid w:val="0033708E"/>
    <w:rsid w:val="003428E7"/>
    <w:rsid w:val="00345B6D"/>
    <w:rsid w:val="0035045B"/>
    <w:rsid w:val="00364A23"/>
    <w:rsid w:val="00382DB0"/>
    <w:rsid w:val="0039589F"/>
    <w:rsid w:val="003A14AE"/>
    <w:rsid w:val="003A3B91"/>
    <w:rsid w:val="003A414D"/>
    <w:rsid w:val="003C1D7C"/>
    <w:rsid w:val="003C5A9A"/>
    <w:rsid w:val="003C7FE1"/>
    <w:rsid w:val="003D1DCB"/>
    <w:rsid w:val="003D4929"/>
    <w:rsid w:val="003D685C"/>
    <w:rsid w:val="003E3E80"/>
    <w:rsid w:val="003F1EA3"/>
    <w:rsid w:val="004033D4"/>
    <w:rsid w:val="00411334"/>
    <w:rsid w:val="00412DE7"/>
    <w:rsid w:val="0043064C"/>
    <w:rsid w:val="00435D81"/>
    <w:rsid w:val="004413D5"/>
    <w:rsid w:val="00443B26"/>
    <w:rsid w:val="00444F2C"/>
    <w:rsid w:val="00447978"/>
    <w:rsid w:val="00451CCD"/>
    <w:rsid w:val="00460EC2"/>
    <w:rsid w:val="00472D83"/>
    <w:rsid w:val="00472E81"/>
    <w:rsid w:val="00495221"/>
    <w:rsid w:val="004A0A25"/>
    <w:rsid w:val="004C11A1"/>
    <w:rsid w:val="004C30C3"/>
    <w:rsid w:val="004D3822"/>
    <w:rsid w:val="004D5137"/>
    <w:rsid w:val="004E4F9B"/>
    <w:rsid w:val="004E6CA5"/>
    <w:rsid w:val="004F047F"/>
    <w:rsid w:val="004F7F6A"/>
    <w:rsid w:val="00503A0A"/>
    <w:rsid w:val="00517EFE"/>
    <w:rsid w:val="005238CE"/>
    <w:rsid w:val="00534346"/>
    <w:rsid w:val="0053771E"/>
    <w:rsid w:val="00537D60"/>
    <w:rsid w:val="0054081E"/>
    <w:rsid w:val="005528CE"/>
    <w:rsid w:val="0055727C"/>
    <w:rsid w:val="005661F7"/>
    <w:rsid w:val="00567B1C"/>
    <w:rsid w:val="005754C1"/>
    <w:rsid w:val="0059329A"/>
    <w:rsid w:val="00595C68"/>
    <w:rsid w:val="00596174"/>
    <w:rsid w:val="0059762E"/>
    <w:rsid w:val="005A4D83"/>
    <w:rsid w:val="005B4672"/>
    <w:rsid w:val="005C3CAE"/>
    <w:rsid w:val="005C5DFE"/>
    <w:rsid w:val="005D424C"/>
    <w:rsid w:val="005E26A6"/>
    <w:rsid w:val="005E3FC7"/>
    <w:rsid w:val="005F76E8"/>
    <w:rsid w:val="00602E6F"/>
    <w:rsid w:val="00625AED"/>
    <w:rsid w:val="00645866"/>
    <w:rsid w:val="0068308A"/>
    <w:rsid w:val="006A3676"/>
    <w:rsid w:val="006A37FB"/>
    <w:rsid w:val="006C1519"/>
    <w:rsid w:val="006D4C8A"/>
    <w:rsid w:val="006D6078"/>
    <w:rsid w:val="006F0796"/>
    <w:rsid w:val="006F435E"/>
    <w:rsid w:val="00700397"/>
    <w:rsid w:val="00721E13"/>
    <w:rsid w:val="0072213C"/>
    <w:rsid w:val="0072601F"/>
    <w:rsid w:val="007328F9"/>
    <w:rsid w:val="00745A90"/>
    <w:rsid w:val="00750DA7"/>
    <w:rsid w:val="00760A74"/>
    <w:rsid w:val="00791A7D"/>
    <w:rsid w:val="007A530C"/>
    <w:rsid w:val="007B7E9D"/>
    <w:rsid w:val="00801BC8"/>
    <w:rsid w:val="0080451A"/>
    <w:rsid w:val="00810B98"/>
    <w:rsid w:val="008129D3"/>
    <w:rsid w:val="008156C0"/>
    <w:rsid w:val="00815F5B"/>
    <w:rsid w:val="00822F42"/>
    <w:rsid w:val="008307C2"/>
    <w:rsid w:val="008314A3"/>
    <w:rsid w:val="008422EA"/>
    <w:rsid w:val="008522DD"/>
    <w:rsid w:val="0089229B"/>
    <w:rsid w:val="008940C7"/>
    <w:rsid w:val="008A4E16"/>
    <w:rsid w:val="008C049B"/>
    <w:rsid w:val="008C4EC2"/>
    <w:rsid w:val="008D6A2D"/>
    <w:rsid w:val="008E66A1"/>
    <w:rsid w:val="008F0ADC"/>
    <w:rsid w:val="009027EB"/>
    <w:rsid w:val="0092572C"/>
    <w:rsid w:val="0093665C"/>
    <w:rsid w:val="00960F06"/>
    <w:rsid w:val="00972084"/>
    <w:rsid w:val="00972ADD"/>
    <w:rsid w:val="00972BB3"/>
    <w:rsid w:val="0097309B"/>
    <w:rsid w:val="009732E6"/>
    <w:rsid w:val="00980120"/>
    <w:rsid w:val="009841D2"/>
    <w:rsid w:val="009868B3"/>
    <w:rsid w:val="00997F66"/>
    <w:rsid w:val="009B70FF"/>
    <w:rsid w:val="009C7699"/>
    <w:rsid w:val="009D00F2"/>
    <w:rsid w:val="009D1B5C"/>
    <w:rsid w:val="009D65EE"/>
    <w:rsid w:val="009F05F1"/>
    <w:rsid w:val="00A037D5"/>
    <w:rsid w:val="00A060CB"/>
    <w:rsid w:val="00A23EAA"/>
    <w:rsid w:val="00A33E6D"/>
    <w:rsid w:val="00A45C9F"/>
    <w:rsid w:val="00A60E57"/>
    <w:rsid w:val="00A64238"/>
    <w:rsid w:val="00A64606"/>
    <w:rsid w:val="00A6544D"/>
    <w:rsid w:val="00A66CA6"/>
    <w:rsid w:val="00A73743"/>
    <w:rsid w:val="00A7642F"/>
    <w:rsid w:val="00A840B7"/>
    <w:rsid w:val="00A84BE7"/>
    <w:rsid w:val="00A8518F"/>
    <w:rsid w:val="00A860F0"/>
    <w:rsid w:val="00A86F1E"/>
    <w:rsid w:val="00A95300"/>
    <w:rsid w:val="00A97D0E"/>
    <w:rsid w:val="00AB50E2"/>
    <w:rsid w:val="00AC5DB0"/>
    <w:rsid w:val="00AE47C6"/>
    <w:rsid w:val="00B000A7"/>
    <w:rsid w:val="00B14609"/>
    <w:rsid w:val="00B176A7"/>
    <w:rsid w:val="00B21DBC"/>
    <w:rsid w:val="00B26B46"/>
    <w:rsid w:val="00B44700"/>
    <w:rsid w:val="00B50EBE"/>
    <w:rsid w:val="00B65C98"/>
    <w:rsid w:val="00B83425"/>
    <w:rsid w:val="00BA32E0"/>
    <w:rsid w:val="00BA3F53"/>
    <w:rsid w:val="00BA6301"/>
    <w:rsid w:val="00BB2478"/>
    <w:rsid w:val="00BB4B49"/>
    <w:rsid w:val="00BC4114"/>
    <w:rsid w:val="00C06234"/>
    <w:rsid w:val="00C07AB0"/>
    <w:rsid w:val="00C321B5"/>
    <w:rsid w:val="00C329B5"/>
    <w:rsid w:val="00C32F4C"/>
    <w:rsid w:val="00C46CDC"/>
    <w:rsid w:val="00C47721"/>
    <w:rsid w:val="00C50DCE"/>
    <w:rsid w:val="00C5286F"/>
    <w:rsid w:val="00C541A3"/>
    <w:rsid w:val="00C547D9"/>
    <w:rsid w:val="00C865B4"/>
    <w:rsid w:val="00CA1C13"/>
    <w:rsid w:val="00CB0C4C"/>
    <w:rsid w:val="00CB1A27"/>
    <w:rsid w:val="00CD0DA2"/>
    <w:rsid w:val="00CD6071"/>
    <w:rsid w:val="00CD7562"/>
    <w:rsid w:val="00CE0E76"/>
    <w:rsid w:val="00CE6A9E"/>
    <w:rsid w:val="00D07706"/>
    <w:rsid w:val="00D108D2"/>
    <w:rsid w:val="00D16A48"/>
    <w:rsid w:val="00D219EB"/>
    <w:rsid w:val="00D42D6D"/>
    <w:rsid w:val="00D653B5"/>
    <w:rsid w:val="00D818C4"/>
    <w:rsid w:val="00D82B17"/>
    <w:rsid w:val="00DA56FC"/>
    <w:rsid w:val="00DB1A65"/>
    <w:rsid w:val="00DE3961"/>
    <w:rsid w:val="00DE485B"/>
    <w:rsid w:val="00DE751B"/>
    <w:rsid w:val="00DF3675"/>
    <w:rsid w:val="00E04C3D"/>
    <w:rsid w:val="00E05E72"/>
    <w:rsid w:val="00E16D4D"/>
    <w:rsid w:val="00E214DC"/>
    <w:rsid w:val="00E338F6"/>
    <w:rsid w:val="00E53549"/>
    <w:rsid w:val="00E54088"/>
    <w:rsid w:val="00E606DC"/>
    <w:rsid w:val="00E813C9"/>
    <w:rsid w:val="00E9379A"/>
    <w:rsid w:val="00E95CFC"/>
    <w:rsid w:val="00EB323C"/>
    <w:rsid w:val="00ED39A8"/>
    <w:rsid w:val="00F03FCF"/>
    <w:rsid w:val="00F10DF3"/>
    <w:rsid w:val="00F21839"/>
    <w:rsid w:val="00F26F16"/>
    <w:rsid w:val="00F45840"/>
    <w:rsid w:val="00F5511A"/>
    <w:rsid w:val="00F57C4C"/>
    <w:rsid w:val="00F618A7"/>
    <w:rsid w:val="00F622B2"/>
    <w:rsid w:val="00F636AA"/>
    <w:rsid w:val="00F73C80"/>
    <w:rsid w:val="00F7479B"/>
    <w:rsid w:val="00F7551B"/>
    <w:rsid w:val="00F90984"/>
    <w:rsid w:val="00F95EC5"/>
    <w:rsid w:val="00F965D8"/>
    <w:rsid w:val="00FA4E90"/>
    <w:rsid w:val="00FB7A57"/>
    <w:rsid w:val="00FD59B4"/>
    <w:rsid w:val="00FE0337"/>
    <w:rsid w:val="00FE432D"/>
    <w:rsid w:val="00FE5EB2"/>
    <w:rsid w:val="00FE6F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7"/>
    <o:shapelayout v:ext="edit">
      <o:idmap v:ext="edit" data="1"/>
    </o:shapelayout>
  </w:shapeDefaults>
  <w:decimalSymbol w:val=","/>
  <w:listSeparator w:val=";"/>
  <w14:docId w14:val="7E659710"/>
  <w15:chartTrackingRefBased/>
  <w15:docId w15:val="{03F0D8BC-6765-4109-82AB-08B28BF3B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outlineLvl w:val="0"/>
    </w:pPr>
    <w:rPr>
      <w:rFonts w:ascii="Arial" w:hAnsi="Arial"/>
      <w:b/>
      <w:sz w:val="24"/>
      <w:u w:val="single"/>
      <w:lang w:val="es-ES_tradnl"/>
    </w:rPr>
  </w:style>
  <w:style w:type="paragraph" w:styleId="Ttulo2">
    <w:name w:val="heading 2"/>
    <w:basedOn w:val="Normal"/>
    <w:next w:val="Normal"/>
    <w:qFormat/>
    <w:pPr>
      <w:keepNext/>
      <w:spacing w:before="80"/>
      <w:jc w:val="both"/>
      <w:outlineLvl w:val="1"/>
    </w:pPr>
    <w:rPr>
      <w:rFonts w:ascii="Arial" w:hAnsi="Arial"/>
      <w:b/>
      <w:sz w:val="22"/>
      <w:lang w:val="es-ES_tradnl"/>
    </w:rPr>
  </w:style>
  <w:style w:type="paragraph" w:styleId="Ttulo3">
    <w:name w:val="heading 3"/>
    <w:basedOn w:val="Normal"/>
    <w:next w:val="Normal"/>
    <w:qFormat/>
    <w:pPr>
      <w:keepNext/>
      <w:jc w:val="both"/>
      <w:outlineLvl w:val="2"/>
    </w:pPr>
    <w:rPr>
      <w:b/>
      <w:sz w:val="24"/>
    </w:rPr>
  </w:style>
  <w:style w:type="paragraph" w:styleId="Ttulo4">
    <w:name w:val="heading 4"/>
    <w:basedOn w:val="Normal"/>
    <w:next w:val="Normal"/>
    <w:qFormat/>
    <w:pPr>
      <w:keepNex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paragraph" w:styleId="Textoindependiente">
    <w:name w:val="Body Text"/>
    <w:basedOn w:val="Normal"/>
    <w:link w:val="TextoindependienteCar"/>
    <w:semiHidden/>
    <w:pPr>
      <w:tabs>
        <w:tab w:val="left" w:pos="851"/>
      </w:tabs>
      <w:spacing w:after="120"/>
      <w:jc w:val="both"/>
    </w:pPr>
    <w:rPr>
      <w:rFonts w:ascii="Arial" w:hAnsi="Arial"/>
      <w:sz w:val="26"/>
      <w:lang w:val="es-ES_tradnl"/>
    </w:rPr>
  </w:style>
  <w:style w:type="paragraph" w:customStyle="1" w:styleId="Prrafodelista1">
    <w:name w:val="Párrafo de lista1"/>
    <w:basedOn w:val="Normal"/>
    <w:pPr>
      <w:ind w:left="720"/>
      <w:jc w:val="both"/>
    </w:pPr>
    <w:rPr>
      <w:rFonts w:ascii="Arial" w:hAnsi="Arial"/>
      <w:sz w:val="22"/>
      <w:lang w:val="es-ES_tradnl"/>
    </w:rPr>
  </w:style>
  <w:style w:type="paragraph" w:styleId="Textoindependiente3">
    <w:name w:val="Body Text 3"/>
    <w:basedOn w:val="Normal"/>
    <w:semiHidden/>
    <w:pPr>
      <w:spacing w:before="80"/>
      <w:jc w:val="both"/>
    </w:pPr>
    <w:rPr>
      <w:rFonts w:ascii="Arial" w:hAnsi="Arial"/>
      <w:sz w:val="24"/>
      <w:lang w:val="es-ES_tradnl"/>
    </w:rPr>
  </w:style>
  <w:style w:type="paragraph" w:styleId="Encabezado">
    <w:name w:val="header"/>
    <w:basedOn w:val="Normal"/>
    <w:semiHidden/>
    <w:pPr>
      <w:tabs>
        <w:tab w:val="center" w:pos="4819"/>
        <w:tab w:val="right" w:pos="9071"/>
      </w:tabs>
    </w:pPr>
    <w:rPr>
      <w:rFonts w:ascii="Arial" w:hAnsi="Arial"/>
      <w:sz w:val="26"/>
      <w:lang w:val="es-ES_tradnl"/>
    </w:rPr>
  </w:style>
  <w:style w:type="paragraph" w:styleId="Textoindependiente2">
    <w:name w:val="Body Text 2"/>
    <w:basedOn w:val="Normal"/>
    <w:semiHidden/>
    <w:pPr>
      <w:jc w:val="both"/>
    </w:pPr>
    <w:rPr>
      <w:i/>
      <w:sz w:val="24"/>
    </w:rPr>
  </w:style>
  <w:style w:type="paragraph" w:styleId="Textodeglobo">
    <w:name w:val="Balloon Text"/>
    <w:basedOn w:val="Normal"/>
    <w:semiHidden/>
    <w:unhideWhenUsed/>
    <w:rPr>
      <w:rFonts w:ascii="Lucida Grande" w:hAnsi="Lucida Grande" w:cs="Wingdings"/>
      <w:sz w:val="18"/>
      <w:szCs w:val="18"/>
    </w:rPr>
  </w:style>
  <w:style w:type="character" w:customStyle="1" w:styleId="TextodegloboCar">
    <w:name w:val="Texto de globo Car"/>
    <w:semiHidden/>
    <w:rPr>
      <w:rFonts w:ascii="Lucida Grande" w:hAnsi="Lucida Grande" w:cs="Wingdings"/>
      <w:noProof w:val="0"/>
      <w:sz w:val="18"/>
      <w:szCs w:val="18"/>
      <w:lang w:val="es-ES"/>
    </w:rPr>
  </w:style>
  <w:style w:type="paragraph" w:customStyle="1" w:styleId="Default">
    <w:name w:val="Default"/>
    <w:rPr>
      <w:rFonts w:ascii="Arial" w:hAnsi="Arial"/>
      <w:snapToGrid w:val="0"/>
      <w:color w:val="000000"/>
      <w:sz w:val="24"/>
    </w:rPr>
  </w:style>
  <w:style w:type="paragraph" w:styleId="Sangradetextonormal">
    <w:name w:val="Body Text Indent"/>
    <w:basedOn w:val="Normal"/>
    <w:semiHidden/>
    <w:pPr>
      <w:spacing w:after="240"/>
      <w:ind w:left="708"/>
      <w:jc w:val="both"/>
    </w:pPr>
    <w:rPr>
      <w:sz w:val="22"/>
    </w:rPr>
  </w:style>
  <w:style w:type="character" w:styleId="Hipervnculo">
    <w:name w:val="Hyperlink"/>
    <w:semiHidden/>
    <w:rPr>
      <w:color w:val="0000FF"/>
      <w:u w:val="single"/>
    </w:rPr>
  </w:style>
  <w:style w:type="character" w:customStyle="1" w:styleId="TextoindependienteCar">
    <w:name w:val="Texto independiente Car"/>
    <w:link w:val="Textoindependiente"/>
    <w:semiHidden/>
    <w:rsid w:val="005528CE"/>
    <w:rPr>
      <w:rFonts w:ascii="Arial" w:hAnsi="Arial"/>
      <w:sz w:val="2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845882">
      <w:bodyDiv w:val="1"/>
      <w:marLeft w:val="0"/>
      <w:marRight w:val="0"/>
      <w:marTop w:val="0"/>
      <w:marBottom w:val="0"/>
      <w:divBdr>
        <w:top w:val="none" w:sz="0" w:space="0" w:color="auto"/>
        <w:left w:val="none" w:sz="0" w:space="0" w:color="auto"/>
        <w:bottom w:val="none" w:sz="0" w:space="0" w:color="auto"/>
        <w:right w:val="none" w:sz="0" w:space="0" w:color="auto"/>
      </w:divBdr>
    </w:div>
    <w:div w:id="16256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6AC2C-AEDD-4B0B-8551-0C773F02F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1049</Words>
  <Characters>5750</Characters>
  <Application>Microsoft Office Word</Application>
  <DocSecurity>0</DocSecurity>
  <Lines>102</Lines>
  <Paragraphs>27</Paragraphs>
  <ScaleCrop>false</ScaleCrop>
  <HeadingPairs>
    <vt:vector size="2" baseType="variant">
      <vt:variant>
        <vt:lpstr>Título</vt:lpstr>
      </vt:variant>
      <vt:variant>
        <vt:i4>1</vt:i4>
      </vt:variant>
    </vt:vector>
  </HeadingPairs>
  <TitlesOfParts>
    <vt:vector size="1" baseType="lpstr">
      <vt:lpstr>Erref / Ref: Recurso Especial TRACASA</vt:lpstr>
    </vt:vector>
  </TitlesOfParts>
  <Company>DFA</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Erref / Ref: Recurso Especial TRACASA</dc:title>
  <dc:subject/>
  <dc:creator>OPITURRIAG_MJES</dc:creator>
  <cp:keywords/>
  <cp:lastModifiedBy>Achotegui Martinez de Arenaza, Fernando</cp:lastModifiedBy>
  <cp:revision>4</cp:revision>
  <cp:lastPrinted>2025-10-02T07:41:00Z</cp:lastPrinted>
  <dcterms:created xsi:type="dcterms:W3CDTF">2025-10-02T07:41:00Z</dcterms:created>
  <dcterms:modified xsi:type="dcterms:W3CDTF">2025-10-02T07:42:00Z</dcterms:modified>
</cp:coreProperties>
</file>