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0B29E" w14:textId="77777777" w:rsidR="006F0796" w:rsidRDefault="006F0796"/>
    <w:p w14:paraId="37B1312A" w14:textId="77777777" w:rsidR="006F0796" w:rsidRDefault="006F0796"/>
    <w:tbl>
      <w:tblPr>
        <w:tblW w:w="9072" w:type="dxa"/>
        <w:tblLayout w:type="fixed"/>
        <w:tblCellMar>
          <w:left w:w="0" w:type="dxa"/>
          <w:right w:w="0" w:type="dxa"/>
        </w:tblCellMar>
        <w:tblLook w:val="0000" w:firstRow="0" w:lastRow="0" w:firstColumn="0" w:lastColumn="0" w:noHBand="0" w:noVBand="0"/>
      </w:tblPr>
      <w:tblGrid>
        <w:gridCol w:w="4375"/>
        <w:gridCol w:w="20"/>
        <w:gridCol w:w="4677"/>
      </w:tblGrid>
      <w:tr w:rsidR="00020C36" w14:paraId="389F1392" w14:textId="77777777" w:rsidTr="006F0796">
        <w:trPr>
          <w:trHeight w:val="2093"/>
        </w:trPr>
        <w:tc>
          <w:tcPr>
            <w:tcW w:w="4375" w:type="dxa"/>
          </w:tcPr>
          <w:p w14:paraId="23B7E2F7" w14:textId="77777777" w:rsidR="00F965D8" w:rsidRPr="00A060CB" w:rsidRDefault="00F965D8" w:rsidP="00F965D8">
            <w:pPr>
              <w:pStyle w:val="Ttulo1"/>
              <w:spacing w:after="240"/>
              <w:jc w:val="both"/>
              <w:rPr>
                <w:rFonts w:ascii="Times New Roman" w:hAnsi="Times New Roman"/>
                <w:b w:val="0"/>
                <w:bCs/>
                <w:sz w:val="22"/>
                <w:u w:val="none"/>
              </w:rPr>
            </w:pPr>
            <w:proofErr w:type="spellStart"/>
            <w:r w:rsidRPr="00F965D8">
              <w:rPr>
                <w:rFonts w:ascii="Times New Roman" w:hAnsi="Times New Roman"/>
                <w:sz w:val="22"/>
                <w:u w:val="none"/>
              </w:rPr>
              <w:t>Erref</w:t>
            </w:r>
            <w:proofErr w:type="spellEnd"/>
            <w:r w:rsidRPr="00F965D8">
              <w:rPr>
                <w:rFonts w:ascii="Times New Roman" w:hAnsi="Times New Roman"/>
                <w:sz w:val="22"/>
                <w:u w:val="none"/>
              </w:rPr>
              <w:t>/</w:t>
            </w:r>
            <w:proofErr w:type="spellStart"/>
            <w:r w:rsidRPr="00F965D8">
              <w:rPr>
                <w:rFonts w:ascii="Times New Roman" w:hAnsi="Times New Roman"/>
                <w:sz w:val="22"/>
                <w:u w:val="none"/>
              </w:rPr>
              <w:t>Ref</w:t>
            </w:r>
            <w:proofErr w:type="spellEnd"/>
            <w:r w:rsidRPr="00F965D8">
              <w:rPr>
                <w:rFonts w:ascii="Times New Roman" w:hAnsi="Times New Roman"/>
                <w:sz w:val="22"/>
                <w:u w:val="none"/>
              </w:rPr>
              <w:t xml:space="preserve">: </w:t>
            </w:r>
            <w:r w:rsidR="005754C1" w:rsidRPr="005754C1">
              <w:rPr>
                <w:rFonts w:ascii="Times New Roman" w:hAnsi="Times New Roman"/>
                <w:b w:val="0"/>
                <w:bCs/>
                <w:sz w:val="22"/>
                <w:u w:val="none"/>
              </w:rPr>
              <w:t>Recursos Especiales de CYBERTIX SIMULATION TECHNOLOGIES, S.L. contra su exclusión y la posterior declaración de desierto del procedimiento de contratación “Formación en ciberseguridad para Diputación Foral de Álava y el Sector Público Foral” (</w:t>
            </w:r>
            <w:proofErr w:type="spellStart"/>
            <w:r w:rsidR="005754C1" w:rsidRPr="005754C1">
              <w:rPr>
                <w:rFonts w:ascii="Times New Roman" w:hAnsi="Times New Roman"/>
                <w:b w:val="0"/>
                <w:bCs/>
                <w:sz w:val="22"/>
                <w:u w:val="none"/>
              </w:rPr>
              <w:t>expte</w:t>
            </w:r>
            <w:proofErr w:type="spellEnd"/>
            <w:r w:rsidR="005754C1" w:rsidRPr="005754C1">
              <w:rPr>
                <w:rFonts w:ascii="Times New Roman" w:hAnsi="Times New Roman"/>
                <w:b w:val="0"/>
                <w:bCs/>
                <w:sz w:val="22"/>
                <w:u w:val="none"/>
              </w:rPr>
              <w:t xml:space="preserve"> 2025006)</w:t>
            </w:r>
            <w:r w:rsidRPr="00A060CB">
              <w:rPr>
                <w:rFonts w:ascii="Times New Roman" w:hAnsi="Times New Roman"/>
                <w:b w:val="0"/>
                <w:bCs/>
                <w:sz w:val="22"/>
                <w:u w:val="none"/>
              </w:rPr>
              <w:t>.</w:t>
            </w:r>
          </w:p>
          <w:p w14:paraId="608AD4E0" w14:textId="77777777" w:rsidR="00200F29" w:rsidRPr="00200F29" w:rsidRDefault="00F965D8" w:rsidP="00F965D8">
            <w:pPr>
              <w:rPr>
                <w:lang w:val="es-ES_tradnl"/>
              </w:rPr>
            </w:pPr>
            <w:proofErr w:type="spellStart"/>
            <w:r w:rsidRPr="00F965D8">
              <w:rPr>
                <w:b/>
                <w:bCs/>
                <w:sz w:val="22"/>
              </w:rPr>
              <w:t>Esp</w:t>
            </w:r>
            <w:proofErr w:type="spellEnd"/>
            <w:r w:rsidRPr="00F965D8">
              <w:rPr>
                <w:b/>
                <w:bCs/>
                <w:sz w:val="22"/>
              </w:rPr>
              <w:t xml:space="preserve"> </w:t>
            </w:r>
            <w:proofErr w:type="spellStart"/>
            <w:r w:rsidRPr="00F965D8">
              <w:rPr>
                <w:b/>
                <w:bCs/>
                <w:sz w:val="22"/>
              </w:rPr>
              <w:t>Zenb</w:t>
            </w:r>
            <w:proofErr w:type="spellEnd"/>
            <w:r w:rsidRPr="00F965D8">
              <w:rPr>
                <w:b/>
                <w:bCs/>
                <w:sz w:val="22"/>
              </w:rPr>
              <w:t>/</w:t>
            </w:r>
            <w:proofErr w:type="spellStart"/>
            <w:r w:rsidRPr="00F965D8">
              <w:rPr>
                <w:b/>
                <w:bCs/>
                <w:sz w:val="22"/>
              </w:rPr>
              <w:t>Nº</w:t>
            </w:r>
            <w:proofErr w:type="spellEnd"/>
            <w:r w:rsidRPr="00F965D8">
              <w:rPr>
                <w:b/>
                <w:bCs/>
                <w:sz w:val="22"/>
              </w:rPr>
              <w:t xml:space="preserve"> </w:t>
            </w:r>
            <w:proofErr w:type="spellStart"/>
            <w:r w:rsidRPr="00F965D8">
              <w:rPr>
                <w:b/>
                <w:bCs/>
                <w:sz w:val="22"/>
              </w:rPr>
              <w:t>exp</w:t>
            </w:r>
            <w:proofErr w:type="spellEnd"/>
            <w:r w:rsidRPr="00F965D8">
              <w:rPr>
                <w:b/>
                <w:bCs/>
                <w:sz w:val="22"/>
              </w:rPr>
              <w:t>:</w:t>
            </w:r>
            <w:r w:rsidRPr="00F965D8">
              <w:rPr>
                <w:sz w:val="22"/>
              </w:rPr>
              <w:t xml:space="preserve"> </w:t>
            </w:r>
            <w:r w:rsidR="005754C1" w:rsidRPr="005754C1">
              <w:rPr>
                <w:sz w:val="22"/>
              </w:rPr>
              <w:t>16/25 y acumulado 17/25 - RE</w:t>
            </w:r>
          </w:p>
        </w:tc>
        <w:tc>
          <w:tcPr>
            <w:tcW w:w="20" w:type="dxa"/>
          </w:tcPr>
          <w:p w14:paraId="49158997" w14:textId="77777777" w:rsidR="00020C36" w:rsidRDefault="00020C36">
            <w:r>
              <w:t xml:space="preserve"> </w:t>
            </w:r>
          </w:p>
        </w:tc>
        <w:tc>
          <w:tcPr>
            <w:tcW w:w="4677" w:type="dxa"/>
          </w:tcPr>
          <w:p w14:paraId="5A4C3521" w14:textId="77777777" w:rsidR="00020C36" w:rsidRDefault="00020C36">
            <w:pPr>
              <w:pStyle w:val="Piedepgina"/>
              <w:tabs>
                <w:tab w:val="clear" w:pos="4252"/>
                <w:tab w:val="clear" w:pos="8504"/>
                <w:tab w:val="right" w:pos="4677"/>
              </w:tabs>
              <w:spacing w:after="240"/>
            </w:pPr>
          </w:p>
        </w:tc>
      </w:tr>
    </w:tbl>
    <w:p w14:paraId="49BEA70C" w14:textId="77777777" w:rsidR="00F965D8" w:rsidRDefault="00F965D8">
      <w:pPr>
        <w:pStyle w:val="Textoindependiente"/>
        <w:spacing w:after="480"/>
        <w:jc w:val="center"/>
        <w:rPr>
          <w:rFonts w:ascii="Times New Roman" w:hAnsi="Times New Roman"/>
          <w:b/>
          <w:sz w:val="24"/>
          <w:szCs w:val="24"/>
          <w:u w:val="single"/>
        </w:rPr>
      </w:pPr>
    </w:p>
    <w:p w14:paraId="321B5D7D" w14:textId="77777777" w:rsidR="00020C36" w:rsidRPr="000A20E7" w:rsidRDefault="00020C36">
      <w:pPr>
        <w:pStyle w:val="Textoindependiente"/>
        <w:spacing w:after="480"/>
        <w:jc w:val="center"/>
        <w:rPr>
          <w:rFonts w:ascii="Times New Roman" w:hAnsi="Times New Roman"/>
          <w:b/>
          <w:sz w:val="24"/>
          <w:szCs w:val="24"/>
          <w:u w:val="single"/>
        </w:rPr>
      </w:pPr>
      <w:r w:rsidRPr="000A20E7">
        <w:rPr>
          <w:rFonts w:ascii="Times New Roman" w:hAnsi="Times New Roman"/>
          <w:b/>
          <w:sz w:val="24"/>
          <w:szCs w:val="24"/>
          <w:u w:val="single"/>
        </w:rPr>
        <w:t xml:space="preserve">RESOLUCIÓN Nº </w:t>
      </w:r>
      <w:r w:rsidR="0006707A">
        <w:rPr>
          <w:rFonts w:ascii="Times New Roman" w:hAnsi="Times New Roman"/>
          <w:b/>
          <w:sz w:val="24"/>
          <w:szCs w:val="24"/>
          <w:u w:val="single"/>
        </w:rPr>
        <w:t>24</w:t>
      </w:r>
      <w:r w:rsidR="00E95CFC" w:rsidRPr="000A20E7">
        <w:rPr>
          <w:rFonts w:ascii="Times New Roman" w:hAnsi="Times New Roman"/>
          <w:b/>
          <w:sz w:val="24"/>
          <w:szCs w:val="24"/>
          <w:u w:val="single"/>
        </w:rPr>
        <w:t>/2</w:t>
      </w:r>
      <w:r w:rsidR="00200F2B" w:rsidRPr="000A20E7">
        <w:rPr>
          <w:rFonts w:ascii="Times New Roman" w:hAnsi="Times New Roman"/>
          <w:b/>
          <w:sz w:val="24"/>
          <w:szCs w:val="24"/>
          <w:u w:val="single"/>
        </w:rPr>
        <w:t>02</w:t>
      </w:r>
      <w:r w:rsidR="0072601F" w:rsidRPr="000A20E7">
        <w:rPr>
          <w:rFonts w:ascii="Times New Roman" w:hAnsi="Times New Roman"/>
          <w:b/>
          <w:sz w:val="24"/>
          <w:szCs w:val="24"/>
          <w:u w:val="single"/>
        </w:rPr>
        <w:t>5</w:t>
      </w:r>
    </w:p>
    <w:p w14:paraId="5EDE4DFD" w14:textId="77777777" w:rsidR="00020C36" w:rsidRDefault="00020C36" w:rsidP="006F0796">
      <w:pPr>
        <w:tabs>
          <w:tab w:val="left" w:pos="3261"/>
        </w:tabs>
        <w:spacing w:after="240"/>
        <w:jc w:val="both"/>
        <w:rPr>
          <w:sz w:val="22"/>
        </w:rPr>
      </w:pPr>
      <w:r>
        <w:rPr>
          <w:sz w:val="22"/>
        </w:rPr>
        <w:t>En Vitoria-Gasteiz</w:t>
      </w:r>
      <w:r w:rsidRPr="00A8518F">
        <w:rPr>
          <w:sz w:val="22"/>
        </w:rPr>
        <w:t xml:space="preserve">, a </w:t>
      </w:r>
      <w:r w:rsidR="005754C1">
        <w:rPr>
          <w:sz w:val="22"/>
        </w:rPr>
        <w:t>30</w:t>
      </w:r>
      <w:r w:rsidR="00FE0337">
        <w:rPr>
          <w:sz w:val="22"/>
        </w:rPr>
        <w:t xml:space="preserve"> de </w:t>
      </w:r>
      <w:r w:rsidR="005754C1">
        <w:rPr>
          <w:sz w:val="22"/>
        </w:rPr>
        <w:t>julio</w:t>
      </w:r>
      <w:r w:rsidR="00FE0337">
        <w:rPr>
          <w:sz w:val="22"/>
        </w:rPr>
        <w:t xml:space="preserve"> de 2025</w:t>
      </w:r>
    </w:p>
    <w:p w14:paraId="1162CAFD" w14:textId="77777777" w:rsidR="005754C1" w:rsidRDefault="00020C36" w:rsidP="006F0796">
      <w:pPr>
        <w:tabs>
          <w:tab w:val="left" w:pos="3261"/>
        </w:tabs>
        <w:spacing w:after="240"/>
        <w:jc w:val="both"/>
        <w:rPr>
          <w:sz w:val="22"/>
        </w:rPr>
      </w:pPr>
      <w:r w:rsidRPr="00A060CB">
        <w:rPr>
          <w:sz w:val="22"/>
        </w:rPr>
        <w:t>El Órgano Administrativo Foral de Recursos Contractuales de la Diputa</w:t>
      </w:r>
      <w:r w:rsidR="00810B98" w:rsidRPr="00A060CB">
        <w:rPr>
          <w:sz w:val="22"/>
        </w:rPr>
        <w:t>ción Foral de Á</w:t>
      </w:r>
      <w:r w:rsidRPr="00A060CB">
        <w:rPr>
          <w:sz w:val="22"/>
        </w:rPr>
        <w:t>lava ha dictado la siguiente RESOLUCIÓN de</w:t>
      </w:r>
      <w:r w:rsidR="00A64238">
        <w:rPr>
          <w:sz w:val="22"/>
        </w:rPr>
        <w:t xml:space="preserve"> estimación de</w:t>
      </w:r>
      <w:r w:rsidRPr="00A060CB">
        <w:rPr>
          <w:sz w:val="22"/>
        </w:rPr>
        <w:t xml:space="preserve"> medidas provisionales en relación con </w:t>
      </w:r>
      <w:r w:rsidR="005754C1" w:rsidRPr="005754C1">
        <w:rPr>
          <w:sz w:val="22"/>
        </w:rPr>
        <w:t>en los Recursos Especiales en materia de contratación</w:t>
      </w:r>
      <w:r w:rsidR="005754C1">
        <w:rPr>
          <w:sz w:val="22"/>
        </w:rPr>
        <w:t xml:space="preserve"> 16/25 y 17/25-RE</w:t>
      </w:r>
      <w:r w:rsidR="005754C1" w:rsidRPr="005754C1">
        <w:rPr>
          <w:sz w:val="22"/>
        </w:rPr>
        <w:t xml:space="preserve"> interpuestos por CYBERTIX SIMULATION TECHNOLOGIES, S.L. contra su exclusión y posterior declaración de desierta de la licitación del contrato “Formación en ciberseguridad para Diputación Foral de Álava y el Sector Público Foral” (</w:t>
      </w:r>
      <w:proofErr w:type="spellStart"/>
      <w:r w:rsidR="005754C1" w:rsidRPr="005754C1">
        <w:rPr>
          <w:sz w:val="22"/>
        </w:rPr>
        <w:t>expte</w:t>
      </w:r>
      <w:proofErr w:type="spellEnd"/>
      <w:r w:rsidR="005754C1" w:rsidRPr="005754C1">
        <w:rPr>
          <w:sz w:val="22"/>
        </w:rPr>
        <w:t xml:space="preserve"> 2025006).</w:t>
      </w:r>
    </w:p>
    <w:p w14:paraId="16120ADA" w14:textId="77777777" w:rsidR="008E66A1" w:rsidRPr="003A3B91" w:rsidRDefault="005661F7" w:rsidP="006F0796">
      <w:pPr>
        <w:spacing w:after="240"/>
        <w:jc w:val="both"/>
        <w:rPr>
          <w:sz w:val="24"/>
          <w:szCs w:val="24"/>
        </w:rPr>
      </w:pPr>
      <w:r w:rsidRPr="00750DA7">
        <w:rPr>
          <w:sz w:val="22"/>
          <w:szCs w:val="22"/>
        </w:rPr>
        <w:t>Son partes en dicho recurso:</w:t>
      </w:r>
      <w:r w:rsidRPr="00A060CB">
        <w:rPr>
          <w:sz w:val="22"/>
          <w:szCs w:val="22"/>
        </w:rPr>
        <w:t xml:space="preserve"> como </w:t>
      </w:r>
      <w:r w:rsidR="00ED39A8" w:rsidRPr="00A060CB">
        <w:rPr>
          <w:sz w:val="22"/>
          <w:szCs w:val="22"/>
        </w:rPr>
        <w:t>recurrente,</w:t>
      </w:r>
      <w:r w:rsidR="00F965D8" w:rsidRPr="00A060CB">
        <w:rPr>
          <w:sz w:val="22"/>
          <w:szCs w:val="22"/>
        </w:rPr>
        <w:t xml:space="preserve"> </w:t>
      </w:r>
      <w:r w:rsidR="005754C1" w:rsidRPr="00495221">
        <w:rPr>
          <w:rStyle w:val="Nmerodepgina"/>
          <w:sz w:val="22"/>
          <w:szCs w:val="22"/>
          <w:lang w:val="es-ES_tradnl"/>
        </w:rPr>
        <w:t>CYBERTIX SIMULATION TECHNOLOGIES, S.L.</w:t>
      </w:r>
      <w:r w:rsidRPr="00495221">
        <w:rPr>
          <w:sz w:val="22"/>
          <w:szCs w:val="22"/>
        </w:rPr>
        <w:t>;</w:t>
      </w:r>
      <w:r w:rsidRPr="00495221">
        <w:rPr>
          <w:sz w:val="22"/>
        </w:rPr>
        <w:t xml:space="preserve"> y como </w:t>
      </w:r>
      <w:r w:rsidR="00ED39A8" w:rsidRPr="00495221">
        <w:rPr>
          <w:sz w:val="22"/>
        </w:rPr>
        <w:t>parte demandada</w:t>
      </w:r>
      <w:r w:rsidR="005754C1" w:rsidRPr="00495221">
        <w:rPr>
          <w:sz w:val="22"/>
        </w:rPr>
        <w:t xml:space="preserve"> la Sociedad Pública Foral Centro de Cálculo de Álava, en adelante CCASA</w:t>
      </w:r>
      <w:r w:rsidRPr="00495221">
        <w:rPr>
          <w:sz w:val="22"/>
        </w:rPr>
        <w:t>, siendo el órgano</w:t>
      </w:r>
      <w:r w:rsidRPr="00A060CB">
        <w:rPr>
          <w:sz w:val="22"/>
        </w:rPr>
        <w:t xml:space="preserve"> de </w:t>
      </w:r>
      <w:r w:rsidRPr="003A3B91">
        <w:rPr>
          <w:sz w:val="22"/>
        </w:rPr>
        <w:t xml:space="preserve">contratación </w:t>
      </w:r>
      <w:r w:rsidR="008E66A1" w:rsidRPr="003A3B91">
        <w:rPr>
          <w:sz w:val="22"/>
        </w:rPr>
        <w:t xml:space="preserve">el </w:t>
      </w:r>
      <w:r w:rsidRPr="003A3B91">
        <w:rPr>
          <w:sz w:val="22"/>
        </w:rPr>
        <w:t xml:space="preserve">Consejo de </w:t>
      </w:r>
      <w:r w:rsidR="008156C0" w:rsidRPr="003A3B91">
        <w:rPr>
          <w:sz w:val="22"/>
        </w:rPr>
        <w:t xml:space="preserve">Administración del </w:t>
      </w:r>
      <w:r w:rsidR="005754C1" w:rsidRPr="003A3B91">
        <w:rPr>
          <w:sz w:val="22"/>
        </w:rPr>
        <w:t>CCASA</w:t>
      </w:r>
      <w:r w:rsidR="008E66A1" w:rsidRPr="003A3B91">
        <w:rPr>
          <w:sz w:val="22"/>
        </w:rPr>
        <w:t xml:space="preserve"> (en adelante OC) y el tramitador del expediente </w:t>
      </w:r>
      <w:r w:rsidR="008156C0" w:rsidRPr="003A3B91">
        <w:rPr>
          <w:sz w:val="22"/>
        </w:rPr>
        <w:t xml:space="preserve">el </w:t>
      </w:r>
      <w:r w:rsidR="003A3B91" w:rsidRPr="003A3B91">
        <w:rPr>
          <w:sz w:val="22"/>
        </w:rPr>
        <w:t>área de Administración corporativa y RRHH</w:t>
      </w:r>
      <w:r w:rsidR="00960F06" w:rsidRPr="003A3B91">
        <w:rPr>
          <w:sz w:val="22"/>
        </w:rPr>
        <w:t xml:space="preserve"> </w:t>
      </w:r>
      <w:r w:rsidR="008156C0" w:rsidRPr="003A3B91">
        <w:rPr>
          <w:sz w:val="22"/>
        </w:rPr>
        <w:t xml:space="preserve">del </w:t>
      </w:r>
      <w:r w:rsidR="003A3B91" w:rsidRPr="003A3B91">
        <w:rPr>
          <w:sz w:val="22"/>
        </w:rPr>
        <w:t>CCASA</w:t>
      </w:r>
      <w:r w:rsidR="008E66A1" w:rsidRPr="003A3B91">
        <w:rPr>
          <w:sz w:val="22"/>
        </w:rPr>
        <w:t xml:space="preserve"> (</w:t>
      </w:r>
      <w:proofErr w:type="spellStart"/>
      <w:r w:rsidR="008E66A1" w:rsidRPr="003A3B91">
        <w:rPr>
          <w:sz w:val="22"/>
        </w:rPr>
        <w:t>expte</w:t>
      </w:r>
      <w:proofErr w:type="spellEnd"/>
      <w:r w:rsidR="008E66A1" w:rsidRPr="003A3B91">
        <w:rPr>
          <w:sz w:val="22"/>
        </w:rPr>
        <w:t xml:space="preserve"> </w:t>
      </w:r>
      <w:r w:rsidR="005754C1" w:rsidRPr="003A3B91">
        <w:rPr>
          <w:sz w:val="22"/>
        </w:rPr>
        <w:t>2025006</w:t>
      </w:r>
      <w:r w:rsidR="008E66A1" w:rsidRPr="003A3B91">
        <w:rPr>
          <w:sz w:val="22"/>
        </w:rPr>
        <w:t>)</w:t>
      </w:r>
      <w:r w:rsidR="008E66A1" w:rsidRPr="003A3B91">
        <w:rPr>
          <w:sz w:val="24"/>
          <w:szCs w:val="24"/>
        </w:rPr>
        <w:t>.</w:t>
      </w:r>
    </w:p>
    <w:p w14:paraId="4D3716D9" w14:textId="77777777" w:rsidR="00020C36" w:rsidRPr="00F57C4C" w:rsidRDefault="00822F42" w:rsidP="006F0796">
      <w:pPr>
        <w:spacing w:after="240"/>
        <w:jc w:val="both"/>
        <w:rPr>
          <w:sz w:val="22"/>
        </w:rPr>
      </w:pPr>
      <w:r w:rsidRPr="00F57C4C">
        <w:rPr>
          <w:sz w:val="22"/>
        </w:rPr>
        <w:t xml:space="preserve">Vista la medida provisional </w:t>
      </w:r>
      <w:r w:rsidR="00F618A7" w:rsidRPr="00F57C4C">
        <w:rPr>
          <w:sz w:val="22"/>
        </w:rPr>
        <w:t>solicitada</w:t>
      </w:r>
      <w:r w:rsidRPr="00F57C4C">
        <w:rPr>
          <w:sz w:val="22"/>
        </w:rPr>
        <w:t xml:space="preserve"> por </w:t>
      </w:r>
      <w:r w:rsidR="00ED39A8" w:rsidRPr="00F57C4C">
        <w:rPr>
          <w:sz w:val="22"/>
        </w:rPr>
        <w:t>el recurrente</w:t>
      </w:r>
      <w:r w:rsidR="00F618A7" w:rsidRPr="00F57C4C">
        <w:rPr>
          <w:sz w:val="22"/>
        </w:rPr>
        <w:t>, consistente</w:t>
      </w:r>
      <w:r w:rsidR="007328F9" w:rsidRPr="00F57C4C">
        <w:rPr>
          <w:sz w:val="22"/>
        </w:rPr>
        <w:t xml:space="preserve"> </w:t>
      </w:r>
      <w:r w:rsidR="00FE0337" w:rsidRPr="00F57C4C">
        <w:rPr>
          <w:sz w:val="22"/>
        </w:rPr>
        <w:t xml:space="preserve">en suspender de forma cautelar </w:t>
      </w:r>
      <w:r w:rsidR="00F57C4C" w:rsidRPr="00F57C4C">
        <w:rPr>
          <w:sz w:val="22"/>
        </w:rPr>
        <w:t xml:space="preserve">la exclusión de recurrente y la declaración de desierto del procedimiento de contratación </w:t>
      </w:r>
      <w:proofErr w:type="spellStart"/>
      <w:r w:rsidR="00F57C4C" w:rsidRPr="00F57C4C">
        <w:rPr>
          <w:sz w:val="22"/>
        </w:rPr>
        <w:t>expte</w:t>
      </w:r>
      <w:proofErr w:type="spellEnd"/>
      <w:r w:rsidR="00F57C4C" w:rsidRPr="00F57C4C">
        <w:rPr>
          <w:sz w:val="22"/>
        </w:rPr>
        <w:t>. 2025006</w:t>
      </w:r>
      <w:r w:rsidR="00FE0337" w:rsidRPr="00F57C4C">
        <w:rPr>
          <w:sz w:val="22"/>
        </w:rPr>
        <w:t>,</w:t>
      </w:r>
      <w:r w:rsidR="00A840B7" w:rsidRPr="00F57C4C">
        <w:rPr>
          <w:sz w:val="22"/>
        </w:rPr>
        <w:t xml:space="preserve"> e</w:t>
      </w:r>
      <w:r w:rsidR="00020C36" w:rsidRPr="00F57C4C">
        <w:rPr>
          <w:sz w:val="22"/>
        </w:rPr>
        <w:t>ste Órgano efectúa las siguientes consideraciones:</w:t>
      </w:r>
    </w:p>
    <w:p w14:paraId="557471E0" w14:textId="77777777" w:rsidR="006F0796" w:rsidRDefault="006F0796" w:rsidP="006F0796">
      <w:pPr>
        <w:spacing w:after="240"/>
        <w:jc w:val="center"/>
        <w:rPr>
          <w:b/>
          <w:sz w:val="22"/>
        </w:rPr>
      </w:pPr>
    </w:p>
    <w:p w14:paraId="6F417F8E" w14:textId="77777777" w:rsidR="00822F42" w:rsidRDefault="00822F42" w:rsidP="006F0796">
      <w:pPr>
        <w:spacing w:after="240"/>
        <w:jc w:val="center"/>
        <w:rPr>
          <w:b/>
          <w:sz w:val="22"/>
        </w:rPr>
      </w:pPr>
      <w:r>
        <w:rPr>
          <w:b/>
          <w:sz w:val="22"/>
        </w:rPr>
        <w:t>ANTECEDENTES DE HECHO</w:t>
      </w:r>
    </w:p>
    <w:p w14:paraId="3EC75AFB" w14:textId="77777777" w:rsidR="005754C1" w:rsidRPr="005754C1" w:rsidRDefault="005754C1" w:rsidP="005754C1">
      <w:pPr>
        <w:spacing w:after="240"/>
        <w:jc w:val="both"/>
        <w:rPr>
          <w:bCs/>
          <w:sz w:val="22"/>
        </w:rPr>
      </w:pPr>
      <w:r w:rsidRPr="005754C1">
        <w:rPr>
          <w:b/>
          <w:sz w:val="22"/>
        </w:rPr>
        <w:t xml:space="preserve">1º - </w:t>
      </w:r>
      <w:r w:rsidRPr="005754C1">
        <w:rPr>
          <w:bCs/>
          <w:sz w:val="22"/>
        </w:rPr>
        <w:t>Mediante Acuerdo del Consejo de Administración del CCASA (en adelante OC), de fecha 5 de mayo de 2025, se aprobó la contratación de la “Formación en ciberseguridad para Diputación Foral de Álava y el Sector Público Foral”, con un valor estimado de 190.000,00 € (IVA excluido), con número de expediente 2025006. El plazo de ejecución se estableció desde el 01-09-2025 (o fecha de firma del contrato en caso de ser posterior) hasta el 31-12-2027.</w:t>
      </w:r>
    </w:p>
    <w:p w14:paraId="00FA1459" w14:textId="77777777" w:rsidR="005754C1" w:rsidRPr="005754C1" w:rsidRDefault="005754C1" w:rsidP="005754C1">
      <w:pPr>
        <w:spacing w:after="240"/>
        <w:jc w:val="both"/>
        <w:rPr>
          <w:bCs/>
          <w:sz w:val="22"/>
        </w:rPr>
      </w:pPr>
      <w:r w:rsidRPr="005754C1">
        <w:rPr>
          <w:b/>
          <w:sz w:val="22"/>
        </w:rPr>
        <w:lastRenderedPageBreak/>
        <w:t xml:space="preserve">2º.- </w:t>
      </w:r>
      <w:r w:rsidRPr="005754C1">
        <w:rPr>
          <w:bCs/>
          <w:sz w:val="22"/>
        </w:rPr>
        <w:t>El expediente fue instruido por tramitación anticipada y procedimiento abierto, según lo dispuesto en la LCSP. Con posterioridad a la presentación de ofertas y a su apertura, el OC, mediante Acuerdo de 14 de julio, declaró desierta dicha licitación, al ser excluidas todas las empresas que se presentaron a la misma: CYBERTIX SIMULATION TECHNOLOGIES S.L. y S2 GRUPO SOLUCIONES DE SEGURIDAD, S.L. La razón de la exclusión estriba, en ambos casos, en no haber alcanzado la puntuación mínima requerida en la oferta técnica, según el apartado M.2) de la carátula del PCAP del procedimiento.</w:t>
      </w:r>
    </w:p>
    <w:p w14:paraId="14EB408C" w14:textId="77777777" w:rsidR="005754C1" w:rsidRPr="005754C1" w:rsidRDefault="005754C1" w:rsidP="005754C1">
      <w:pPr>
        <w:spacing w:after="240"/>
        <w:jc w:val="both"/>
        <w:rPr>
          <w:bCs/>
          <w:sz w:val="22"/>
        </w:rPr>
      </w:pPr>
      <w:r w:rsidRPr="005754C1">
        <w:rPr>
          <w:b/>
          <w:sz w:val="22"/>
        </w:rPr>
        <w:t xml:space="preserve">3º. – </w:t>
      </w:r>
      <w:r w:rsidRPr="005754C1">
        <w:rPr>
          <w:bCs/>
          <w:sz w:val="22"/>
        </w:rPr>
        <w:t>El 21 de julio de 2025 tuvo entrada en el Registro Electrónico Común de la Diputación Foral de Álava un Recurso Especial en materia de contratación ante el Órgano Administrativo Foral de Recursos Contractuales de la Diputación Foral de Álava presentado por la empresa CYBERTIX SIMULATION TECHNOLOGIES S.L. contra la exclusión de la empresa del procedimiento citado en el antecedente primero (16/25-RE).</w:t>
      </w:r>
    </w:p>
    <w:p w14:paraId="201806C4" w14:textId="77777777" w:rsidR="005754C1" w:rsidRPr="005754C1" w:rsidRDefault="005754C1" w:rsidP="005754C1">
      <w:pPr>
        <w:spacing w:after="240"/>
        <w:jc w:val="both"/>
        <w:rPr>
          <w:bCs/>
          <w:sz w:val="22"/>
        </w:rPr>
      </w:pPr>
      <w:r w:rsidRPr="005754C1">
        <w:rPr>
          <w:b/>
          <w:sz w:val="22"/>
        </w:rPr>
        <w:t xml:space="preserve">4º. – </w:t>
      </w:r>
      <w:r w:rsidRPr="005754C1">
        <w:rPr>
          <w:bCs/>
          <w:sz w:val="22"/>
        </w:rPr>
        <w:t>La recurrente, con la misma fecha y hora posterior, interpone un nuevo Recurso Especial en materia de contratación contra la declaración de desierto del procedimiento denominado “Formación en ciberseguridad para Diputación Foral de Álava y el Sector Público Foral” (</w:t>
      </w:r>
      <w:proofErr w:type="spellStart"/>
      <w:r w:rsidRPr="005754C1">
        <w:rPr>
          <w:bCs/>
          <w:sz w:val="22"/>
        </w:rPr>
        <w:t>expte</w:t>
      </w:r>
      <w:proofErr w:type="spellEnd"/>
      <w:r w:rsidRPr="005754C1">
        <w:rPr>
          <w:bCs/>
          <w:sz w:val="22"/>
        </w:rPr>
        <w:t>. 2005006), con la referencia de recurso especial de este OAFRC número 17/25-RE.</w:t>
      </w:r>
    </w:p>
    <w:p w14:paraId="54C84C41" w14:textId="77777777" w:rsidR="005754C1" w:rsidRPr="005754C1" w:rsidRDefault="005754C1" w:rsidP="005754C1">
      <w:pPr>
        <w:spacing w:after="240"/>
        <w:jc w:val="both"/>
        <w:rPr>
          <w:bCs/>
          <w:sz w:val="22"/>
        </w:rPr>
      </w:pPr>
      <w:r w:rsidRPr="005754C1">
        <w:rPr>
          <w:bCs/>
          <w:sz w:val="22"/>
        </w:rPr>
        <w:t>Los motivos esgrimidos por la recurrente en este recurso guardan una identidad total con el presentado anteriormente; la pretensión de CYBERTIX SIMULATION TECHNOLOGIES S.L.  no es otra que la anulación de su exclusión y la continuación del procedimiento.</w:t>
      </w:r>
    </w:p>
    <w:p w14:paraId="232240E7" w14:textId="77777777" w:rsidR="005754C1" w:rsidRPr="005754C1" w:rsidRDefault="005754C1" w:rsidP="005754C1">
      <w:pPr>
        <w:spacing w:after="240"/>
        <w:jc w:val="both"/>
        <w:rPr>
          <w:bCs/>
          <w:sz w:val="22"/>
        </w:rPr>
      </w:pPr>
      <w:r w:rsidRPr="005754C1">
        <w:rPr>
          <w:bCs/>
          <w:sz w:val="22"/>
        </w:rPr>
        <w:t xml:space="preserve">En ambos RE-16/25 y 17/25, se solicita la suspensión de los actos recurridos, para que no se acuerde por el OC la apertura nuevamente el procedimiento, hasta que se resuelvan ambos RE, habida cuenta los perjuicios de imposible o difícil reparación que podrían ocasionarse ante una eventual estimación de </w:t>
      </w:r>
      <w:proofErr w:type="gramStart"/>
      <w:r w:rsidRPr="005754C1">
        <w:rPr>
          <w:bCs/>
          <w:sz w:val="22"/>
        </w:rPr>
        <w:t>los mismos</w:t>
      </w:r>
      <w:proofErr w:type="gramEnd"/>
      <w:r w:rsidRPr="005754C1">
        <w:rPr>
          <w:bCs/>
          <w:sz w:val="22"/>
        </w:rPr>
        <w:t>.</w:t>
      </w:r>
    </w:p>
    <w:p w14:paraId="7420B3A2" w14:textId="77777777" w:rsidR="005754C1" w:rsidRDefault="005754C1" w:rsidP="005754C1">
      <w:pPr>
        <w:spacing w:after="240"/>
        <w:jc w:val="both"/>
        <w:rPr>
          <w:bCs/>
          <w:sz w:val="22"/>
        </w:rPr>
      </w:pPr>
      <w:r w:rsidRPr="005754C1">
        <w:rPr>
          <w:b/>
          <w:sz w:val="22"/>
        </w:rPr>
        <w:t xml:space="preserve">5º. – </w:t>
      </w:r>
      <w:r w:rsidRPr="005754C1">
        <w:rPr>
          <w:bCs/>
          <w:sz w:val="22"/>
        </w:rPr>
        <w:t>Adicionalmente, la empresa solicita que el OAFRC resuelva ambos recursos de forma conjunta, conforme a lo dispuesto en el artículo 57 de la Ley 39/2015, de 1 de octubre, del Procedimiento Administrativo Común de las Administraciones Públicas o que, en su defecto, resuelva en primer lugar el recurso interpuesto frente al Acta de exclusión (16/25-RE).</w:t>
      </w:r>
    </w:p>
    <w:p w14:paraId="25984643" w14:textId="77777777" w:rsidR="005754C1" w:rsidRDefault="005754C1" w:rsidP="005754C1">
      <w:pPr>
        <w:spacing w:after="240"/>
        <w:jc w:val="both"/>
        <w:rPr>
          <w:sz w:val="22"/>
        </w:rPr>
      </w:pPr>
      <w:r>
        <w:rPr>
          <w:b/>
          <w:sz w:val="22"/>
        </w:rPr>
        <w:t>6</w:t>
      </w:r>
      <w:r w:rsidRPr="00750DA7">
        <w:rPr>
          <w:b/>
          <w:sz w:val="22"/>
        </w:rPr>
        <w:t>º. –</w:t>
      </w:r>
      <w:r>
        <w:rPr>
          <w:sz w:val="22"/>
        </w:rPr>
        <w:t xml:space="preserve"> Mediante Resolución 23/25, de 24 de julio de 2025, del OAFRC, fueron acumulados ambos Recursos Especiales.</w:t>
      </w:r>
    </w:p>
    <w:p w14:paraId="5DCC4E48" w14:textId="77777777" w:rsidR="00D07706" w:rsidRDefault="005754C1" w:rsidP="005754C1">
      <w:pPr>
        <w:spacing w:after="240"/>
        <w:jc w:val="both"/>
        <w:rPr>
          <w:sz w:val="22"/>
        </w:rPr>
      </w:pPr>
      <w:r>
        <w:rPr>
          <w:b/>
          <w:sz w:val="22"/>
        </w:rPr>
        <w:t>7</w:t>
      </w:r>
      <w:r w:rsidR="001803B3">
        <w:rPr>
          <w:b/>
          <w:sz w:val="22"/>
        </w:rPr>
        <w:t>º. -</w:t>
      </w:r>
      <w:r w:rsidR="00AE47C6">
        <w:rPr>
          <w:sz w:val="22"/>
        </w:rPr>
        <w:t xml:space="preserve"> </w:t>
      </w:r>
      <w:r w:rsidR="008307C2">
        <w:rPr>
          <w:sz w:val="22"/>
        </w:rPr>
        <w:t>En</w:t>
      </w:r>
      <w:r w:rsidR="005238CE">
        <w:rPr>
          <w:sz w:val="22"/>
        </w:rPr>
        <w:t xml:space="preserve"> cumplimiento de lo previsto en el artículo </w:t>
      </w:r>
      <w:r w:rsidR="007328F9">
        <w:rPr>
          <w:sz w:val="22"/>
        </w:rPr>
        <w:t>56</w:t>
      </w:r>
      <w:r w:rsidR="005238CE">
        <w:rPr>
          <w:sz w:val="22"/>
        </w:rPr>
        <w:t>.2</w:t>
      </w:r>
      <w:r w:rsidR="00DA56FC">
        <w:rPr>
          <w:sz w:val="22"/>
        </w:rPr>
        <w:t xml:space="preserve"> </w:t>
      </w:r>
      <w:r w:rsidR="007328F9">
        <w:rPr>
          <w:sz w:val="22"/>
        </w:rPr>
        <w:t>de la LCSP</w:t>
      </w:r>
      <w:r w:rsidR="00DA56FC">
        <w:rPr>
          <w:sz w:val="22"/>
        </w:rPr>
        <w:t xml:space="preserve">, </w:t>
      </w:r>
      <w:r w:rsidR="005238CE">
        <w:rPr>
          <w:sz w:val="22"/>
        </w:rPr>
        <w:t xml:space="preserve">se </w:t>
      </w:r>
      <w:r w:rsidR="003C1D7C">
        <w:rPr>
          <w:sz w:val="22"/>
        </w:rPr>
        <w:t>solicitó al OC</w:t>
      </w:r>
      <w:r w:rsidR="00DA56FC">
        <w:rPr>
          <w:sz w:val="22"/>
        </w:rPr>
        <w:t xml:space="preserve"> el expedient</w:t>
      </w:r>
      <w:r w:rsidR="008F0ADC">
        <w:rPr>
          <w:sz w:val="22"/>
        </w:rPr>
        <w:t>e</w:t>
      </w:r>
      <w:r w:rsidR="00595C68">
        <w:rPr>
          <w:sz w:val="22"/>
        </w:rPr>
        <w:t xml:space="preserve"> administrativo</w:t>
      </w:r>
      <w:r w:rsidR="008F0ADC">
        <w:rPr>
          <w:sz w:val="22"/>
        </w:rPr>
        <w:t xml:space="preserve"> y </w:t>
      </w:r>
      <w:r w:rsidR="00595C68">
        <w:rPr>
          <w:sz w:val="22"/>
        </w:rPr>
        <w:t>su</w:t>
      </w:r>
      <w:r w:rsidR="008F0ADC">
        <w:rPr>
          <w:sz w:val="22"/>
        </w:rPr>
        <w:t xml:space="preserve"> informe </w:t>
      </w:r>
      <w:r w:rsidR="00595C68">
        <w:rPr>
          <w:sz w:val="22"/>
        </w:rPr>
        <w:t>sobre el RE</w:t>
      </w:r>
      <w:r>
        <w:rPr>
          <w:sz w:val="22"/>
        </w:rPr>
        <w:t xml:space="preserve">, en el que </w:t>
      </w:r>
      <w:r w:rsidR="0043064C">
        <w:rPr>
          <w:sz w:val="22"/>
        </w:rPr>
        <w:t>no se pronuncia sobre la posible suspensión de los actos recurridos</w:t>
      </w:r>
      <w:r w:rsidR="00B000A7">
        <w:rPr>
          <w:sz w:val="22"/>
        </w:rPr>
        <w:t>.</w:t>
      </w:r>
    </w:p>
    <w:p w14:paraId="15D113ED" w14:textId="77777777" w:rsidR="00495221" w:rsidRDefault="00495221" w:rsidP="005754C1">
      <w:pPr>
        <w:spacing w:after="240"/>
        <w:jc w:val="both"/>
        <w:rPr>
          <w:sz w:val="22"/>
        </w:rPr>
      </w:pPr>
    </w:p>
    <w:p w14:paraId="23F186AE" w14:textId="77777777" w:rsidR="00DA56FC" w:rsidRDefault="00DA56FC" w:rsidP="006F0796">
      <w:pPr>
        <w:spacing w:after="240"/>
        <w:jc w:val="center"/>
        <w:rPr>
          <w:b/>
          <w:sz w:val="22"/>
        </w:rPr>
      </w:pPr>
      <w:r>
        <w:rPr>
          <w:b/>
          <w:sz w:val="22"/>
        </w:rPr>
        <w:t>FUNDAMENTOS DE DERECHO</w:t>
      </w:r>
    </w:p>
    <w:p w14:paraId="3D484011" w14:textId="566FF302" w:rsidR="00186D2A" w:rsidRDefault="001803B3" w:rsidP="006F0796">
      <w:pPr>
        <w:spacing w:after="240"/>
        <w:jc w:val="both"/>
        <w:rPr>
          <w:sz w:val="22"/>
        </w:rPr>
      </w:pPr>
      <w:r>
        <w:rPr>
          <w:b/>
          <w:sz w:val="22"/>
        </w:rPr>
        <w:t>PRIMERO. -</w:t>
      </w:r>
      <w:r w:rsidR="00020C36">
        <w:rPr>
          <w:b/>
          <w:sz w:val="22"/>
        </w:rPr>
        <w:t xml:space="preserve"> </w:t>
      </w:r>
      <w:r w:rsidR="00186D2A">
        <w:rPr>
          <w:sz w:val="22"/>
        </w:rPr>
        <w:t xml:space="preserve">Tratándose de un contrato de servicios cuyo valor estimado asciende </w:t>
      </w:r>
      <w:r w:rsidR="00186D2A" w:rsidRPr="00700397">
        <w:rPr>
          <w:sz w:val="22"/>
        </w:rPr>
        <w:t xml:space="preserve">a </w:t>
      </w:r>
      <w:r w:rsidR="003A3B91">
        <w:rPr>
          <w:b/>
          <w:bCs/>
          <w:sz w:val="22"/>
        </w:rPr>
        <w:t>190.000,00</w:t>
      </w:r>
      <w:r w:rsidR="005C3CAE">
        <w:rPr>
          <w:b/>
          <w:bCs/>
          <w:sz w:val="22"/>
        </w:rPr>
        <w:t xml:space="preserve"> </w:t>
      </w:r>
      <w:r w:rsidR="00CB1A27" w:rsidRPr="00700397">
        <w:rPr>
          <w:b/>
          <w:bCs/>
          <w:sz w:val="22"/>
        </w:rPr>
        <w:t>euros</w:t>
      </w:r>
      <w:r w:rsidR="00CB1A27">
        <w:rPr>
          <w:b/>
          <w:bCs/>
          <w:sz w:val="22"/>
        </w:rPr>
        <w:t xml:space="preserve"> </w:t>
      </w:r>
      <w:r w:rsidR="00186D2A">
        <w:rPr>
          <w:sz w:val="22"/>
        </w:rPr>
        <w:t xml:space="preserve">(IVA </w:t>
      </w:r>
      <w:r w:rsidR="0089229B">
        <w:rPr>
          <w:sz w:val="22"/>
        </w:rPr>
        <w:t>excluido</w:t>
      </w:r>
      <w:r w:rsidR="00186D2A">
        <w:rPr>
          <w:sz w:val="22"/>
        </w:rPr>
        <w:t xml:space="preserve">), se cumplen los requisitos exigidos en el artículo </w:t>
      </w:r>
      <w:r w:rsidR="003C1D7C">
        <w:rPr>
          <w:sz w:val="22"/>
        </w:rPr>
        <w:t>44</w:t>
      </w:r>
      <w:r w:rsidR="00186D2A">
        <w:rPr>
          <w:sz w:val="22"/>
        </w:rPr>
        <w:t xml:space="preserve"> de la </w:t>
      </w:r>
      <w:r w:rsidR="003C1D7C">
        <w:rPr>
          <w:sz w:val="22"/>
        </w:rPr>
        <w:t>LCSP</w:t>
      </w:r>
      <w:r w:rsidR="00186D2A">
        <w:rPr>
          <w:sz w:val="22"/>
        </w:rPr>
        <w:t xml:space="preserve"> para poder considerar </w:t>
      </w:r>
      <w:r w:rsidR="009C7699">
        <w:rPr>
          <w:sz w:val="22"/>
        </w:rPr>
        <w:t>la exclusión del procedimiento como</w:t>
      </w:r>
      <w:r w:rsidR="00186D2A">
        <w:rPr>
          <w:sz w:val="22"/>
        </w:rPr>
        <w:t xml:space="preserve"> susceptible de recurso especial en materia de contratación. En concreto, </w:t>
      </w:r>
      <w:r w:rsidR="00FE432D">
        <w:rPr>
          <w:sz w:val="22"/>
        </w:rPr>
        <w:t>son</w:t>
      </w:r>
      <w:r w:rsidR="00186D2A">
        <w:rPr>
          <w:sz w:val="22"/>
        </w:rPr>
        <w:t xml:space="preserve"> susceptibles de</w:t>
      </w:r>
      <w:r w:rsidR="00FE432D">
        <w:rPr>
          <w:sz w:val="22"/>
        </w:rPr>
        <w:t xml:space="preserve"> </w:t>
      </w:r>
      <w:r w:rsidR="00186D2A">
        <w:rPr>
          <w:sz w:val="22"/>
        </w:rPr>
        <w:t>recurso especial los actos</w:t>
      </w:r>
      <w:r w:rsidR="003C1D7C">
        <w:rPr>
          <w:sz w:val="22"/>
        </w:rPr>
        <w:t xml:space="preserve"> y decisiones </w:t>
      </w:r>
      <w:r w:rsidR="00186D2A">
        <w:rPr>
          <w:sz w:val="22"/>
        </w:rPr>
        <w:t>relacionados en el apartado 2</w:t>
      </w:r>
      <w:r w:rsidR="00FE432D">
        <w:rPr>
          <w:sz w:val="22"/>
        </w:rPr>
        <w:t xml:space="preserve"> del citado artículo—</w:t>
      </w:r>
      <w:r w:rsidR="00186D2A">
        <w:rPr>
          <w:sz w:val="22"/>
        </w:rPr>
        <w:t xml:space="preserve"> </w:t>
      </w:r>
      <w:r w:rsidR="00FE432D">
        <w:rPr>
          <w:sz w:val="22"/>
        </w:rPr>
        <w:t xml:space="preserve">como los </w:t>
      </w:r>
      <w:r w:rsidR="009D1B5C" w:rsidRPr="009D1B5C">
        <w:rPr>
          <w:sz w:val="22"/>
        </w:rPr>
        <w:t>actos de trámite adoptados en el procedimiento de adjudicación, siempre que estos decidan directa o indirectamente sobre la adjudicación, determinen la imposibilidad de continuar el procedimiento o produzcan indefensión o perjuicio irreparable a derechos o intereses legítimos</w:t>
      </w:r>
      <w:r w:rsidR="00FE432D">
        <w:rPr>
          <w:sz w:val="22"/>
        </w:rPr>
        <w:t>—</w:t>
      </w:r>
      <w:r w:rsidR="00186D2A">
        <w:rPr>
          <w:sz w:val="22"/>
        </w:rPr>
        <w:t xml:space="preserve"> cuando se refieran</w:t>
      </w:r>
      <w:r w:rsidR="009D1B5C">
        <w:rPr>
          <w:sz w:val="22"/>
        </w:rPr>
        <w:t xml:space="preserve">, </w:t>
      </w:r>
      <w:r w:rsidR="00186D2A">
        <w:rPr>
          <w:sz w:val="22"/>
        </w:rPr>
        <w:t>entre otros</w:t>
      </w:r>
      <w:r w:rsidR="009D1B5C">
        <w:rPr>
          <w:sz w:val="22"/>
        </w:rPr>
        <w:t xml:space="preserve"> tipos contractuales,</w:t>
      </w:r>
      <w:r w:rsidR="00186D2A">
        <w:rPr>
          <w:sz w:val="22"/>
        </w:rPr>
        <w:t xml:space="preserve"> a los contratos de servicios </w:t>
      </w:r>
      <w:r w:rsidR="003C1D7C">
        <w:rPr>
          <w:sz w:val="22"/>
        </w:rPr>
        <w:t>cuyo valor estimado sea superior a cien mil euros</w:t>
      </w:r>
      <w:r w:rsidR="00186D2A">
        <w:rPr>
          <w:sz w:val="22"/>
        </w:rPr>
        <w:t xml:space="preserve"> (art. 4</w:t>
      </w:r>
      <w:r w:rsidR="003C1D7C">
        <w:rPr>
          <w:sz w:val="22"/>
        </w:rPr>
        <w:t>4</w:t>
      </w:r>
      <w:r w:rsidR="00186D2A">
        <w:rPr>
          <w:sz w:val="22"/>
        </w:rPr>
        <w:t>.2.</w:t>
      </w:r>
      <w:r w:rsidR="002E15C2">
        <w:rPr>
          <w:sz w:val="22"/>
        </w:rPr>
        <w:t>b</w:t>
      </w:r>
      <w:r w:rsidR="00186D2A">
        <w:rPr>
          <w:sz w:val="22"/>
        </w:rPr>
        <w:t>).</w:t>
      </w:r>
    </w:p>
    <w:p w14:paraId="17CEB2C1" w14:textId="77777777" w:rsidR="009D1B5C" w:rsidRDefault="008422EA" w:rsidP="005B4672">
      <w:pPr>
        <w:spacing w:after="240"/>
        <w:jc w:val="both"/>
        <w:rPr>
          <w:sz w:val="22"/>
        </w:rPr>
      </w:pPr>
      <w:r>
        <w:rPr>
          <w:sz w:val="22"/>
        </w:rPr>
        <w:lastRenderedPageBreak/>
        <w:t>Por otra parte, a</w:t>
      </w:r>
      <w:r w:rsidR="009D1B5C" w:rsidRPr="002E15C2">
        <w:rPr>
          <w:sz w:val="22"/>
        </w:rPr>
        <w:t xml:space="preserve">unque el artículo 44 </w:t>
      </w:r>
      <w:r w:rsidR="00FB7A57" w:rsidRPr="002E15C2">
        <w:rPr>
          <w:sz w:val="22"/>
        </w:rPr>
        <w:t xml:space="preserve">LCSP </w:t>
      </w:r>
      <w:r w:rsidR="009D1B5C" w:rsidRPr="002E15C2">
        <w:rPr>
          <w:sz w:val="22"/>
        </w:rPr>
        <w:t>no menciona expresamente los acuerdos de d</w:t>
      </w:r>
      <w:r w:rsidR="002E15C2" w:rsidRPr="002E15C2">
        <w:rPr>
          <w:sz w:val="22"/>
        </w:rPr>
        <w:t>eclaración de desierto</w:t>
      </w:r>
      <w:r w:rsidR="009D1B5C" w:rsidRPr="002E15C2">
        <w:rPr>
          <w:sz w:val="22"/>
        </w:rPr>
        <w:t xml:space="preserve"> entre los actos recurribles,</w:t>
      </w:r>
      <w:r w:rsidR="005B4672" w:rsidRPr="005B4672">
        <w:t xml:space="preserve"> </w:t>
      </w:r>
      <w:r w:rsidR="005B4672" w:rsidRPr="005B4672">
        <w:rPr>
          <w:sz w:val="22"/>
        </w:rPr>
        <w:t>de la sentencia del Tribunal de Justicia de la</w:t>
      </w:r>
      <w:r w:rsidR="005B4672">
        <w:rPr>
          <w:sz w:val="22"/>
        </w:rPr>
        <w:t xml:space="preserve"> </w:t>
      </w:r>
      <w:r w:rsidR="005B4672" w:rsidRPr="005B4672">
        <w:rPr>
          <w:sz w:val="22"/>
        </w:rPr>
        <w:t>Unión Europea de 18/6/2002, asunto C-92/00, ECLI: EU:C:2002:379, se deduce que</w:t>
      </w:r>
      <w:r w:rsidR="003C7FE1">
        <w:rPr>
          <w:sz w:val="22"/>
        </w:rPr>
        <w:t xml:space="preserve"> </w:t>
      </w:r>
      <w:r w:rsidR="005B4672" w:rsidRPr="005B4672">
        <w:rPr>
          <w:sz w:val="22"/>
        </w:rPr>
        <w:t xml:space="preserve">el </w:t>
      </w:r>
      <w:r w:rsidR="00CD0DA2">
        <w:rPr>
          <w:sz w:val="22"/>
        </w:rPr>
        <w:t>control jurisdiccional</w:t>
      </w:r>
      <w:r w:rsidR="005B4672" w:rsidRPr="005B4672">
        <w:rPr>
          <w:sz w:val="22"/>
        </w:rPr>
        <w:t xml:space="preserve"> exige que el acuerdo de cancelación de una licitación</w:t>
      </w:r>
      <w:r w:rsidR="003C7FE1">
        <w:rPr>
          <w:sz w:val="22"/>
        </w:rPr>
        <w:t xml:space="preserve"> </w:t>
      </w:r>
      <w:r w:rsidR="0059762E">
        <w:rPr>
          <w:sz w:val="22"/>
        </w:rPr>
        <w:t xml:space="preserve">de un contrato de servicios </w:t>
      </w:r>
      <w:r w:rsidR="005B4672" w:rsidRPr="005B4672">
        <w:rPr>
          <w:sz w:val="22"/>
        </w:rPr>
        <w:t>puede ser objeto de recurso y, en su caso, anulado</w:t>
      </w:r>
      <w:r w:rsidR="0059762E">
        <w:rPr>
          <w:sz w:val="22"/>
        </w:rPr>
        <w:t>:</w:t>
      </w:r>
    </w:p>
    <w:p w14:paraId="6FAC6323" w14:textId="77777777" w:rsidR="003D685C" w:rsidRPr="003D685C" w:rsidRDefault="003D685C" w:rsidP="003D685C">
      <w:pPr>
        <w:spacing w:after="240"/>
        <w:jc w:val="both"/>
        <w:rPr>
          <w:i/>
          <w:iCs/>
          <w:sz w:val="22"/>
          <w:szCs w:val="22"/>
        </w:rPr>
      </w:pPr>
      <w:r w:rsidRPr="003D685C">
        <w:rPr>
          <w:i/>
          <w:iCs/>
          <w:sz w:val="22"/>
        </w:rPr>
        <w:t>“(...)la completa consecución del objetivo que la Directiva 89/665 pretende alcanzar se vería comprometida si las entidades adjudicadoras pudieran cancelar las licitaciones para los contratos públicos de servicios sin estar sujetas a los procedimientos de control jurisdiccional destinados a asegurar desde todos los puntos de vista la efectividad del cumplimiento de las directivas que establecen normas materiales sobre contratos públicos y de los principios en los que se sustentan”.</w:t>
      </w:r>
    </w:p>
    <w:p w14:paraId="43642B6D" w14:textId="77777777" w:rsidR="00003588" w:rsidRPr="00003588" w:rsidRDefault="00A23EAA" w:rsidP="006F0796">
      <w:pPr>
        <w:spacing w:after="240"/>
        <w:jc w:val="both"/>
        <w:rPr>
          <w:sz w:val="22"/>
          <w:szCs w:val="22"/>
        </w:rPr>
      </w:pPr>
      <w:r>
        <w:rPr>
          <w:b/>
          <w:sz w:val="22"/>
        </w:rPr>
        <w:t>SEGUNDO. –</w:t>
      </w:r>
      <w:r>
        <w:rPr>
          <w:sz w:val="22"/>
        </w:rPr>
        <w:t xml:space="preserve"> </w:t>
      </w:r>
      <w:r w:rsidR="00F618A7">
        <w:rPr>
          <w:sz w:val="22"/>
        </w:rPr>
        <w:t>R</w:t>
      </w:r>
      <w:r w:rsidR="00DA56FC">
        <w:rPr>
          <w:sz w:val="22"/>
        </w:rPr>
        <w:t xml:space="preserve">especto a su tramitación </w:t>
      </w:r>
      <w:r w:rsidR="00F618A7">
        <w:rPr>
          <w:sz w:val="22"/>
        </w:rPr>
        <w:t>ha de estarse</w:t>
      </w:r>
      <w:r w:rsidR="00DA56FC">
        <w:rPr>
          <w:sz w:val="22"/>
        </w:rPr>
        <w:t xml:space="preserve"> a lo dispuesto en el artículo </w:t>
      </w:r>
      <w:r w:rsidR="00D16A48">
        <w:rPr>
          <w:sz w:val="22"/>
        </w:rPr>
        <w:t>5</w:t>
      </w:r>
      <w:r w:rsidR="00DA56FC">
        <w:rPr>
          <w:sz w:val="22"/>
        </w:rPr>
        <w:t xml:space="preserve">6.3 </w:t>
      </w:r>
      <w:r w:rsidR="00D16A48">
        <w:rPr>
          <w:sz w:val="22"/>
        </w:rPr>
        <w:t>de la LCSP</w:t>
      </w:r>
      <w:r w:rsidR="00DA56FC">
        <w:rPr>
          <w:sz w:val="22"/>
        </w:rPr>
        <w:t xml:space="preserve">, </w:t>
      </w:r>
      <w:r w:rsidR="00003588">
        <w:rPr>
          <w:sz w:val="22"/>
        </w:rPr>
        <w:t xml:space="preserve">según el cual </w:t>
      </w:r>
      <w:r w:rsidR="00003588" w:rsidRPr="00003588">
        <w:rPr>
          <w:i/>
          <w:iCs/>
          <w:sz w:val="22"/>
          <w:szCs w:val="22"/>
        </w:rPr>
        <w:t xml:space="preserve">“Dentro de los cinco días hábiles siguientes a la interposición del recurso, dará traslado </w:t>
      </w:r>
      <w:proofErr w:type="gramStart"/>
      <w:r w:rsidR="00003588" w:rsidRPr="00003588">
        <w:rPr>
          <w:i/>
          <w:iCs/>
          <w:sz w:val="22"/>
          <w:szCs w:val="22"/>
        </w:rPr>
        <w:t>del mismo</w:t>
      </w:r>
      <w:proofErr w:type="gramEnd"/>
      <w:r w:rsidR="00003588" w:rsidRPr="00003588">
        <w:rPr>
          <w:i/>
          <w:iCs/>
          <w:sz w:val="22"/>
          <w:szCs w:val="22"/>
        </w:rPr>
        <w:t xml:space="preserve"> a los restantes interesados, concediéndoles un plazo de cinco días hábiles para </w:t>
      </w:r>
      <w:r w:rsidR="00003588">
        <w:rPr>
          <w:i/>
          <w:iCs/>
          <w:sz w:val="22"/>
          <w:szCs w:val="22"/>
        </w:rPr>
        <w:t>f</w:t>
      </w:r>
      <w:r w:rsidR="00003588" w:rsidRPr="00003588">
        <w:rPr>
          <w:i/>
          <w:iCs/>
          <w:sz w:val="22"/>
          <w:szCs w:val="22"/>
        </w:rPr>
        <w:t xml:space="preserve">ormular alegaciones, </w:t>
      </w:r>
      <w:r w:rsidR="00D16A48">
        <w:rPr>
          <w:i/>
          <w:iCs/>
          <w:sz w:val="22"/>
          <w:szCs w:val="22"/>
        </w:rPr>
        <w:t>(…).</w:t>
      </w:r>
      <w:r w:rsidR="00003588" w:rsidRPr="00003588">
        <w:rPr>
          <w:i/>
          <w:iCs/>
          <w:sz w:val="22"/>
          <w:szCs w:val="22"/>
        </w:rPr>
        <w:t xml:space="preserve"> </w:t>
      </w:r>
      <w:r w:rsidR="00D16A48">
        <w:rPr>
          <w:i/>
          <w:iCs/>
          <w:sz w:val="22"/>
          <w:szCs w:val="22"/>
        </w:rPr>
        <w:t>D</w:t>
      </w:r>
      <w:r w:rsidR="00003588" w:rsidRPr="00003588">
        <w:rPr>
          <w:i/>
          <w:iCs/>
          <w:sz w:val="22"/>
          <w:szCs w:val="22"/>
        </w:rPr>
        <w:t>e forma simultánea a este trámite, decidirá, en el plazo de cinco días hábiles, acerca de las medidas cautelares si se hubiese solicitado la adopción de alguna en el escrito de interposición del recurso o se hubiera procedido a la acumulación</w:t>
      </w:r>
      <w:r w:rsidR="00D16A48">
        <w:rPr>
          <w:i/>
          <w:iCs/>
          <w:sz w:val="22"/>
          <w:szCs w:val="22"/>
        </w:rPr>
        <w:t xml:space="preserve">, en el caso de que la solicitud de tales medidas </w:t>
      </w:r>
      <w:r w:rsidR="00102A21">
        <w:rPr>
          <w:i/>
          <w:iCs/>
          <w:sz w:val="22"/>
          <w:szCs w:val="22"/>
        </w:rPr>
        <w:t>se hubiera realiza</w:t>
      </w:r>
      <w:r w:rsidR="00D16A48">
        <w:rPr>
          <w:i/>
          <w:iCs/>
          <w:sz w:val="22"/>
          <w:szCs w:val="22"/>
        </w:rPr>
        <w:t>do con anterioridad a la presentación del recurso</w:t>
      </w:r>
      <w:r w:rsidR="00D16A48" w:rsidRPr="00003588">
        <w:rPr>
          <w:i/>
          <w:iCs/>
          <w:sz w:val="22"/>
          <w:szCs w:val="22"/>
        </w:rPr>
        <w:t xml:space="preserve"> </w:t>
      </w:r>
      <w:r w:rsidR="00003588" w:rsidRPr="00003588">
        <w:rPr>
          <w:i/>
          <w:iCs/>
          <w:sz w:val="22"/>
          <w:szCs w:val="22"/>
        </w:rPr>
        <w:t>(…)”</w:t>
      </w:r>
      <w:r w:rsidR="00003588" w:rsidRPr="00003588">
        <w:rPr>
          <w:iCs/>
          <w:sz w:val="22"/>
          <w:szCs w:val="22"/>
        </w:rPr>
        <w:t>.</w:t>
      </w:r>
    </w:p>
    <w:p w14:paraId="74E2DC38" w14:textId="77777777" w:rsidR="00FE432D" w:rsidRPr="00E16D4D" w:rsidRDefault="00A23EAA" w:rsidP="006F0796">
      <w:pPr>
        <w:spacing w:after="240"/>
        <w:jc w:val="both"/>
        <w:rPr>
          <w:sz w:val="22"/>
        </w:rPr>
      </w:pPr>
      <w:r>
        <w:rPr>
          <w:b/>
          <w:sz w:val="22"/>
        </w:rPr>
        <w:t xml:space="preserve">TERCERO. - </w:t>
      </w:r>
      <w:r w:rsidR="00FE432D" w:rsidRPr="004C30C3">
        <w:rPr>
          <w:sz w:val="22"/>
        </w:rPr>
        <w:t xml:space="preserve">El artículo </w:t>
      </w:r>
      <w:r w:rsidR="00FE432D">
        <w:rPr>
          <w:sz w:val="22"/>
        </w:rPr>
        <w:t xml:space="preserve">53 de la LCSP contempla la suspensión automática de la tramitación del procedimiento cuando el acto recurrido sea la adjudicación, entendiéndose vigente en tanto no se dicte resolución expresa acordando el levantamiento, tal como se prevé en el artículo 56.3. Si bien no se contempla esta suspensión automática para otros actos recurridos, el recurrente puede solicitar la adopción de medidas cautelares antes de la interposición del recurso especial </w:t>
      </w:r>
      <w:r w:rsidR="00FE432D" w:rsidRPr="008522DD">
        <w:rPr>
          <w:sz w:val="22"/>
        </w:rPr>
        <w:t>(Art. 4</w:t>
      </w:r>
      <w:r w:rsidR="00FE432D">
        <w:rPr>
          <w:sz w:val="22"/>
        </w:rPr>
        <w:t>9</w:t>
      </w:r>
      <w:r w:rsidR="00FE432D" w:rsidRPr="008522DD">
        <w:rPr>
          <w:sz w:val="22"/>
        </w:rPr>
        <w:t>.1</w:t>
      </w:r>
      <w:r w:rsidR="00FE432D">
        <w:rPr>
          <w:sz w:val="22"/>
        </w:rPr>
        <w:t xml:space="preserve"> de la LCSP</w:t>
      </w:r>
      <w:r w:rsidR="00FE432D" w:rsidRPr="008522DD">
        <w:rPr>
          <w:sz w:val="22"/>
        </w:rPr>
        <w:t xml:space="preserve">), </w:t>
      </w:r>
      <w:r w:rsidR="00FE432D">
        <w:rPr>
          <w:sz w:val="22"/>
        </w:rPr>
        <w:t>con la interposición</w:t>
      </w:r>
      <w:r w:rsidR="00FE432D" w:rsidRPr="008522DD">
        <w:rPr>
          <w:sz w:val="22"/>
        </w:rPr>
        <w:t xml:space="preserve"> (Art. </w:t>
      </w:r>
      <w:r w:rsidR="00FE432D">
        <w:rPr>
          <w:sz w:val="22"/>
        </w:rPr>
        <w:t>51.1</w:t>
      </w:r>
      <w:r w:rsidR="00FE432D" w:rsidRPr="00E16D4D">
        <w:rPr>
          <w:sz w:val="22"/>
        </w:rPr>
        <w:t>), o con posterioridad a la interposición del recurso-, siempre en un momento anterior a su resolución- (Art.</w:t>
      </w:r>
      <w:r w:rsidR="00FE432D">
        <w:rPr>
          <w:sz w:val="22"/>
        </w:rPr>
        <w:t>5</w:t>
      </w:r>
      <w:r w:rsidR="00FE432D" w:rsidRPr="00E16D4D">
        <w:rPr>
          <w:sz w:val="22"/>
        </w:rPr>
        <w:t xml:space="preserve">6.3 </w:t>
      </w:r>
      <w:r w:rsidR="00FE432D">
        <w:rPr>
          <w:sz w:val="22"/>
        </w:rPr>
        <w:t>tercer</w:t>
      </w:r>
      <w:r w:rsidR="00FE432D" w:rsidRPr="00E16D4D">
        <w:rPr>
          <w:sz w:val="22"/>
        </w:rPr>
        <w:t xml:space="preserve"> párrafo). </w:t>
      </w:r>
    </w:p>
    <w:p w14:paraId="3E275890" w14:textId="77777777" w:rsidR="00FE432D" w:rsidRPr="00F95EC5" w:rsidRDefault="00FE432D" w:rsidP="006F0796">
      <w:pPr>
        <w:spacing w:after="240"/>
        <w:jc w:val="both"/>
        <w:rPr>
          <w:iCs/>
          <w:sz w:val="22"/>
        </w:rPr>
      </w:pPr>
      <w:r>
        <w:rPr>
          <w:sz w:val="22"/>
        </w:rPr>
        <w:t xml:space="preserve">Según señala el artículo 49.1 del citado texto legal, </w:t>
      </w:r>
      <w:r w:rsidRPr="00F95EC5">
        <w:rPr>
          <w:iCs/>
          <w:sz w:val="22"/>
        </w:rPr>
        <w:t>esas medidas cautelares pueden estar destinadas a suspender o a hacer que se suspenda el procedimiento de adjudicación del contrato en cuestión o</w:t>
      </w:r>
      <w:r w:rsidR="00FB7A57">
        <w:rPr>
          <w:iCs/>
          <w:sz w:val="22"/>
        </w:rPr>
        <w:t>, como es el caso,</w:t>
      </w:r>
      <w:r w:rsidRPr="00F95EC5">
        <w:rPr>
          <w:iCs/>
          <w:sz w:val="22"/>
        </w:rPr>
        <w:t xml:space="preserve"> la ejecución de cualquier decisión adoptada por los órganos de contratación.</w:t>
      </w:r>
    </w:p>
    <w:p w14:paraId="067D6ED9" w14:textId="77777777" w:rsidR="002B14B7" w:rsidRPr="002B14B7" w:rsidRDefault="00A23EAA" w:rsidP="006F0796">
      <w:pPr>
        <w:spacing w:after="240"/>
        <w:jc w:val="both"/>
        <w:rPr>
          <w:sz w:val="22"/>
          <w:szCs w:val="22"/>
        </w:rPr>
      </w:pPr>
      <w:r w:rsidRPr="00DF3675">
        <w:rPr>
          <w:b/>
          <w:sz w:val="22"/>
        </w:rPr>
        <w:t xml:space="preserve">CUARTO. - </w:t>
      </w:r>
      <w:r w:rsidR="00B83425">
        <w:rPr>
          <w:sz w:val="22"/>
        </w:rPr>
        <w:t>E</w:t>
      </w:r>
      <w:r w:rsidR="002B14B7">
        <w:rPr>
          <w:sz w:val="22"/>
        </w:rPr>
        <w:t xml:space="preserve">n la legislación de contratos </w:t>
      </w:r>
      <w:r w:rsidR="003A14AE">
        <w:rPr>
          <w:sz w:val="22"/>
        </w:rPr>
        <w:t>del sector público</w:t>
      </w:r>
      <w:r w:rsidR="00B83425">
        <w:rPr>
          <w:sz w:val="22"/>
        </w:rPr>
        <w:t xml:space="preserve"> no se definen</w:t>
      </w:r>
      <w:r w:rsidR="002B14B7">
        <w:rPr>
          <w:sz w:val="22"/>
        </w:rPr>
        <w:t xml:space="preserve"> los parámetros sobre los que adoptar o denegar las medidas provisionales.</w:t>
      </w:r>
      <w:r w:rsidR="00B83425">
        <w:rPr>
          <w:sz w:val="22"/>
        </w:rPr>
        <w:t xml:space="preserve"> </w:t>
      </w:r>
      <w:r w:rsidR="00345B6D">
        <w:rPr>
          <w:sz w:val="22"/>
        </w:rPr>
        <w:t>No obstante</w:t>
      </w:r>
      <w:r w:rsidR="002B14B7" w:rsidRPr="002B14B7">
        <w:rPr>
          <w:sz w:val="22"/>
        </w:rPr>
        <w:t>,</w:t>
      </w:r>
      <w:r w:rsidR="002B14B7">
        <w:rPr>
          <w:sz w:val="22"/>
        </w:rPr>
        <w:t xml:space="preserve"> c</w:t>
      </w:r>
      <w:r w:rsidR="002B14B7" w:rsidRPr="002B14B7">
        <w:rPr>
          <w:sz w:val="22"/>
          <w:szCs w:val="22"/>
        </w:rPr>
        <w:t xml:space="preserve">abe entender que los requisitos exigidos por el Tribunal Supremo con relación al proceso cautelar en el ámbito judicial </w:t>
      </w:r>
      <w:r w:rsidR="00345B6D" w:rsidRPr="002B14B7">
        <w:rPr>
          <w:sz w:val="22"/>
          <w:szCs w:val="22"/>
        </w:rPr>
        <w:t>se aplican</w:t>
      </w:r>
      <w:r w:rsidR="002B14B7" w:rsidRPr="002B14B7">
        <w:rPr>
          <w:sz w:val="22"/>
          <w:szCs w:val="22"/>
        </w:rPr>
        <w:t xml:space="preserve"> </w:t>
      </w:r>
      <w:r w:rsidR="00345B6D">
        <w:rPr>
          <w:sz w:val="22"/>
          <w:szCs w:val="22"/>
        </w:rPr>
        <w:t xml:space="preserve">también </w:t>
      </w:r>
      <w:r w:rsidR="002B14B7" w:rsidRPr="002B14B7">
        <w:rPr>
          <w:sz w:val="22"/>
          <w:szCs w:val="22"/>
        </w:rPr>
        <w:t>en el marco del procedimiento del recurso especial</w:t>
      </w:r>
      <w:r w:rsidR="00F618A7">
        <w:rPr>
          <w:sz w:val="22"/>
          <w:szCs w:val="22"/>
        </w:rPr>
        <w:t>.</w:t>
      </w:r>
      <w:r w:rsidR="00345B6D">
        <w:rPr>
          <w:sz w:val="22"/>
          <w:szCs w:val="22"/>
        </w:rPr>
        <w:t xml:space="preserve"> En este sentido, </w:t>
      </w:r>
      <w:r w:rsidR="002B14B7" w:rsidRPr="002B14B7">
        <w:rPr>
          <w:sz w:val="22"/>
          <w:szCs w:val="22"/>
        </w:rPr>
        <w:t xml:space="preserve">toda decisión sobre las medidas cautelares debe adoptarse ponderando las circunstancias del caso y teniendo en cuenta la finalidad de la medida cautelar y su fundamento constitucional, </w:t>
      </w:r>
      <w:r w:rsidR="008307C2">
        <w:rPr>
          <w:sz w:val="22"/>
          <w:szCs w:val="22"/>
        </w:rPr>
        <w:t>tendente a</w:t>
      </w:r>
      <w:r w:rsidR="002B14B7" w:rsidRPr="002B14B7">
        <w:rPr>
          <w:sz w:val="22"/>
          <w:szCs w:val="22"/>
        </w:rPr>
        <w:t xml:space="preserve"> asegurar que la futura resolución del</w:t>
      </w:r>
      <w:r w:rsidR="002B14B7">
        <w:rPr>
          <w:sz w:val="22"/>
          <w:szCs w:val="22"/>
        </w:rPr>
        <w:t xml:space="preserve"> </w:t>
      </w:r>
      <w:r w:rsidR="002B14B7" w:rsidRPr="002B14B7">
        <w:rPr>
          <w:sz w:val="22"/>
          <w:szCs w:val="22"/>
        </w:rPr>
        <w:t>procedimiento principal pueda llevarse a la práctica de modo útil</w:t>
      </w:r>
      <w:r w:rsidR="008307C2">
        <w:rPr>
          <w:sz w:val="22"/>
          <w:szCs w:val="22"/>
        </w:rPr>
        <w:t>, evitando perjuicios de difícil o imposible reparación.</w:t>
      </w:r>
      <w:r w:rsidR="002B14B7" w:rsidRPr="002B14B7">
        <w:rPr>
          <w:sz w:val="22"/>
          <w:szCs w:val="22"/>
        </w:rPr>
        <w:t xml:space="preserve"> </w:t>
      </w:r>
    </w:p>
    <w:p w14:paraId="151228D7" w14:textId="5063D804" w:rsidR="00E04C3D" w:rsidRPr="0059762E" w:rsidRDefault="00A23EAA" w:rsidP="00CB1A27">
      <w:pPr>
        <w:autoSpaceDE w:val="0"/>
        <w:autoSpaceDN w:val="0"/>
        <w:adjustRightInd w:val="0"/>
        <w:spacing w:after="240"/>
        <w:jc w:val="both"/>
        <w:rPr>
          <w:sz w:val="22"/>
          <w:szCs w:val="22"/>
        </w:rPr>
      </w:pPr>
      <w:r>
        <w:rPr>
          <w:b/>
          <w:sz w:val="22"/>
        </w:rPr>
        <w:t>QUINTO</w:t>
      </w:r>
      <w:r w:rsidR="00F10DF3" w:rsidRPr="00DF3675">
        <w:rPr>
          <w:b/>
          <w:sz w:val="22"/>
        </w:rPr>
        <w:t>. -</w:t>
      </w:r>
      <w:r w:rsidR="00745A90" w:rsidRPr="00DF3675">
        <w:rPr>
          <w:b/>
          <w:sz w:val="22"/>
        </w:rPr>
        <w:t xml:space="preserve"> </w:t>
      </w:r>
      <w:r w:rsidR="002D73DA" w:rsidRPr="00DF3675">
        <w:rPr>
          <w:sz w:val="22"/>
        </w:rPr>
        <w:t xml:space="preserve">Este </w:t>
      </w:r>
      <w:r w:rsidR="00495221">
        <w:rPr>
          <w:sz w:val="22"/>
        </w:rPr>
        <w:t>Ó</w:t>
      </w:r>
      <w:r w:rsidR="002D73DA" w:rsidRPr="00DF3675">
        <w:rPr>
          <w:sz w:val="22"/>
        </w:rPr>
        <w:t>rgano considera que</w:t>
      </w:r>
      <w:r w:rsidR="0027091C" w:rsidRPr="00DF3675">
        <w:rPr>
          <w:sz w:val="22"/>
        </w:rPr>
        <w:t xml:space="preserve"> </w:t>
      </w:r>
      <w:r w:rsidR="002D73DA" w:rsidRPr="00DF3675">
        <w:rPr>
          <w:sz w:val="22"/>
        </w:rPr>
        <w:t>las medidas cautelares a adoptar durante la tramitación</w:t>
      </w:r>
      <w:r w:rsidR="002D73DA" w:rsidRPr="00F10DF3">
        <w:rPr>
          <w:sz w:val="22"/>
        </w:rPr>
        <w:t xml:space="preserve"> del recurso especial deben servir, no sólo para</w:t>
      </w:r>
      <w:r w:rsidR="0027091C" w:rsidRPr="00F10DF3">
        <w:rPr>
          <w:sz w:val="22"/>
        </w:rPr>
        <w:t xml:space="preserve"> asegurar la eficacia de la </w:t>
      </w:r>
      <w:r w:rsidR="0027091C" w:rsidRPr="00F10DF3">
        <w:rPr>
          <w:sz w:val="22"/>
          <w:szCs w:val="22"/>
        </w:rPr>
        <w:t xml:space="preserve">resolución del recurso </w:t>
      </w:r>
      <w:r w:rsidR="002D73DA" w:rsidRPr="00F10DF3">
        <w:rPr>
          <w:sz w:val="22"/>
          <w:szCs w:val="22"/>
        </w:rPr>
        <w:t xml:space="preserve">que finalmente se tome, sino también para evitar o minimizar los perjuicios que podría causar, tanto a la propia administración como a los intereses de los particulares afectados, la </w:t>
      </w:r>
      <w:r w:rsidR="0059762E">
        <w:rPr>
          <w:sz w:val="22"/>
          <w:szCs w:val="22"/>
        </w:rPr>
        <w:t>apertura de un nuevo</w:t>
      </w:r>
      <w:r w:rsidR="002D73DA" w:rsidRPr="00F10DF3">
        <w:rPr>
          <w:sz w:val="22"/>
          <w:szCs w:val="22"/>
        </w:rPr>
        <w:t xml:space="preserve"> procedimiento de licitación</w:t>
      </w:r>
      <w:r w:rsidR="00F10DF3" w:rsidRPr="00F10DF3">
        <w:rPr>
          <w:sz w:val="22"/>
          <w:szCs w:val="22"/>
        </w:rPr>
        <w:t xml:space="preserve"> </w:t>
      </w:r>
      <w:r w:rsidR="002D73DA" w:rsidRPr="00F10DF3">
        <w:rPr>
          <w:sz w:val="22"/>
          <w:szCs w:val="22"/>
        </w:rPr>
        <w:t>sin que este órgano haya analizado de forma plena y previa los argumentos que sustentan el recurso especial, ya que</w:t>
      </w:r>
      <w:r w:rsidR="004F047F" w:rsidRPr="0059762E">
        <w:rPr>
          <w:sz w:val="22"/>
          <w:szCs w:val="22"/>
        </w:rPr>
        <w:t xml:space="preserve"> una eventual estimación del recurso obligaría a retrotraer las actuaciones</w:t>
      </w:r>
      <w:r w:rsidR="0059762E">
        <w:rPr>
          <w:sz w:val="22"/>
          <w:szCs w:val="22"/>
        </w:rPr>
        <w:t xml:space="preserve"> del potencial nuevo expediente</w:t>
      </w:r>
      <w:r w:rsidR="004F047F" w:rsidRPr="0059762E">
        <w:rPr>
          <w:sz w:val="22"/>
          <w:szCs w:val="22"/>
        </w:rPr>
        <w:t xml:space="preserve"> y a dejar sin efecto actos declarativos de derechos</w:t>
      </w:r>
      <w:r w:rsidR="00F10DF3" w:rsidRPr="0059762E">
        <w:rPr>
          <w:sz w:val="22"/>
          <w:szCs w:val="22"/>
        </w:rPr>
        <w:t>, con las consecuencias correspondientes</w:t>
      </w:r>
      <w:r w:rsidR="004F047F" w:rsidRPr="0059762E">
        <w:rPr>
          <w:sz w:val="22"/>
          <w:szCs w:val="22"/>
        </w:rPr>
        <w:t>.</w:t>
      </w:r>
    </w:p>
    <w:p w14:paraId="6E0E49B4" w14:textId="77777777" w:rsidR="00495221" w:rsidRDefault="00495221" w:rsidP="006F0796">
      <w:pPr>
        <w:widowControl w:val="0"/>
        <w:autoSpaceDE w:val="0"/>
        <w:autoSpaceDN w:val="0"/>
        <w:adjustRightInd w:val="0"/>
        <w:spacing w:after="240"/>
        <w:jc w:val="both"/>
        <w:rPr>
          <w:bCs/>
          <w:sz w:val="22"/>
        </w:rPr>
      </w:pPr>
    </w:p>
    <w:p w14:paraId="74B587CF" w14:textId="21630046" w:rsidR="00020C36" w:rsidRDefault="00721E13" w:rsidP="006F0796">
      <w:pPr>
        <w:widowControl w:val="0"/>
        <w:autoSpaceDE w:val="0"/>
        <w:autoSpaceDN w:val="0"/>
        <w:adjustRightInd w:val="0"/>
        <w:spacing w:after="240"/>
        <w:jc w:val="both"/>
        <w:rPr>
          <w:sz w:val="22"/>
        </w:rPr>
      </w:pPr>
      <w:r w:rsidRPr="00721E13">
        <w:rPr>
          <w:bCs/>
          <w:sz w:val="22"/>
        </w:rPr>
        <w:lastRenderedPageBreak/>
        <w:t>Por lo expuesto</w:t>
      </w:r>
      <w:r>
        <w:rPr>
          <w:b/>
          <w:sz w:val="22"/>
        </w:rPr>
        <w:t>,</w:t>
      </w:r>
      <w:r w:rsidR="00020C36">
        <w:rPr>
          <w:sz w:val="22"/>
        </w:rPr>
        <w:t xml:space="preserve"> </w:t>
      </w:r>
      <w:r>
        <w:rPr>
          <w:sz w:val="22"/>
        </w:rPr>
        <w:t>s</w:t>
      </w:r>
      <w:r w:rsidR="00020C36">
        <w:rPr>
          <w:sz w:val="22"/>
        </w:rPr>
        <w:t>in prejuzgar la cuestión de fondo planteada en el recurso, este Órgano Foral de Recursos Contractuales emite la siguiente</w:t>
      </w:r>
    </w:p>
    <w:p w14:paraId="732809E1" w14:textId="77777777" w:rsidR="009732E6" w:rsidRDefault="009732E6" w:rsidP="006F0796">
      <w:pPr>
        <w:pStyle w:val="Textoindependiente"/>
        <w:spacing w:after="240"/>
        <w:jc w:val="center"/>
        <w:rPr>
          <w:rFonts w:ascii="Times New Roman" w:hAnsi="Times New Roman"/>
          <w:b/>
          <w:sz w:val="22"/>
          <w:u w:val="single"/>
        </w:rPr>
      </w:pPr>
    </w:p>
    <w:p w14:paraId="620FFC57" w14:textId="77777777" w:rsidR="00020C36" w:rsidRDefault="00020C36" w:rsidP="006F0796">
      <w:pPr>
        <w:pStyle w:val="Textoindependiente"/>
        <w:spacing w:after="240"/>
        <w:jc w:val="center"/>
        <w:rPr>
          <w:rFonts w:ascii="Times New Roman" w:hAnsi="Times New Roman"/>
          <w:b/>
          <w:sz w:val="22"/>
          <w:u w:val="single"/>
        </w:rPr>
      </w:pPr>
      <w:r>
        <w:rPr>
          <w:rFonts w:ascii="Times New Roman" w:hAnsi="Times New Roman"/>
          <w:b/>
          <w:sz w:val="22"/>
          <w:u w:val="single"/>
        </w:rPr>
        <w:t>RESOLUCIÓN</w:t>
      </w:r>
    </w:p>
    <w:p w14:paraId="1A507C56" w14:textId="77777777" w:rsidR="00020C36" w:rsidRDefault="00020C36" w:rsidP="006F0796">
      <w:pPr>
        <w:pStyle w:val="Textoindependiente"/>
        <w:spacing w:after="240"/>
        <w:jc w:val="center"/>
        <w:rPr>
          <w:rFonts w:ascii="Times New Roman" w:hAnsi="Times New Roman"/>
          <w:b/>
          <w:sz w:val="22"/>
          <w:u w:val="single"/>
        </w:rPr>
      </w:pPr>
    </w:p>
    <w:p w14:paraId="1CBEA3D8" w14:textId="77777777" w:rsidR="00020C36" w:rsidRPr="00495221" w:rsidRDefault="00B26B46" w:rsidP="006F0796">
      <w:pPr>
        <w:pStyle w:val="Ttulo4"/>
        <w:spacing w:after="240"/>
        <w:jc w:val="both"/>
        <w:rPr>
          <w:b w:val="0"/>
          <w:szCs w:val="22"/>
        </w:rPr>
      </w:pPr>
      <w:r>
        <w:rPr>
          <w:b w:val="0"/>
          <w:szCs w:val="22"/>
        </w:rPr>
        <w:t>E</w:t>
      </w:r>
      <w:r w:rsidRPr="00071E04">
        <w:rPr>
          <w:b w:val="0"/>
          <w:szCs w:val="22"/>
        </w:rPr>
        <w:t>stimar</w:t>
      </w:r>
      <w:r w:rsidR="00F45840">
        <w:rPr>
          <w:b w:val="0"/>
          <w:szCs w:val="22"/>
        </w:rPr>
        <w:t xml:space="preserve"> </w:t>
      </w:r>
      <w:r w:rsidR="001F38BF">
        <w:rPr>
          <w:b w:val="0"/>
          <w:szCs w:val="22"/>
        </w:rPr>
        <w:t>la</w:t>
      </w:r>
      <w:r w:rsidR="00A23EAA">
        <w:rPr>
          <w:b w:val="0"/>
          <w:szCs w:val="22"/>
        </w:rPr>
        <w:t xml:space="preserve"> </w:t>
      </w:r>
      <w:r w:rsidR="00A95300" w:rsidRPr="00071E04">
        <w:rPr>
          <w:b w:val="0"/>
          <w:szCs w:val="22"/>
        </w:rPr>
        <w:t xml:space="preserve">medida </w:t>
      </w:r>
      <w:r w:rsidR="00A95300" w:rsidRPr="00C46CDC">
        <w:rPr>
          <w:b w:val="0"/>
          <w:szCs w:val="22"/>
        </w:rPr>
        <w:t xml:space="preserve">provisional de </w:t>
      </w:r>
      <w:r w:rsidR="00A95300" w:rsidRPr="00495221">
        <w:rPr>
          <w:b w:val="0"/>
          <w:szCs w:val="22"/>
        </w:rPr>
        <w:t xml:space="preserve">suspensión </w:t>
      </w:r>
      <w:r w:rsidR="00A95300" w:rsidRPr="00495221">
        <w:rPr>
          <w:b w:val="0"/>
        </w:rPr>
        <w:t>de</w:t>
      </w:r>
      <w:r w:rsidR="00F57C4C" w:rsidRPr="00495221">
        <w:rPr>
          <w:b w:val="0"/>
        </w:rPr>
        <w:t xml:space="preserve"> la exclusión de recurrente y</w:t>
      </w:r>
      <w:r w:rsidR="00A73743" w:rsidRPr="00495221">
        <w:rPr>
          <w:b w:val="0"/>
        </w:rPr>
        <w:t xml:space="preserve"> de</w:t>
      </w:r>
      <w:r w:rsidR="00F57C4C" w:rsidRPr="00495221">
        <w:rPr>
          <w:b w:val="0"/>
        </w:rPr>
        <w:t xml:space="preserve"> la declaración de desierto</w:t>
      </w:r>
      <w:r w:rsidR="00CA1C13" w:rsidRPr="00495221">
        <w:rPr>
          <w:b w:val="0"/>
        </w:rPr>
        <w:t xml:space="preserve"> </w:t>
      </w:r>
      <w:r w:rsidR="00ED39A8" w:rsidRPr="00495221">
        <w:rPr>
          <w:b w:val="0"/>
        </w:rPr>
        <w:t xml:space="preserve">del </w:t>
      </w:r>
      <w:r w:rsidR="00F57C4C" w:rsidRPr="00495221">
        <w:rPr>
          <w:b w:val="0"/>
        </w:rPr>
        <w:t>contrato “Formación en ciberseguridad para Diputación Foral de Álava y el Sector Público Foral” (</w:t>
      </w:r>
      <w:proofErr w:type="spellStart"/>
      <w:r w:rsidR="00F57C4C" w:rsidRPr="00495221">
        <w:rPr>
          <w:b w:val="0"/>
        </w:rPr>
        <w:t>expte</w:t>
      </w:r>
      <w:proofErr w:type="spellEnd"/>
      <w:r w:rsidR="00F57C4C" w:rsidRPr="00495221">
        <w:rPr>
          <w:b w:val="0"/>
        </w:rPr>
        <w:t xml:space="preserve"> 2025006) planteada</w:t>
      </w:r>
      <w:r w:rsidR="00D07706" w:rsidRPr="00495221">
        <w:rPr>
          <w:b w:val="0"/>
          <w:szCs w:val="22"/>
        </w:rPr>
        <w:t xml:space="preserve"> por</w:t>
      </w:r>
      <w:r w:rsidR="00A95300" w:rsidRPr="00495221">
        <w:rPr>
          <w:b w:val="0"/>
          <w:szCs w:val="22"/>
        </w:rPr>
        <w:t xml:space="preserve"> </w:t>
      </w:r>
      <w:r w:rsidR="00F57C4C" w:rsidRPr="00495221">
        <w:rPr>
          <w:rStyle w:val="Nmerodepgina"/>
          <w:b w:val="0"/>
          <w:szCs w:val="22"/>
          <w:lang w:val="es-ES_tradnl"/>
        </w:rPr>
        <w:t xml:space="preserve">CYBERTIX SIMULATION TECHNOLOGIES S.L. </w:t>
      </w:r>
    </w:p>
    <w:p w14:paraId="58A05C93" w14:textId="77777777" w:rsidR="008D6A2D" w:rsidRPr="009732E6" w:rsidRDefault="008D6A2D" w:rsidP="006F0796">
      <w:pPr>
        <w:spacing w:after="240"/>
        <w:jc w:val="both"/>
        <w:rPr>
          <w:sz w:val="22"/>
          <w:szCs w:val="22"/>
        </w:rPr>
      </w:pPr>
      <w:r w:rsidRPr="009732E6">
        <w:rPr>
          <w:sz w:val="22"/>
          <w:szCs w:val="22"/>
        </w:rPr>
        <w:t>Contra la presente resolución no cabe recurso alguno, sin perjuicio del que proceda contra la resolución que se dicte en el procedimiento principal del recurso.</w:t>
      </w:r>
    </w:p>
    <w:p w14:paraId="1B0C5BB5" w14:textId="77777777" w:rsidR="005528CE" w:rsidRDefault="005528CE" w:rsidP="005528CE">
      <w:pPr>
        <w:jc w:val="both"/>
        <w:rPr>
          <w:sz w:val="22"/>
          <w:szCs w:val="22"/>
        </w:rPr>
      </w:pPr>
    </w:p>
    <w:p w14:paraId="4426DC3C" w14:textId="77777777" w:rsidR="002401EA" w:rsidRDefault="002401EA" w:rsidP="005528CE">
      <w:pPr>
        <w:jc w:val="both"/>
        <w:rPr>
          <w:sz w:val="22"/>
          <w:szCs w:val="22"/>
        </w:rPr>
      </w:pPr>
    </w:p>
    <w:p w14:paraId="21DBCD74" w14:textId="77777777" w:rsidR="002401EA" w:rsidRDefault="002401EA" w:rsidP="005528CE">
      <w:pPr>
        <w:jc w:val="both"/>
        <w:rPr>
          <w:sz w:val="22"/>
          <w:szCs w:val="22"/>
        </w:rPr>
      </w:pPr>
    </w:p>
    <w:p w14:paraId="3E75AE88" w14:textId="77777777" w:rsidR="005528CE" w:rsidRDefault="005528CE" w:rsidP="005528CE">
      <w:pPr>
        <w:jc w:val="both"/>
        <w:rPr>
          <w:sz w:val="22"/>
          <w:szCs w:val="22"/>
        </w:rPr>
      </w:pPr>
    </w:p>
    <w:p w14:paraId="5C5E07F5" w14:textId="7C8C805B" w:rsidR="00020C36" w:rsidRPr="00DE751B" w:rsidRDefault="00020C36" w:rsidP="00DE751B">
      <w:pPr>
        <w:jc w:val="both"/>
        <w:rPr>
          <w:sz w:val="22"/>
          <w:lang w:val="es-ES_tradnl"/>
        </w:rPr>
      </w:pPr>
    </w:p>
    <w:sectPr w:rsidR="00020C36" w:rsidRPr="00DE751B">
      <w:headerReference w:type="default" r:id="rId8"/>
      <w:footerReference w:type="even" r:id="rId9"/>
      <w:footerReference w:type="default" r:id="rId10"/>
      <w:headerReference w:type="first" r:id="rId11"/>
      <w:footerReference w:type="first" r:id="rId12"/>
      <w:pgSz w:w="11906" w:h="16838" w:code="9"/>
      <w:pgMar w:top="1418" w:right="1701" w:bottom="1418" w:left="1701" w:header="624" w:footer="6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F5AEB" w14:textId="77777777" w:rsidR="00972084" w:rsidRDefault="00972084">
      <w:r>
        <w:separator/>
      </w:r>
    </w:p>
  </w:endnote>
  <w:endnote w:type="continuationSeparator" w:id="0">
    <w:p w14:paraId="69443DA5" w14:textId="77777777" w:rsidR="00972084" w:rsidRDefault="00972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53226" w14:textId="77777777" w:rsidR="000A14FE" w:rsidRDefault="000A14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44184F1" w14:textId="77777777" w:rsidR="000A14FE" w:rsidRDefault="000A14F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91F7F" w14:textId="77777777" w:rsidR="000A14FE" w:rsidRDefault="000A14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00F29">
      <w:rPr>
        <w:rStyle w:val="Nmerodepgina"/>
        <w:noProof/>
      </w:rPr>
      <w:t>4</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200F29">
      <w:rPr>
        <w:rStyle w:val="Nmerodepgina"/>
        <w:noProof/>
      </w:rPr>
      <w:t>4</w:t>
    </w:r>
    <w:r>
      <w:rPr>
        <w:rStyle w:val="Nmerodepgina"/>
      </w:rPr>
      <w:fldChar w:fldCharType="end"/>
    </w:r>
  </w:p>
  <w:p w14:paraId="149A0C07" w14:textId="77777777" w:rsidR="000A14FE" w:rsidRDefault="000A14FE">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2A543" w14:textId="77777777" w:rsidR="000A14FE" w:rsidRDefault="000A14FE">
    <w:pPr>
      <w:pStyle w:val="Piedepgina"/>
      <w:jc w:val="right"/>
    </w:pPr>
    <w:r>
      <w:rPr>
        <w:rStyle w:val="Nmerodepgina"/>
      </w:rPr>
      <w:fldChar w:fldCharType="begin"/>
    </w:r>
    <w:r>
      <w:rPr>
        <w:rStyle w:val="Nmerodepgina"/>
      </w:rPr>
      <w:instrText xml:space="preserve"> PAGE </w:instrText>
    </w:r>
    <w:r>
      <w:rPr>
        <w:rStyle w:val="Nmerodepgina"/>
      </w:rPr>
      <w:fldChar w:fldCharType="separate"/>
    </w:r>
    <w:r w:rsidR="00200F29">
      <w:rPr>
        <w:rStyle w:val="Nmerodepgina"/>
        <w:noProof/>
      </w:rPr>
      <w:t>1</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200F29">
      <w:rPr>
        <w:rStyle w:val="Nmerodepgina"/>
        <w:noProof/>
      </w:rPr>
      <w:t>4</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55224" w14:textId="77777777" w:rsidR="00972084" w:rsidRDefault="00972084">
      <w:r>
        <w:separator/>
      </w:r>
    </w:p>
  </w:footnote>
  <w:footnote w:type="continuationSeparator" w:id="0">
    <w:p w14:paraId="32A78D62" w14:textId="77777777" w:rsidR="00972084" w:rsidRDefault="00972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0A14FE" w14:paraId="6CB6FF58" w14:textId="77777777">
      <w:trPr>
        <w:cantSplit/>
        <w:trHeight w:val="338"/>
      </w:trPr>
      <w:tc>
        <w:tcPr>
          <w:tcW w:w="3856" w:type="dxa"/>
        </w:tcPr>
        <w:p w14:paraId="18651DA1" w14:textId="77777777" w:rsidR="000A14FE" w:rsidRDefault="000A14FE">
          <w:pPr>
            <w:pStyle w:val="Encabezado"/>
          </w:pPr>
        </w:p>
      </w:tc>
      <w:tc>
        <w:tcPr>
          <w:tcW w:w="1361" w:type="dxa"/>
          <w:vMerge w:val="restart"/>
        </w:tcPr>
        <w:p w14:paraId="7A2E6F18" w14:textId="77777777" w:rsidR="000A14FE" w:rsidRDefault="00B75D74">
          <w:pPr>
            <w:pStyle w:val="Encabezado"/>
            <w:jc w:val="center"/>
          </w:pPr>
          <w:r>
            <w:pict w14:anchorId="1A6133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6pt" fillcolor="window">
                <v:imagedata r:id="rId1" o:title="S MBOLO 12 X 12"/>
              </v:shape>
            </w:pict>
          </w:r>
        </w:p>
      </w:tc>
      <w:tc>
        <w:tcPr>
          <w:tcW w:w="3856" w:type="dxa"/>
        </w:tcPr>
        <w:p w14:paraId="6268E21B" w14:textId="77777777" w:rsidR="000A14FE" w:rsidRDefault="000A14FE">
          <w:pPr>
            <w:pStyle w:val="Encabezado"/>
          </w:pPr>
        </w:p>
      </w:tc>
    </w:tr>
    <w:tr w:rsidR="000A14FE" w14:paraId="1C604587" w14:textId="77777777">
      <w:trPr>
        <w:cantSplit/>
        <w:trHeight w:val="337"/>
      </w:trPr>
      <w:tc>
        <w:tcPr>
          <w:tcW w:w="3856" w:type="dxa"/>
        </w:tcPr>
        <w:p w14:paraId="436ED57E" w14:textId="77777777" w:rsidR="000A14FE" w:rsidRDefault="000A14FE">
          <w:pPr>
            <w:pStyle w:val="Encabezado"/>
          </w:pPr>
        </w:p>
      </w:tc>
      <w:tc>
        <w:tcPr>
          <w:tcW w:w="1361" w:type="dxa"/>
          <w:vMerge/>
        </w:tcPr>
        <w:p w14:paraId="0E012CCD" w14:textId="77777777" w:rsidR="000A14FE" w:rsidRDefault="000A14FE">
          <w:pPr>
            <w:pStyle w:val="Encabezado"/>
            <w:jc w:val="center"/>
          </w:pPr>
        </w:p>
      </w:tc>
      <w:tc>
        <w:tcPr>
          <w:tcW w:w="3856" w:type="dxa"/>
        </w:tcPr>
        <w:p w14:paraId="5E2068C5" w14:textId="77777777" w:rsidR="000A14FE" w:rsidRDefault="000A14FE">
          <w:pPr>
            <w:pStyle w:val="Encabezado"/>
          </w:pPr>
        </w:p>
      </w:tc>
    </w:tr>
  </w:tbl>
  <w:p w14:paraId="34581E77" w14:textId="77777777" w:rsidR="000A14FE" w:rsidRDefault="000A14F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0A14FE" w14:paraId="4DA0BC12" w14:textId="77777777">
      <w:tc>
        <w:tcPr>
          <w:tcW w:w="4890" w:type="dxa"/>
        </w:tcPr>
        <w:p w14:paraId="57166992" w14:textId="77777777" w:rsidR="000A14FE" w:rsidRDefault="00B75D74">
          <w:pPr>
            <w:pStyle w:val="Encabezado"/>
            <w:spacing w:after="720"/>
            <w:ind w:left="74" w:right="360"/>
            <w:rPr>
              <w:noProof/>
              <w:sz w:val="16"/>
            </w:rPr>
          </w:pPr>
          <w:r>
            <w:rPr>
              <w:noProof/>
              <w:sz w:val="20"/>
            </w:rPr>
            <w:pict w14:anchorId="1E0E1E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7.75pt" fillcolor="window">
                <v:imagedata r:id="rId1" o:title=""/>
              </v:shape>
            </w:pict>
          </w:r>
        </w:p>
        <w:p w14:paraId="11DCF0F7" w14:textId="77777777" w:rsidR="000A14FE" w:rsidRDefault="000A14FE">
          <w:pPr>
            <w:pStyle w:val="Encabezado"/>
            <w:ind w:left="1064"/>
            <w:rPr>
              <w:noProof/>
              <w:sz w:val="16"/>
            </w:rPr>
          </w:pPr>
        </w:p>
      </w:tc>
      <w:tc>
        <w:tcPr>
          <w:tcW w:w="4961" w:type="dxa"/>
        </w:tcPr>
        <w:p w14:paraId="6414EEEC" w14:textId="77777777" w:rsidR="000A14FE" w:rsidRDefault="000A14FE">
          <w:pPr>
            <w:pStyle w:val="Encabezado"/>
            <w:spacing w:after="40" w:line="240" w:lineRule="exact"/>
            <w:ind w:left="-68"/>
            <w:rPr>
              <w:b/>
              <w:noProof/>
              <w:sz w:val="18"/>
            </w:rPr>
          </w:pPr>
        </w:p>
        <w:p w14:paraId="121EC09C" w14:textId="77777777" w:rsidR="000A14FE" w:rsidRDefault="000A14FE">
          <w:pPr>
            <w:pStyle w:val="Encabezado"/>
            <w:spacing w:after="40" w:line="240" w:lineRule="exact"/>
            <w:ind w:left="-68"/>
            <w:rPr>
              <w:b/>
              <w:noProof/>
              <w:sz w:val="18"/>
            </w:rPr>
          </w:pPr>
        </w:p>
        <w:p w14:paraId="40CFD13A" w14:textId="77777777" w:rsidR="000A14FE" w:rsidRDefault="000A14FE">
          <w:pPr>
            <w:pStyle w:val="Encabezado"/>
            <w:spacing w:after="40" w:line="240" w:lineRule="exact"/>
            <w:ind w:left="-68"/>
            <w:rPr>
              <w:b/>
              <w:noProof/>
              <w:sz w:val="18"/>
            </w:rPr>
          </w:pPr>
          <w:r>
            <w:rPr>
              <w:b/>
              <w:noProof/>
              <w:sz w:val="18"/>
            </w:rPr>
            <w:t>Diputatu Nagusiaren Saila</w:t>
          </w:r>
        </w:p>
        <w:p w14:paraId="7F9A6C84" w14:textId="77777777" w:rsidR="000A14FE" w:rsidRDefault="000A14FE">
          <w:pPr>
            <w:pStyle w:val="Encabezado"/>
            <w:spacing w:after="240" w:line="240" w:lineRule="exact"/>
            <w:ind w:left="-68"/>
            <w:rPr>
              <w:b/>
              <w:noProof/>
              <w:sz w:val="18"/>
            </w:rPr>
          </w:pPr>
          <w:r>
            <w:rPr>
              <w:b/>
              <w:noProof/>
              <w:sz w:val="18"/>
            </w:rPr>
            <w:t>Departamento del Diputado General</w:t>
          </w:r>
        </w:p>
        <w:p w14:paraId="62420AF9" w14:textId="77777777" w:rsidR="000A14FE" w:rsidRDefault="000A14FE">
          <w:pPr>
            <w:pStyle w:val="Encabezado"/>
            <w:spacing w:after="60" w:line="190" w:lineRule="exact"/>
            <w:ind w:left="-70"/>
            <w:rPr>
              <w:noProof/>
              <w:sz w:val="18"/>
            </w:rPr>
          </w:pPr>
          <w:r>
            <w:rPr>
              <w:b/>
              <w:noProof/>
              <w:sz w:val="18"/>
            </w:rPr>
            <w:t>Kontratu Errekurtsoen Foru Organo Administriboa</w:t>
          </w:r>
        </w:p>
        <w:p w14:paraId="1AABD896" w14:textId="77777777" w:rsidR="000A14FE" w:rsidRDefault="000A14FE">
          <w:pPr>
            <w:pStyle w:val="Encabezado"/>
            <w:spacing w:after="60" w:line="190" w:lineRule="exact"/>
            <w:ind w:left="-70"/>
            <w:rPr>
              <w:b/>
              <w:noProof/>
              <w:sz w:val="18"/>
            </w:rPr>
          </w:pPr>
          <w:r>
            <w:rPr>
              <w:b/>
              <w:noProof/>
              <w:sz w:val="18"/>
            </w:rPr>
            <w:t xml:space="preserve">Organo Administrativo Foral de Recursos Contractuales </w:t>
          </w:r>
        </w:p>
      </w:tc>
    </w:tr>
  </w:tbl>
  <w:p w14:paraId="2A5BE69E" w14:textId="77777777" w:rsidR="000A14FE" w:rsidRDefault="000A14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FFFFFFFF">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727869"/>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AB4BE1"/>
    <w:multiLevelType w:val="singleLevel"/>
    <w:tmpl w:val="0C0A0017"/>
    <w:lvl w:ilvl="0">
      <w:start w:val="1"/>
      <w:numFmt w:val="lowerLetter"/>
      <w:lvlText w:val="%1)"/>
      <w:lvlJc w:val="left"/>
      <w:pPr>
        <w:tabs>
          <w:tab w:val="num" w:pos="360"/>
        </w:tabs>
        <w:ind w:left="360" w:hanging="360"/>
      </w:pPr>
      <w:rPr>
        <w:rFonts w:hint="default"/>
      </w:rPr>
    </w:lvl>
  </w:abstractNum>
  <w:abstractNum w:abstractNumId="3" w15:restartNumberingAfterBreak="0">
    <w:nsid w:val="1D126A41"/>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CE92692"/>
    <w:multiLevelType w:val="hybridMultilevel"/>
    <w:tmpl w:val="12B860C4"/>
    <w:lvl w:ilvl="0" w:tplc="A7B2D74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DAE2F64"/>
    <w:multiLevelType w:val="singleLevel"/>
    <w:tmpl w:val="0C0A0017"/>
    <w:lvl w:ilvl="0">
      <w:start w:val="1"/>
      <w:numFmt w:val="lowerLetter"/>
      <w:lvlText w:val="%1)"/>
      <w:lvlJc w:val="left"/>
      <w:pPr>
        <w:tabs>
          <w:tab w:val="num" w:pos="360"/>
        </w:tabs>
        <w:ind w:left="360" w:hanging="360"/>
      </w:pPr>
      <w:rPr>
        <w:rFonts w:hint="default"/>
        <w:i w:val="0"/>
      </w:rPr>
    </w:lvl>
  </w:abstractNum>
  <w:abstractNum w:abstractNumId="6" w15:restartNumberingAfterBreak="0">
    <w:nsid w:val="2EDA23C0"/>
    <w:multiLevelType w:val="multilevel"/>
    <w:tmpl w:val="7D78DAC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3F24DE0"/>
    <w:multiLevelType w:val="singleLevel"/>
    <w:tmpl w:val="A1FA6A06"/>
    <w:lvl w:ilvl="0">
      <w:numFmt w:val="bullet"/>
      <w:lvlText w:val="-"/>
      <w:lvlJc w:val="left"/>
      <w:pPr>
        <w:tabs>
          <w:tab w:val="num" w:pos="360"/>
        </w:tabs>
        <w:ind w:left="360" w:hanging="360"/>
      </w:pPr>
      <w:rPr>
        <w:rFonts w:hint="default"/>
      </w:rPr>
    </w:lvl>
  </w:abstractNum>
  <w:abstractNum w:abstractNumId="8" w15:restartNumberingAfterBreak="0">
    <w:nsid w:val="447B63F0"/>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8221109"/>
    <w:multiLevelType w:val="singleLevel"/>
    <w:tmpl w:val="637C1540"/>
    <w:lvl w:ilvl="0">
      <w:numFmt w:val="bullet"/>
      <w:lvlText w:val="-"/>
      <w:lvlJc w:val="left"/>
      <w:pPr>
        <w:tabs>
          <w:tab w:val="num" w:pos="360"/>
        </w:tabs>
        <w:ind w:left="360" w:hanging="360"/>
      </w:pPr>
      <w:rPr>
        <w:rFonts w:hint="default"/>
      </w:rPr>
    </w:lvl>
  </w:abstractNum>
  <w:abstractNum w:abstractNumId="10" w15:restartNumberingAfterBreak="0">
    <w:nsid w:val="4B750CCB"/>
    <w:multiLevelType w:val="singleLevel"/>
    <w:tmpl w:val="0C0A000F"/>
    <w:lvl w:ilvl="0">
      <w:start w:val="1"/>
      <w:numFmt w:val="decimal"/>
      <w:lvlText w:val="%1."/>
      <w:lvlJc w:val="left"/>
      <w:pPr>
        <w:tabs>
          <w:tab w:val="num" w:pos="360"/>
        </w:tabs>
        <w:ind w:left="360" w:hanging="360"/>
      </w:pPr>
      <w:rPr>
        <w:rFonts w:hint="default"/>
      </w:rPr>
    </w:lvl>
  </w:abstractNum>
  <w:abstractNum w:abstractNumId="11" w15:restartNumberingAfterBreak="0">
    <w:nsid w:val="4D6D07E8"/>
    <w:multiLevelType w:val="singleLevel"/>
    <w:tmpl w:val="0C0A0017"/>
    <w:lvl w:ilvl="0">
      <w:start w:val="1"/>
      <w:numFmt w:val="lowerLetter"/>
      <w:lvlText w:val="%1)"/>
      <w:lvlJc w:val="left"/>
      <w:pPr>
        <w:tabs>
          <w:tab w:val="num" w:pos="360"/>
        </w:tabs>
        <w:ind w:left="360" w:hanging="360"/>
      </w:pPr>
      <w:rPr>
        <w:rFonts w:hint="default"/>
      </w:rPr>
    </w:lvl>
  </w:abstractNum>
  <w:abstractNum w:abstractNumId="12" w15:restartNumberingAfterBreak="0">
    <w:nsid w:val="5F643C8B"/>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3C253CE"/>
    <w:multiLevelType w:val="singleLevel"/>
    <w:tmpl w:val="0C0A000F"/>
    <w:lvl w:ilvl="0">
      <w:start w:val="1"/>
      <w:numFmt w:val="decimal"/>
      <w:lvlText w:val="%1."/>
      <w:lvlJc w:val="left"/>
      <w:pPr>
        <w:tabs>
          <w:tab w:val="num" w:pos="360"/>
        </w:tabs>
        <w:ind w:left="360" w:hanging="360"/>
      </w:pPr>
      <w:rPr>
        <w:rFonts w:hint="default"/>
      </w:rPr>
    </w:lvl>
  </w:abstractNum>
  <w:abstractNum w:abstractNumId="14" w15:restartNumberingAfterBreak="0">
    <w:nsid w:val="69663DF0"/>
    <w:multiLevelType w:val="hybridMultilevel"/>
    <w:tmpl w:val="E1A66280"/>
    <w:lvl w:ilvl="0" w:tplc="A7B2D74C">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15:restartNumberingAfterBreak="0">
    <w:nsid w:val="6CF95CDF"/>
    <w:multiLevelType w:val="singleLevel"/>
    <w:tmpl w:val="0C0A0017"/>
    <w:lvl w:ilvl="0">
      <w:start w:val="1"/>
      <w:numFmt w:val="lowerLetter"/>
      <w:lvlText w:val="%1)"/>
      <w:lvlJc w:val="left"/>
      <w:pPr>
        <w:tabs>
          <w:tab w:val="num" w:pos="360"/>
        </w:tabs>
        <w:ind w:left="360" w:hanging="360"/>
      </w:pPr>
      <w:rPr>
        <w:rFonts w:hint="default"/>
      </w:rPr>
    </w:lvl>
  </w:abstractNum>
  <w:abstractNum w:abstractNumId="16" w15:restartNumberingAfterBreak="0">
    <w:nsid w:val="6D85505A"/>
    <w:multiLevelType w:val="singleLevel"/>
    <w:tmpl w:val="0C0A0017"/>
    <w:lvl w:ilvl="0">
      <w:start w:val="1"/>
      <w:numFmt w:val="lowerLetter"/>
      <w:lvlText w:val="%1)"/>
      <w:lvlJc w:val="left"/>
      <w:pPr>
        <w:tabs>
          <w:tab w:val="num" w:pos="360"/>
        </w:tabs>
        <w:ind w:left="360" w:hanging="360"/>
      </w:pPr>
      <w:rPr>
        <w:rFonts w:hint="default"/>
      </w:rPr>
    </w:lvl>
  </w:abstractNum>
  <w:abstractNum w:abstractNumId="17" w15:restartNumberingAfterBreak="0">
    <w:nsid w:val="714B26C4"/>
    <w:multiLevelType w:val="singleLevel"/>
    <w:tmpl w:val="0C0A000F"/>
    <w:lvl w:ilvl="0">
      <w:start w:val="1"/>
      <w:numFmt w:val="decimal"/>
      <w:lvlText w:val="%1."/>
      <w:lvlJc w:val="left"/>
      <w:pPr>
        <w:tabs>
          <w:tab w:val="num" w:pos="360"/>
        </w:tabs>
        <w:ind w:left="360" w:hanging="360"/>
      </w:pPr>
    </w:lvl>
  </w:abstractNum>
  <w:abstractNum w:abstractNumId="18" w15:restartNumberingAfterBreak="0">
    <w:nsid w:val="736D603E"/>
    <w:multiLevelType w:val="singleLevel"/>
    <w:tmpl w:val="FB9053E6"/>
    <w:lvl w:ilvl="0">
      <w:numFmt w:val="bullet"/>
      <w:lvlText w:val=""/>
      <w:lvlJc w:val="left"/>
      <w:pPr>
        <w:tabs>
          <w:tab w:val="num" w:pos="360"/>
        </w:tabs>
        <w:ind w:left="360" w:hanging="360"/>
      </w:pPr>
      <w:rPr>
        <w:rFonts w:ascii="Wingdings" w:hAnsi="Wingdings" w:hint="default"/>
      </w:rPr>
    </w:lvl>
  </w:abstractNum>
  <w:abstractNum w:abstractNumId="19" w15:restartNumberingAfterBreak="0">
    <w:nsid w:val="74D903FC"/>
    <w:multiLevelType w:val="hybridMultilevel"/>
    <w:tmpl w:val="44C234A0"/>
    <w:lvl w:ilvl="0" w:tplc="71C87364">
      <w:numFmt w:val="bullet"/>
      <w:lvlText w:val="·"/>
      <w:lvlJc w:val="left"/>
      <w:pPr>
        <w:ind w:left="1068" w:hanging="360"/>
      </w:pPr>
      <w:rPr>
        <w:rFonts w:ascii="Times New Roman" w:eastAsia="Times New Roman"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465468412">
    <w:abstractNumId w:val="15"/>
  </w:num>
  <w:num w:numId="2" w16cid:durableId="1269922091">
    <w:abstractNumId w:val="13"/>
  </w:num>
  <w:num w:numId="3" w16cid:durableId="800466374">
    <w:abstractNumId w:val="10"/>
  </w:num>
  <w:num w:numId="4" w16cid:durableId="1213228305">
    <w:abstractNumId w:val="2"/>
  </w:num>
  <w:num w:numId="5" w16cid:durableId="419528198">
    <w:abstractNumId w:val="5"/>
  </w:num>
  <w:num w:numId="6" w16cid:durableId="29261810">
    <w:abstractNumId w:val="18"/>
  </w:num>
  <w:num w:numId="7" w16cid:durableId="1246303163">
    <w:abstractNumId w:val="11"/>
  </w:num>
  <w:num w:numId="8" w16cid:durableId="799231565">
    <w:abstractNumId w:val="6"/>
  </w:num>
  <w:num w:numId="9" w16cid:durableId="632909319">
    <w:abstractNumId w:val="16"/>
  </w:num>
  <w:num w:numId="10" w16cid:durableId="1171408014">
    <w:abstractNumId w:val="9"/>
  </w:num>
  <w:num w:numId="11" w16cid:durableId="855119770">
    <w:abstractNumId w:val="0"/>
  </w:num>
  <w:num w:numId="12" w16cid:durableId="665520250">
    <w:abstractNumId w:val="7"/>
  </w:num>
  <w:num w:numId="13" w16cid:durableId="1769035803">
    <w:abstractNumId w:val="8"/>
  </w:num>
  <w:num w:numId="14" w16cid:durableId="1277756491">
    <w:abstractNumId w:val="3"/>
  </w:num>
  <w:num w:numId="15" w16cid:durableId="1476219162">
    <w:abstractNumId w:val="17"/>
  </w:num>
  <w:num w:numId="16" w16cid:durableId="412238740">
    <w:abstractNumId w:val="12"/>
  </w:num>
  <w:num w:numId="17" w16cid:durableId="1010377271">
    <w:abstractNumId w:val="1"/>
  </w:num>
  <w:num w:numId="18" w16cid:durableId="1576740353">
    <w:abstractNumId w:val="4"/>
  </w:num>
  <w:num w:numId="19" w16cid:durableId="590047065">
    <w:abstractNumId w:val="14"/>
  </w:num>
  <w:num w:numId="20" w16cid:durableId="2225678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717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36D09"/>
    <w:rsid w:val="00001586"/>
    <w:rsid w:val="00003588"/>
    <w:rsid w:val="00020C36"/>
    <w:rsid w:val="00026D62"/>
    <w:rsid w:val="00055EE7"/>
    <w:rsid w:val="0006707A"/>
    <w:rsid w:val="00071E04"/>
    <w:rsid w:val="00074605"/>
    <w:rsid w:val="00075441"/>
    <w:rsid w:val="0008105F"/>
    <w:rsid w:val="000878CC"/>
    <w:rsid w:val="000A14FE"/>
    <w:rsid w:val="000A20E7"/>
    <w:rsid w:val="00102A21"/>
    <w:rsid w:val="00112014"/>
    <w:rsid w:val="00131AB7"/>
    <w:rsid w:val="0015091C"/>
    <w:rsid w:val="00173641"/>
    <w:rsid w:val="00174A62"/>
    <w:rsid w:val="001803B3"/>
    <w:rsid w:val="00186D2A"/>
    <w:rsid w:val="00187C98"/>
    <w:rsid w:val="00191E7D"/>
    <w:rsid w:val="001A4C07"/>
    <w:rsid w:val="001C5FC1"/>
    <w:rsid w:val="001D438E"/>
    <w:rsid w:val="001D7331"/>
    <w:rsid w:val="001F38BF"/>
    <w:rsid w:val="001F7487"/>
    <w:rsid w:val="00200F29"/>
    <w:rsid w:val="00200F2B"/>
    <w:rsid w:val="00236D09"/>
    <w:rsid w:val="002401EA"/>
    <w:rsid w:val="00254EC7"/>
    <w:rsid w:val="00257FA4"/>
    <w:rsid w:val="002626FC"/>
    <w:rsid w:val="002631C7"/>
    <w:rsid w:val="00263EE5"/>
    <w:rsid w:val="00267099"/>
    <w:rsid w:val="0027091C"/>
    <w:rsid w:val="002A7B84"/>
    <w:rsid w:val="002B14B7"/>
    <w:rsid w:val="002B40B8"/>
    <w:rsid w:val="002C6C8E"/>
    <w:rsid w:val="002D68DC"/>
    <w:rsid w:val="002D73DA"/>
    <w:rsid w:val="002E15C2"/>
    <w:rsid w:val="002E51B1"/>
    <w:rsid w:val="002F2AA3"/>
    <w:rsid w:val="00304F0C"/>
    <w:rsid w:val="00307D78"/>
    <w:rsid w:val="00320AD1"/>
    <w:rsid w:val="0033708E"/>
    <w:rsid w:val="003428E7"/>
    <w:rsid w:val="00345B6D"/>
    <w:rsid w:val="0035045B"/>
    <w:rsid w:val="00364A23"/>
    <w:rsid w:val="00382DB0"/>
    <w:rsid w:val="0039589F"/>
    <w:rsid w:val="003A14AE"/>
    <w:rsid w:val="003A3B91"/>
    <w:rsid w:val="003A414D"/>
    <w:rsid w:val="003C1D7C"/>
    <w:rsid w:val="003C5A9A"/>
    <w:rsid w:val="003C7FE1"/>
    <w:rsid w:val="003D1DCB"/>
    <w:rsid w:val="003D4929"/>
    <w:rsid w:val="003D685C"/>
    <w:rsid w:val="003E3E80"/>
    <w:rsid w:val="004033D4"/>
    <w:rsid w:val="00411334"/>
    <w:rsid w:val="00412DE7"/>
    <w:rsid w:val="0043064C"/>
    <w:rsid w:val="00435D81"/>
    <w:rsid w:val="00443B26"/>
    <w:rsid w:val="00444F2C"/>
    <w:rsid w:val="00451CCD"/>
    <w:rsid w:val="00472D83"/>
    <w:rsid w:val="00472E81"/>
    <w:rsid w:val="00495221"/>
    <w:rsid w:val="004A0A25"/>
    <w:rsid w:val="004C11A1"/>
    <w:rsid w:val="004C30C3"/>
    <w:rsid w:val="004D3822"/>
    <w:rsid w:val="004D5137"/>
    <w:rsid w:val="004E4F9B"/>
    <w:rsid w:val="004E6CA5"/>
    <w:rsid w:val="004F047F"/>
    <w:rsid w:val="004F7F6A"/>
    <w:rsid w:val="00503A0A"/>
    <w:rsid w:val="00517EFE"/>
    <w:rsid w:val="005238CE"/>
    <w:rsid w:val="00534346"/>
    <w:rsid w:val="0053771E"/>
    <w:rsid w:val="00537D60"/>
    <w:rsid w:val="0054081E"/>
    <w:rsid w:val="005528CE"/>
    <w:rsid w:val="005661F7"/>
    <w:rsid w:val="00567B1C"/>
    <w:rsid w:val="005754C1"/>
    <w:rsid w:val="0059329A"/>
    <w:rsid w:val="00595C68"/>
    <w:rsid w:val="00596174"/>
    <w:rsid w:val="0059762E"/>
    <w:rsid w:val="005A4D83"/>
    <w:rsid w:val="005B4672"/>
    <w:rsid w:val="005C3CAE"/>
    <w:rsid w:val="005C5DFE"/>
    <w:rsid w:val="005E26A6"/>
    <w:rsid w:val="005E3FC7"/>
    <w:rsid w:val="005F76E8"/>
    <w:rsid w:val="00602E6F"/>
    <w:rsid w:val="00625AED"/>
    <w:rsid w:val="00645866"/>
    <w:rsid w:val="0068308A"/>
    <w:rsid w:val="006A3676"/>
    <w:rsid w:val="006A37FB"/>
    <w:rsid w:val="006C1519"/>
    <w:rsid w:val="006D4C8A"/>
    <w:rsid w:val="006D6078"/>
    <w:rsid w:val="006F0796"/>
    <w:rsid w:val="006F435E"/>
    <w:rsid w:val="00700397"/>
    <w:rsid w:val="00721E13"/>
    <w:rsid w:val="00724CB3"/>
    <w:rsid w:val="0072601F"/>
    <w:rsid w:val="007328F9"/>
    <w:rsid w:val="00745A90"/>
    <w:rsid w:val="00750DA7"/>
    <w:rsid w:val="007600FB"/>
    <w:rsid w:val="00760A74"/>
    <w:rsid w:val="007A530C"/>
    <w:rsid w:val="007B7E9D"/>
    <w:rsid w:val="00801BC8"/>
    <w:rsid w:val="0080451A"/>
    <w:rsid w:val="00810B98"/>
    <w:rsid w:val="008129D3"/>
    <w:rsid w:val="008156C0"/>
    <w:rsid w:val="00822F42"/>
    <w:rsid w:val="008307C2"/>
    <w:rsid w:val="008314A3"/>
    <w:rsid w:val="008422EA"/>
    <w:rsid w:val="008522DD"/>
    <w:rsid w:val="0089229B"/>
    <w:rsid w:val="008940C7"/>
    <w:rsid w:val="008A4E16"/>
    <w:rsid w:val="008C049B"/>
    <w:rsid w:val="008D6A2D"/>
    <w:rsid w:val="008E66A1"/>
    <w:rsid w:val="008F0ADC"/>
    <w:rsid w:val="009027EB"/>
    <w:rsid w:val="0092572C"/>
    <w:rsid w:val="0093665C"/>
    <w:rsid w:val="00960F06"/>
    <w:rsid w:val="00972084"/>
    <w:rsid w:val="00972ADD"/>
    <w:rsid w:val="00972BB3"/>
    <w:rsid w:val="0097309B"/>
    <w:rsid w:val="009732E6"/>
    <w:rsid w:val="00980120"/>
    <w:rsid w:val="009868B3"/>
    <w:rsid w:val="00997F66"/>
    <w:rsid w:val="009B70FF"/>
    <w:rsid w:val="009C7699"/>
    <w:rsid w:val="009D00F2"/>
    <w:rsid w:val="009D1B5C"/>
    <w:rsid w:val="009D65EE"/>
    <w:rsid w:val="009F05F1"/>
    <w:rsid w:val="00A037D5"/>
    <w:rsid w:val="00A060CB"/>
    <w:rsid w:val="00A23EAA"/>
    <w:rsid w:val="00A33E6D"/>
    <w:rsid w:val="00A45C9F"/>
    <w:rsid w:val="00A64238"/>
    <w:rsid w:val="00A6544D"/>
    <w:rsid w:val="00A66CA6"/>
    <w:rsid w:val="00A73743"/>
    <w:rsid w:val="00A7642F"/>
    <w:rsid w:val="00A840B7"/>
    <w:rsid w:val="00A84BE7"/>
    <w:rsid w:val="00A8518F"/>
    <w:rsid w:val="00A860F0"/>
    <w:rsid w:val="00A86F1E"/>
    <w:rsid w:val="00A95300"/>
    <w:rsid w:val="00A97D0E"/>
    <w:rsid w:val="00AB50E2"/>
    <w:rsid w:val="00AC5DB0"/>
    <w:rsid w:val="00AE47C6"/>
    <w:rsid w:val="00B000A7"/>
    <w:rsid w:val="00B14609"/>
    <w:rsid w:val="00B176A7"/>
    <w:rsid w:val="00B21DBC"/>
    <w:rsid w:val="00B26B46"/>
    <w:rsid w:val="00B44700"/>
    <w:rsid w:val="00B50EBE"/>
    <w:rsid w:val="00B65C98"/>
    <w:rsid w:val="00B75D74"/>
    <w:rsid w:val="00B83425"/>
    <w:rsid w:val="00BA32E0"/>
    <w:rsid w:val="00BA6301"/>
    <w:rsid w:val="00BB2478"/>
    <w:rsid w:val="00BC4114"/>
    <w:rsid w:val="00C329B5"/>
    <w:rsid w:val="00C46CDC"/>
    <w:rsid w:val="00C47721"/>
    <w:rsid w:val="00C50DCE"/>
    <w:rsid w:val="00C5286F"/>
    <w:rsid w:val="00C541A3"/>
    <w:rsid w:val="00C547D9"/>
    <w:rsid w:val="00C865B4"/>
    <w:rsid w:val="00CA1C13"/>
    <w:rsid w:val="00CB0C4C"/>
    <w:rsid w:val="00CB1A27"/>
    <w:rsid w:val="00CD0DA2"/>
    <w:rsid w:val="00CD6071"/>
    <w:rsid w:val="00CD7562"/>
    <w:rsid w:val="00CE0E76"/>
    <w:rsid w:val="00CE6A9E"/>
    <w:rsid w:val="00D07706"/>
    <w:rsid w:val="00D108D2"/>
    <w:rsid w:val="00D16A48"/>
    <w:rsid w:val="00D219EB"/>
    <w:rsid w:val="00D42D6D"/>
    <w:rsid w:val="00D653B5"/>
    <w:rsid w:val="00D818C4"/>
    <w:rsid w:val="00D82B17"/>
    <w:rsid w:val="00DA56FC"/>
    <w:rsid w:val="00DB1A65"/>
    <w:rsid w:val="00DE3961"/>
    <w:rsid w:val="00DE485B"/>
    <w:rsid w:val="00DE751B"/>
    <w:rsid w:val="00DF3675"/>
    <w:rsid w:val="00E04C3D"/>
    <w:rsid w:val="00E05E72"/>
    <w:rsid w:val="00E16D4D"/>
    <w:rsid w:val="00E214DC"/>
    <w:rsid w:val="00E338F6"/>
    <w:rsid w:val="00E53549"/>
    <w:rsid w:val="00E54088"/>
    <w:rsid w:val="00E813C9"/>
    <w:rsid w:val="00E9379A"/>
    <w:rsid w:val="00E95CFC"/>
    <w:rsid w:val="00EB323C"/>
    <w:rsid w:val="00ED39A8"/>
    <w:rsid w:val="00F03FCF"/>
    <w:rsid w:val="00F10DF3"/>
    <w:rsid w:val="00F21839"/>
    <w:rsid w:val="00F26F16"/>
    <w:rsid w:val="00F45840"/>
    <w:rsid w:val="00F5511A"/>
    <w:rsid w:val="00F57C4C"/>
    <w:rsid w:val="00F618A7"/>
    <w:rsid w:val="00F622B2"/>
    <w:rsid w:val="00F636AA"/>
    <w:rsid w:val="00F73C80"/>
    <w:rsid w:val="00F7479B"/>
    <w:rsid w:val="00F7551B"/>
    <w:rsid w:val="00F90984"/>
    <w:rsid w:val="00F95EC5"/>
    <w:rsid w:val="00F965D8"/>
    <w:rsid w:val="00FA4E90"/>
    <w:rsid w:val="00FB7A57"/>
    <w:rsid w:val="00FD59B4"/>
    <w:rsid w:val="00FE0337"/>
    <w:rsid w:val="00FE432D"/>
    <w:rsid w:val="00FE5EB2"/>
    <w:rsid w:val="00FE6F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1"/>
    <o:shapelayout v:ext="edit">
      <o:idmap v:ext="edit" data="1"/>
    </o:shapelayout>
  </w:shapeDefaults>
  <w:decimalSymbol w:val=","/>
  <w:listSeparator w:val=";"/>
  <w14:docId w14:val="7E659710"/>
  <w15:chartTrackingRefBased/>
  <w15:docId w15:val="{03F0D8BC-6765-4109-82AB-08B28BF3B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outlineLvl w:val="0"/>
    </w:pPr>
    <w:rPr>
      <w:rFonts w:ascii="Arial" w:hAnsi="Arial"/>
      <w:b/>
      <w:sz w:val="24"/>
      <w:u w:val="single"/>
      <w:lang w:val="es-ES_tradnl"/>
    </w:rPr>
  </w:style>
  <w:style w:type="paragraph" w:styleId="Ttulo2">
    <w:name w:val="heading 2"/>
    <w:basedOn w:val="Normal"/>
    <w:next w:val="Normal"/>
    <w:qFormat/>
    <w:pPr>
      <w:keepNext/>
      <w:spacing w:before="80"/>
      <w:jc w:val="both"/>
      <w:outlineLvl w:val="1"/>
    </w:pPr>
    <w:rPr>
      <w:rFonts w:ascii="Arial" w:hAnsi="Arial"/>
      <w:b/>
      <w:sz w:val="22"/>
      <w:lang w:val="es-ES_tradnl"/>
    </w:rPr>
  </w:style>
  <w:style w:type="paragraph" w:styleId="Ttulo3">
    <w:name w:val="heading 3"/>
    <w:basedOn w:val="Normal"/>
    <w:next w:val="Normal"/>
    <w:qFormat/>
    <w:pPr>
      <w:keepNext/>
      <w:jc w:val="both"/>
      <w:outlineLvl w:val="2"/>
    </w:pPr>
    <w:rPr>
      <w:b/>
      <w:sz w:val="24"/>
    </w:rPr>
  </w:style>
  <w:style w:type="paragraph" w:styleId="Ttulo4">
    <w:name w:val="heading 4"/>
    <w:basedOn w:val="Normal"/>
    <w:next w:val="Normal"/>
    <w:qFormat/>
    <w:pPr>
      <w:keepNex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252"/>
        <w:tab w:val="right" w:pos="8504"/>
      </w:tabs>
    </w:pPr>
  </w:style>
  <w:style w:type="character" w:styleId="Nmerodepgina">
    <w:name w:val="page number"/>
    <w:basedOn w:val="Fuentedeprrafopredeter"/>
    <w:semiHidden/>
  </w:style>
  <w:style w:type="paragraph" w:styleId="Textoindependiente">
    <w:name w:val="Body Text"/>
    <w:basedOn w:val="Normal"/>
    <w:link w:val="TextoindependienteCar"/>
    <w:semiHidden/>
    <w:pPr>
      <w:tabs>
        <w:tab w:val="left" w:pos="851"/>
      </w:tabs>
      <w:spacing w:after="120"/>
      <w:jc w:val="both"/>
    </w:pPr>
    <w:rPr>
      <w:rFonts w:ascii="Arial" w:hAnsi="Arial"/>
      <w:sz w:val="26"/>
      <w:lang w:val="es-ES_tradnl"/>
    </w:rPr>
  </w:style>
  <w:style w:type="paragraph" w:customStyle="1" w:styleId="Prrafodelista1">
    <w:name w:val="Párrafo de lista1"/>
    <w:basedOn w:val="Normal"/>
    <w:pPr>
      <w:ind w:left="720"/>
      <w:jc w:val="both"/>
    </w:pPr>
    <w:rPr>
      <w:rFonts w:ascii="Arial" w:hAnsi="Arial"/>
      <w:sz w:val="22"/>
      <w:lang w:val="es-ES_tradnl"/>
    </w:rPr>
  </w:style>
  <w:style w:type="paragraph" w:styleId="Textoindependiente3">
    <w:name w:val="Body Text 3"/>
    <w:basedOn w:val="Normal"/>
    <w:semiHidden/>
    <w:pPr>
      <w:spacing w:before="80"/>
      <w:jc w:val="both"/>
    </w:pPr>
    <w:rPr>
      <w:rFonts w:ascii="Arial" w:hAnsi="Arial"/>
      <w:sz w:val="24"/>
      <w:lang w:val="es-ES_tradnl"/>
    </w:rPr>
  </w:style>
  <w:style w:type="paragraph" w:styleId="Encabezado">
    <w:name w:val="header"/>
    <w:basedOn w:val="Normal"/>
    <w:semiHidden/>
    <w:pPr>
      <w:tabs>
        <w:tab w:val="center" w:pos="4819"/>
        <w:tab w:val="right" w:pos="9071"/>
      </w:tabs>
    </w:pPr>
    <w:rPr>
      <w:rFonts w:ascii="Arial" w:hAnsi="Arial"/>
      <w:sz w:val="26"/>
      <w:lang w:val="es-ES_tradnl"/>
    </w:rPr>
  </w:style>
  <w:style w:type="paragraph" w:styleId="Textoindependiente2">
    <w:name w:val="Body Text 2"/>
    <w:basedOn w:val="Normal"/>
    <w:semiHidden/>
    <w:pPr>
      <w:jc w:val="both"/>
    </w:pPr>
    <w:rPr>
      <w:i/>
      <w:sz w:val="24"/>
    </w:rPr>
  </w:style>
  <w:style w:type="paragraph" w:styleId="Textodeglobo">
    <w:name w:val="Balloon Text"/>
    <w:basedOn w:val="Normal"/>
    <w:semiHidden/>
    <w:unhideWhenUsed/>
    <w:rPr>
      <w:rFonts w:ascii="Lucida Grande" w:hAnsi="Lucida Grande" w:cs="Wingdings"/>
      <w:sz w:val="18"/>
      <w:szCs w:val="18"/>
    </w:rPr>
  </w:style>
  <w:style w:type="character" w:customStyle="1" w:styleId="TextodegloboCar">
    <w:name w:val="Texto de globo Car"/>
    <w:semiHidden/>
    <w:rPr>
      <w:rFonts w:ascii="Lucida Grande" w:hAnsi="Lucida Grande" w:cs="Wingdings"/>
      <w:noProof w:val="0"/>
      <w:sz w:val="18"/>
      <w:szCs w:val="18"/>
      <w:lang w:val="es-ES"/>
    </w:rPr>
  </w:style>
  <w:style w:type="paragraph" w:customStyle="1" w:styleId="Default">
    <w:name w:val="Default"/>
    <w:rPr>
      <w:rFonts w:ascii="Arial" w:hAnsi="Arial"/>
      <w:snapToGrid w:val="0"/>
      <w:color w:val="000000"/>
      <w:sz w:val="24"/>
    </w:rPr>
  </w:style>
  <w:style w:type="paragraph" w:styleId="Sangradetextonormal">
    <w:name w:val="Body Text Indent"/>
    <w:basedOn w:val="Normal"/>
    <w:semiHidden/>
    <w:pPr>
      <w:spacing w:after="240"/>
      <w:ind w:left="708"/>
      <w:jc w:val="both"/>
    </w:pPr>
    <w:rPr>
      <w:sz w:val="22"/>
    </w:rPr>
  </w:style>
  <w:style w:type="character" w:styleId="Hipervnculo">
    <w:name w:val="Hyperlink"/>
    <w:semiHidden/>
    <w:rPr>
      <w:color w:val="0000FF"/>
      <w:u w:val="single"/>
    </w:rPr>
  </w:style>
  <w:style w:type="character" w:customStyle="1" w:styleId="TextoindependienteCar">
    <w:name w:val="Texto independiente Car"/>
    <w:link w:val="Textoindependiente"/>
    <w:semiHidden/>
    <w:rsid w:val="005528CE"/>
    <w:rPr>
      <w:rFonts w:ascii="Arial" w:hAnsi="Arial"/>
      <w:sz w:val="2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845882">
      <w:bodyDiv w:val="1"/>
      <w:marLeft w:val="0"/>
      <w:marRight w:val="0"/>
      <w:marTop w:val="0"/>
      <w:marBottom w:val="0"/>
      <w:divBdr>
        <w:top w:val="none" w:sz="0" w:space="0" w:color="auto"/>
        <w:left w:val="none" w:sz="0" w:space="0" w:color="auto"/>
        <w:bottom w:val="none" w:sz="0" w:space="0" w:color="auto"/>
        <w:right w:val="none" w:sz="0" w:space="0" w:color="auto"/>
      </w:divBdr>
    </w:div>
    <w:div w:id="162565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6AC2C-AEDD-4B0B-8551-0C773F02F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1556</Words>
  <Characters>8545</Characters>
  <Application>Microsoft Office Word</Application>
  <DocSecurity>0</DocSecurity>
  <Lines>144</Lines>
  <Paragraphs>35</Paragraphs>
  <ScaleCrop>false</ScaleCrop>
  <HeadingPairs>
    <vt:vector size="2" baseType="variant">
      <vt:variant>
        <vt:lpstr>Título</vt:lpstr>
      </vt:variant>
      <vt:variant>
        <vt:i4>1</vt:i4>
      </vt:variant>
    </vt:vector>
  </HeadingPairs>
  <TitlesOfParts>
    <vt:vector size="1" baseType="lpstr">
      <vt:lpstr>Erref / Ref: Recurso Especial TRACASA</vt:lpstr>
    </vt:vector>
  </TitlesOfParts>
  <Company>DFA</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Erref / Ref: Recurso Especial TRACASA</dc:title>
  <dc:subject/>
  <dc:creator>OPITURRIAG_MJES</dc:creator>
  <cp:keywords/>
  <cp:lastModifiedBy>Achotegui Martinez de Arenaza, Fernando</cp:lastModifiedBy>
  <cp:revision>3</cp:revision>
  <cp:lastPrinted>2025-08-07T07:05:00Z</cp:lastPrinted>
  <dcterms:created xsi:type="dcterms:W3CDTF">2025-08-07T07:04:00Z</dcterms:created>
  <dcterms:modified xsi:type="dcterms:W3CDTF">2025-08-07T07:05:00Z</dcterms:modified>
</cp:coreProperties>
</file>