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FB069B" w:rsidRPr="0005126E" w14:paraId="3EB17955" w14:textId="77777777" w:rsidTr="006F71AA">
        <w:tc>
          <w:tcPr>
            <w:tcW w:w="4820" w:type="dxa"/>
          </w:tcPr>
          <w:p w14:paraId="5BD7E2D5" w14:textId="26344BC2" w:rsidR="00A07254" w:rsidRPr="0005126E" w:rsidRDefault="00FB069B" w:rsidP="00A07254">
            <w:pPr>
              <w:pStyle w:val="Ttulo1"/>
              <w:spacing w:before="0" w:after="240"/>
              <w:jc w:val="both"/>
              <w:rPr>
                <w:rFonts w:ascii="Times New Roman" w:hAnsi="Times New Roman"/>
                <w:b w:val="0"/>
                <w:bCs/>
                <w:sz w:val="22"/>
                <w:szCs w:val="22"/>
                <w:u w:val="none"/>
              </w:rPr>
            </w:pPr>
            <w:proofErr w:type="spellStart"/>
            <w:r w:rsidRPr="001616F3">
              <w:rPr>
                <w:rFonts w:ascii="Times New Roman" w:hAnsi="Times New Roman"/>
                <w:sz w:val="22"/>
                <w:szCs w:val="22"/>
                <w:u w:val="none"/>
              </w:rPr>
              <w:t>Erref</w:t>
            </w:r>
            <w:proofErr w:type="spellEnd"/>
            <w:r w:rsidRPr="001616F3">
              <w:rPr>
                <w:rFonts w:ascii="Times New Roman" w:hAnsi="Times New Roman"/>
                <w:sz w:val="22"/>
                <w:szCs w:val="22"/>
                <w:u w:val="none"/>
              </w:rPr>
              <w:t>/</w:t>
            </w:r>
            <w:proofErr w:type="spellStart"/>
            <w:r w:rsidRPr="001616F3">
              <w:rPr>
                <w:rFonts w:ascii="Times New Roman" w:hAnsi="Times New Roman"/>
                <w:sz w:val="22"/>
                <w:szCs w:val="22"/>
                <w:u w:val="none"/>
              </w:rPr>
              <w:t>Ref</w:t>
            </w:r>
            <w:proofErr w:type="spellEnd"/>
            <w:r w:rsidRPr="001616F3">
              <w:rPr>
                <w:rFonts w:ascii="Times New Roman" w:hAnsi="Times New Roman"/>
                <w:sz w:val="22"/>
                <w:szCs w:val="22"/>
                <w:u w:val="none"/>
              </w:rPr>
              <w:t>:</w:t>
            </w:r>
            <w:r w:rsidRPr="0005126E">
              <w:rPr>
                <w:rFonts w:ascii="Times New Roman" w:hAnsi="Times New Roman"/>
                <w:b w:val="0"/>
                <w:bCs/>
                <w:sz w:val="22"/>
                <w:szCs w:val="22"/>
                <w:u w:val="none"/>
              </w:rPr>
              <w:t xml:space="preserve"> </w:t>
            </w:r>
            <w:r w:rsidR="007E1FC6" w:rsidRPr="007E1FC6">
              <w:rPr>
                <w:rFonts w:ascii="Times New Roman" w:hAnsi="Times New Roman"/>
                <w:b w:val="0"/>
                <w:bCs/>
                <w:sz w:val="22"/>
                <w:szCs w:val="22"/>
                <w:u w:val="none"/>
              </w:rPr>
              <w:t>Recurso</w:t>
            </w:r>
            <w:r w:rsidR="0005126E">
              <w:rPr>
                <w:rFonts w:ascii="Times New Roman" w:hAnsi="Times New Roman"/>
                <w:b w:val="0"/>
                <w:bCs/>
                <w:sz w:val="22"/>
                <w:szCs w:val="22"/>
                <w:u w:val="none"/>
              </w:rPr>
              <w:t>s</w:t>
            </w:r>
            <w:r w:rsidR="007E1FC6" w:rsidRPr="007E1FC6">
              <w:rPr>
                <w:rFonts w:ascii="Times New Roman" w:hAnsi="Times New Roman"/>
                <w:b w:val="0"/>
                <w:bCs/>
                <w:sz w:val="22"/>
                <w:szCs w:val="22"/>
                <w:u w:val="none"/>
              </w:rPr>
              <w:t xml:space="preserve"> Especial</w:t>
            </w:r>
            <w:r w:rsidR="0005126E">
              <w:rPr>
                <w:rFonts w:ascii="Times New Roman" w:hAnsi="Times New Roman"/>
                <w:b w:val="0"/>
                <w:bCs/>
                <w:sz w:val="22"/>
                <w:szCs w:val="22"/>
                <w:u w:val="none"/>
              </w:rPr>
              <w:t>es</w:t>
            </w:r>
            <w:r w:rsidR="007E1FC6" w:rsidRPr="007E1FC6">
              <w:rPr>
                <w:rFonts w:ascii="Times New Roman" w:hAnsi="Times New Roman"/>
                <w:b w:val="0"/>
                <w:bCs/>
                <w:sz w:val="22"/>
                <w:szCs w:val="22"/>
                <w:u w:val="none"/>
              </w:rPr>
              <w:t xml:space="preserve"> de </w:t>
            </w:r>
            <w:r w:rsidR="0058425E" w:rsidRPr="0058425E">
              <w:rPr>
                <w:rFonts w:ascii="Times New Roman" w:hAnsi="Times New Roman"/>
                <w:b w:val="0"/>
                <w:bCs/>
                <w:sz w:val="22"/>
                <w:szCs w:val="22"/>
                <w:u w:val="none"/>
              </w:rPr>
              <w:t xml:space="preserve">LANGILE ABERTZALEEN BATZORDEAK </w:t>
            </w:r>
            <w:r w:rsidR="007E1FC6" w:rsidRPr="007E1FC6">
              <w:rPr>
                <w:rFonts w:ascii="Times New Roman" w:hAnsi="Times New Roman"/>
                <w:b w:val="0"/>
                <w:bCs/>
                <w:sz w:val="22"/>
                <w:szCs w:val="22"/>
                <w:u w:val="none"/>
              </w:rPr>
              <w:t xml:space="preserve">contra </w:t>
            </w:r>
            <w:r w:rsidR="0058425E">
              <w:rPr>
                <w:rFonts w:ascii="Times New Roman" w:hAnsi="Times New Roman"/>
                <w:b w:val="0"/>
                <w:sz w:val="22"/>
                <w:u w:val="none"/>
              </w:rPr>
              <w:t xml:space="preserve">los </w:t>
            </w:r>
            <w:r w:rsidR="0058425E" w:rsidRPr="0003118C">
              <w:rPr>
                <w:rFonts w:ascii="Times New Roman" w:hAnsi="Times New Roman"/>
                <w:b w:val="0"/>
                <w:sz w:val="22"/>
                <w:u w:val="none"/>
              </w:rPr>
              <w:t xml:space="preserve">pliegos de condiciones para la licitación del </w:t>
            </w:r>
            <w:r w:rsidR="0058425E">
              <w:rPr>
                <w:rFonts w:ascii="Times New Roman" w:hAnsi="Times New Roman"/>
                <w:b w:val="0"/>
                <w:sz w:val="22"/>
                <w:u w:val="none"/>
              </w:rPr>
              <w:t>contrato denominado “Programa de transición a la vida autónoma “</w:t>
            </w:r>
            <w:proofErr w:type="spellStart"/>
            <w:r w:rsidR="0058425E" w:rsidRPr="00312B7D">
              <w:rPr>
                <w:rFonts w:ascii="Times New Roman" w:hAnsi="Times New Roman"/>
                <w:bCs/>
                <w:sz w:val="22"/>
                <w:u w:val="none"/>
              </w:rPr>
              <w:t>Abiatuz</w:t>
            </w:r>
            <w:proofErr w:type="spellEnd"/>
            <w:r w:rsidR="0058425E">
              <w:rPr>
                <w:rFonts w:ascii="Times New Roman" w:hAnsi="Times New Roman"/>
                <w:b w:val="0"/>
                <w:sz w:val="22"/>
                <w:u w:val="none"/>
              </w:rPr>
              <w:t>”” (</w:t>
            </w:r>
            <w:proofErr w:type="spellStart"/>
            <w:r w:rsidR="0058425E">
              <w:rPr>
                <w:rFonts w:ascii="Times New Roman" w:hAnsi="Times New Roman"/>
                <w:b w:val="0"/>
                <w:sz w:val="22"/>
                <w:u w:val="none"/>
              </w:rPr>
              <w:t>Expte</w:t>
            </w:r>
            <w:proofErr w:type="spellEnd"/>
            <w:r w:rsidR="0058425E">
              <w:rPr>
                <w:rFonts w:ascii="Times New Roman" w:hAnsi="Times New Roman"/>
                <w:b w:val="0"/>
                <w:sz w:val="22"/>
                <w:u w:val="none"/>
              </w:rPr>
              <w:t>. 04/25)</w:t>
            </w:r>
            <w:r w:rsidR="00312B7D">
              <w:rPr>
                <w:rFonts w:ascii="Times New Roman" w:hAnsi="Times New Roman"/>
                <w:b w:val="0"/>
                <w:sz w:val="22"/>
                <w:u w:val="none"/>
              </w:rPr>
              <w:t xml:space="preserve"> y </w:t>
            </w:r>
            <w:r w:rsidR="00312B7D" w:rsidRPr="00312B7D">
              <w:rPr>
                <w:rFonts w:ascii="Times New Roman" w:hAnsi="Times New Roman"/>
                <w:b w:val="0"/>
                <w:sz w:val="22"/>
                <w:u w:val="none"/>
              </w:rPr>
              <w:t>contra los pliegos de condiciones para la licitación del contrato denominado “Programa “</w:t>
            </w:r>
            <w:r w:rsidR="00312B7D" w:rsidRPr="00312B7D">
              <w:rPr>
                <w:rFonts w:ascii="Times New Roman" w:hAnsi="Times New Roman"/>
                <w:bCs/>
                <w:sz w:val="22"/>
                <w:u w:val="none"/>
              </w:rPr>
              <w:t>Ondoan</w:t>
            </w:r>
            <w:r w:rsidR="00312B7D" w:rsidRPr="00312B7D">
              <w:rPr>
                <w:rFonts w:ascii="Times New Roman" w:hAnsi="Times New Roman"/>
                <w:b w:val="0"/>
                <w:sz w:val="22"/>
                <w:u w:val="none"/>
              </w:rPr>
              <w:t>” de acogimiento residencial a personas menores de edad en situación de desamparo o de riesgo grave de desamparo junto a la atención residencial de uno de sus progenitores, de acogimiento residencial a adolescentes embarazadas en situación de desamparo o de riesgo grave de desamparo y de atención residencial a mujeres en estado de gestación en las que se ha detectado una situación de maltrato prenatal” (Expte. 48/25).</w:t>
            </w:r>
          </w:p>
          <w:p w14:paraId="0425F194" w14:textId="7D6AB4A0" w:rsidR="00FB069B" w:rsidRPr="0005126E" w:rsidRDefault="00FB069B" w:rsidP="00D414C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Cs/>
                <w:sz w:val="22"/>
                <w:szCs w:val="22"/>
                <w:lang w:val="es-ES_tradnl"/>
              </w:rPr>
            </w:pPr>
            <w:proofErr w:type="spellStart"/>
            <w:r w:rsidRPr="001616F3">
              <w:rPr>
                <w:rFonts w:eastAsia="Times New Roman"/>
                <w:b/>
                <w:sz w:val="22"/>
                <w:szCs w:val="22"/>
                <w:lang w:val="es-ES_tradnl"/>
              </w:rPr>
              <w:t>Esp</w:t>
            </w:r>
            <w:proofErr w:type="spellEnd"/>
            <w:r w:rsidRPr="001616F3">
              <w:rPr>
                <w:rFonts w:eastAsia="Times New Roman"/>
                <w:b/>
                <w:sz w:val="22"/>
                <w:szCs w:val="22"/>
                <w:lang w:val="es-ES_tradnl"/>
              </w:rPr>
              <w:t xml:space="preserve"> </w:t>
            </w:r>
            <w:proofErr w:type="spellStart"/>
            <w:r w:rsidRPr="001616F3">
              <w:rPr>
                <w:rFonts w:eastAsia="Times New Roman"/>
                <w:b/>
                <w:sz w:val="22"/>
                <w:szCs w:val="22"/>
                <w:lang w:val="es-ES_tradnl"/>
              </w:rPr>
              <w:t>Zenb</w:t>
            </w:r>
            <w:proofErr w:type="spellEnd"/>
            <w:r w:rsidRPr="001616F3">
              <w:rPr>
                <w:rFonts w:eastAsia="Times New Roman"/>
                <w:b/>
                <w:sz w:val="22"/>
                <w:szCs w:val="22"/>
                <w:lang w:val="es-ES_tradnl"/>
              </w:rPr>
              <w:t>/</w:t>
            </w:r>
            <w:proofErr w:type="spellStart"/>
            <w:r w:rsidRPr="001616F3">
              <w:rPr>
                <w:rFonts w:eastAsia="Times New Roman"/>
                <w:b/>
                <w:sz w:val="22"/>
                <w:szCs w:val="22"/>
                <w:lang w:val="es-ES_tradnl"/>
              </w:rPr>
              <w:t>Nº</w:t>
            </w:r>
            <w:proofErr w:type="spellEnd"/>
            <w:r w:rsidRPr="001616F3">
              <w:rPr>
                <w:rFonts w:eastAsia="Times New Roman"/>
                <w:b/>
                <w:sz w:val="22"/>
                <w:szCs w:val="22"/>
                <w:lang w:val="es-ES_tradnl"/>
              </w:rPr>
              <w:t xml:space="preserve"> </w:t>
            </w:r>
            <w:proofErr w:type="spellStart"/>
            <w:r w:rsidRPr="001616F3">
              <w:rPr>
                <w:rFonts w:eastAsia="Times New Roman"/>
                <w:b/>
                <w:sz w:val="22"/>
                <w:szCs w:val="22"/>
                <w:lang w:val="es-ES_tradnl"/>
              </w:rPr>
              <w:t>exp</w:t>
            </w:r>
            <w:proofErr w:type="spellEnd"/>
            <w:r w:rsidRPr="001616F3">
              <w:rPr>
                <w:rFonts w:eastAsia="Times New Roman"/>
                <w:b/>
                <w:sz w:val="22"/>
                <w:szCs w:val="22"/>
                <w:lang w:val="es-ES_tradnl"/>
              </w:rPr>
              <w:t>.:</w:t>
            </w:r>
            <w:r w:rsidR="00A07254" w:rsidRPr="0005126E">
              <w:rPr>
                <w:rFonts w:eastAsia="Times New Roman"/>
                <w:bCs/>
                <w:sz w:val="22"/>
                <w:szCs w:val="22"/>
                <w:lang w:val="es-ES_tradnl"/>
              </w:rPr>
              <w:t xml:space="preserve"> </w:t>
            </w:r>
            <w:r w:rsidR="0058425E">
              <w:rPr>
                <w:rFonts w:eastAsia="Times New Roman"/>
                <w:bCs/>
                <w:sz w:val="22"/>
                <w:szCs w:val="22"/>
                <w:lang w:val="es-ES_tradnl"/>
              </w:rPr>
              <w:t>19</w:t>
            </w:r>
            <w:r w:rsidR="007E1FC6" w:rsidRPr="0005126E">
              <w:rPr>
                <w:rFonts w:eastAsia="Times New Roman"/>
                <w:bCs/>
                <w:sz w:val="22"/>
                <w:szCs w:val="22"/>
                <w:lang w:val="es-ES_tradnl"/>
              </w:rPr>
              <w:t>/</w:t>
            </w:r>
            <w:r w:rsidR="00F07BA4" w:rsidRPr="0005126E">
              <w:rPr>
                <w:rFonts w:eastAsia="Times New Roman"/>
                <w:bCs/>
                <w:sz w:val="22"/>
                <w:szCs w:val="22"/>
                <w:lang w:val="es-ES_tradnl"/>
              </w:rPr>
              <w:t xml:space="preserve">25 y acumulado </w:t>
            </w:r>
            <w:r w:rsidR="0058425E">
              <w:rPr>
                <w:rFonts w:eastAsia="Times New Roman"/>
                <w:bCs/>
                <w:sz w:val="22"/>
                <w:szCs w:val="22"/>
                <w:lang w:val="es-ES_tradnl"/>
              </w:rPr>
              <w:t>20</w:t>
            </w:r>
            <w:r w:rsidR="007E1FC6" w:rsidRPr="0005126E">
              <w:rPr>
                <w:rFonts w:eastAsia="Times New Roman"/>
                <w:bCs/>
                <w:sz w:val="22"/>
                <w:szCs w:val="22"/>
                <w:lang w:val="es-ES_tradnl"/>
              </w:rPr>
              <w:t xml:space="preserve">/25 </w:t>
            </w:r>
            <w:r w:rsidR="00A07254" w:rsidRPr="0005126E">
              <w:rPr>
                <w:rFonts w:eastAsia="Times New Roman"/>
                <w:bCs/>
                <w:sz w:val="22"/>
                <w:szCs w:val="22"/>
                <w:lang w:val="es-ES_tradnl"/>
              </w:rPr>
              <w:t>- RE</w:t>
            </w:r>
          </w:p>
        </w:tc>
      </w:tr>
    </w:tbl>
    <w:p w14:paraId="39887F0E" w14:textId="77777777" w:rsidR="00FB069B" w:rsidRPr="00165287" w:rsidRDefault="00FB069B" w:rsidP="0057509C">
      <w:pPr>
        <w:jc w:val="both"/>
        <w:rPr>
          <w:rFonts w:ascii="Times New Roman" w:hAnsi="Times New Roman" w:cs="Times New Roman"/>
        </w:rPr>
      </w:pPr>
    </w:p>
    <w:p w14:paraId="447F195F" w14:textId="77777777" w:rsidR="00FB069B" w:rsidRPr="00165287" w:rsidRDefault="00FB069B" w:rsidP="0057509C">
      <w:pPr>
        <w:jc w:val="both"/>
        <w:rPr>
          <w:rFonts w:ascii="Times New Roman" w:hAnsi="Times New Roman" w:cs="Times New Roman"/>
        </w:rPr>
      </w:pPr>
    </w:p>
    <w:p w14:paraId="5AFD30D2" w14:textId="6CD7DFB5" w:rsidR="00FB069B" w:rsidRPr="00BF19E0" w:rsidRDefault="00FB069B" w:rsidP="00B01D13">
      <w:pPr>
        <w:pStyle w:val="Textoindependiente"/>
        <w:spacing w:before="120"/>
        <w:jc w:val="center"/>
        <w:rPr>
          <w:rStyle w:val="Nmerodepgina"/>
          <w:rFonts w:ascii="Times New Roman" w:hAnsi="Times New Roman" w:cs="Times New Roman"/>
          <w:b/>
          <w:bCs/>
          <w:sz w:val="24"/>
          <w:szCs w:val="24"/>
          <w:u w:val="single"/>
        </w:rPr>
      </w:pPr>
      <w:r w:rsidRPr="00BF19E0">
        <w:rPr>
          <w:rStyle w:val="Nmerodepgina"/>
          <w:rFonts w:ascii="Times New Roman" w:hAnsi="Times New Roman" w:cs="Times New Roman"/>
          <w:b/>
          <w:bCs/>
          <w:sz w:val="24"/>
          <w:szCs w:val="24"/>
          <w:u w:val="single"/>
        </w:rPr>
        <w:t xml:space="preserve">RESOLUCIÓN </w:t>
      </w:r>
      <w:proofErr w:type="spellStart"/>
      <w:r w:rsidRPr="00BF19E0">
        <w:rPr>
          <w:rStyle w:val="Nmerodepgina"/>
          <w:rFonts w:ascii="Times New Roman" w:hAnsi="Times New Roman" w:cs="Times New Roman"/>
          <w:b/>
          <w:bCs/>
          <w:sz w:val="24"/>
          <w:szCs w:val="24"/>
          <w:u w:val="single"/>
        </w:rPr>
        <w:t>Nº</w:t>
      </w:r>
      <w:proofErr w:type="spellEnd"/>
      <w:r w:rsidRPr="00BF19E0">
        <w:rPr>
          <w:rStyle w:val="Nmerodepgina"/>
          <w:rFonts w:ascii="Times New Roman" w:hAnsi="Times New Roman" w:cs="Times New Roman"/>
          <w:b/>
          <w:bCs/>
          <w:sz w:val="24"/>
          <w:szCs w:val="24"/>
          <w:u w:val="single"/>
        </w:rPr>
        <w:t xml:space="preserve"> </w:t>
      </w:r>
      <w:r w:rsidR="004379F4">
        <w:rPr>
          <w:rStyle w:val="Nmerodepgina"/>
          <w:rFonts w:ascii="Times New Roman" w:hAnsi="Times New Roman" w:cs="Times New Roman"/>
          <w:b/>
          <w:bCs/>
          <w:sz w:val="24"/>
          <w:szCs w:val="24"/>
          <w:u w:val="single"/>
        </w:rPr>
        <w:t>35</w:t>
      </w:r>
      <w:r w:rsidR="00880930" w:rsidRPr="00BF19E0">
        <w:rPr>
          <w:rStyle w:val="Nmerodepgina"/>
          <w:rFonts w:ascii="Times New Roman" w:hAnsi="Times New Roman" w:cs="Times New Roman"/>
          <w:b/>
          <w:bCs/>
          <w:sz w:val="24"/>
          <w:szCs w:val="24"/>
          <w:u w:val="single"/>
        </w:rPr>
        <w:t>/20</w:t>
      </w:r>
      <w:r w:rsidR="00F07BA4" w:rsidRPr="00BF19E0">
        <w:rPr>
          <w:rStyle w:val="Nmerodepgina"/>
          <w:rFonts w:ascii="Times New Roman" w:hAnsi="Times New Roman" w:cs="Times New Roman"/>
          <w:b/>
          <w:bCs/>
          <w:sz w:val="24"/>
          <w:szCs w:val="24"/>
          <w:u w:val="single"/>
        </w:rPr>
        <w:t>25</w:t>
      </w:r>
    </w:p>
    <w:p w14:paraId="3E46C3ED" w14:textId="77777777" w:rsidR="00FB069B" w:rsidRPr="00165287" w:rsidRDefault="00FB069B" w:rsidP="00B01D13">
      <w:pPr>
        <w:pStyle w:val="Textoindependiente"/>
        <w:spacing w:before="120"/>
        <w:jc w:val="center"/>
        <w:rPr>
          <w:rStyle w:val="Nmerodepgina"/>
          <w:rFonts w:ascii="Times New Roman" w:eastAsia="Times New Roman" w:hAnsi="Times New Roman" w:cs="Times New Roman"/>
          <w:b/>
          <w:bCs/>
          <w:sz w:val="22"/>
          <w:szCs w:val="22"/>
          <w:u w:val="single"/>
        </w:rPr>
      </w:pPr>
    </w:p>
    <w:p w14:paraId="3BD73A8F" w14:textId="6687969A" w:rsidR="00FB069B" w:rsidRPr="00165287" w:rsidRDefault="00FB069B" w:rsidP="0057509C">
      <w:pPr>
        <w:pStyle w:val="Cuerpo"/>
        <w:tabs>
          <w:tab w:val="left" w:pos="3261"/>
        </w:tabs>
        <w:spacing w:before="120" w:after="120"/>
        <w:jc w:val="both"/>
        <w:rPr>
          <w:rStyle w:val="Nmerodepgina"/>
          <w:sz w:val="22"/>
          <w:szCs w:val="22"/>
        </w:rPr>
      </w:pPr>
      <w:r w:rsidRPr="00165287">
        <w:rPr>
          <w:rStyle w:val="Nmerodepgina"/>
          <w:sz w:val="22"/>
          <w:szCs w:val="22"/>
          <w:lang w:val="es-ES_tradnl"/>
        </w:rPr>
        <w:t>En Vitoria-Gasteiz, a</w:t>
      </w:r>
      <w:r w:rsidR="004379F4">
        <w:rPr>
          <w:rStyle w:val="Nmerodepgina"/>
          <w:sz w:val="22"/>
          <w:szCs w:val="22"/>
          <w:lang w:val="es-ES_tradnl"/>
        </w:rPr>
        <w:t xml:space="preserve"> 23 de octubre de 2025</w:t>
      </w:r>
      <w:r w:rsidR="00256958">
        <w:rPr>
          <w:rStyle w:val="Nmerodepgina"/>
          <w:sz w:val="22"/>
          <w:szCs w:val="22"/>
          <w:lang w:val="es-ES_tradnl"/>
        </w:rPr>
        <w:t>.</w:t>
      </w:r>
    </w:p>
    <w:p w14:paraId="4AEE4329" w14:textId="77777777" w:rsidR="00256958" w:rsidRDefault="00256958" w:rsidP="0057509C">
      <w:pPr>
        <w:pStyle w:val="Cuerpo"/>
        <w:tabs>
          <w:tab w:val="left" w:pos="3261"/>
        </w:tabs>
        <w:spacing w:before="120" w:after="120"/>
        <w:jc w:val="both"/>
        <w:rPr>
          <w:rStyle w:val="Nmerodepgina"/>
          <w:sz w:val="22"/>
          <w:szCs w:val="22"/>
          <w:lang w:val="es-ES_tradnl"/>
        </w:rPr>
      </w:pPr>
    </w:p>
    <w:p w14:paraId="7BE8437E" w14:textId="3EDDCCCE" w:rsidR="00FB069B" w:rsidRPr="0058425E" w:rsidRDefault="00FB069B" w:rsidP="0058425E">
      <w:pPr>
        <w:tabs>
          <w:tab w:val="left" w:pos="3261"/>
        </w:tabs>
        <w:spacing w:after="120"/>
        <w:jc w:val="both"/>
        <w:rPr>
          <w:bCs/>
        </w:rPr>
      </w:pPr>
      <w:r w:rsidRPr="00F07BA4">
        <w:rPr>
          <w:rStyle w:val="Nmerodepgina"/>
          <w:rFonts w:ascii="Times New Roman" w:hAnsi="Times New Roman" w:cs="Times New Roman"/>
          <w:lang w:val="es-ES_tradnl"/>
        </w:rPr>
        <w:t xml:space="preserve">El </w:t>
      </w:r>
      <w:r w:rsidR="0016622A">
        <w:rPr>
          <w:rStyle w:val="Nmerodepgina"/>
          <w:rFonts w:ascii="Times New Roman" w:hAnsi="Times New Roman" w:cs="Times New Roman"/>
        </w:rPr>
        <w:t>Órgano</w:t>
      </w:r>
      <w:r w:rsidRPr="00F07BA4">
        <w:rPr>
          <w:rStyle w:val="Nmerodepgina"/>
          <w:rFonts w:ascii="Times New Roman" w:hAnsi="Times New Roman" w:cs="Times New Roman"/>
          <w:lang w:val="es-ES_tradnl"/>
        </w:rPr>
        <w:t xml:space="preserve"> Administrativo Foral de Recursos Contractuales de la</w:t>
      </w:r>
      <w:r w:rsidR="0016622A">
        <w:rPr>
          <w:rStyle w:val="Nmerodepgina"/>
          <w:rFonts w:ascii="Times New Roman" w:hAnsi="Times New Roman" w:cs="Times New Roman"/>
          <w:lang w:val="es-ES_tradnl"/>
        </w:rPr>
        <w:t xml:space="preserve"> Diputación F</w:t>
      </w:r>
      <w:r w:rsidRPr="00F07BA4">
        <w:rPr>
          <w:rStyle w:val="Nmerodepgina"/>
          <w:rFonts w:ascii="Times New Roman" w:hAnsi="Times New Roman" w:cs="Times New Roman"/>
          <w:lang w:val="pt-PT"/>
        </w:rPr>
        <w:t xml:space="preserve">oral de </w:t>
      </w:r>
      <w:r w:rsidRPr="00F07BA4">
        <w:rPr>
          <w:rStyle w:val="Nmerodepgina"/>
          <w:rFonts w:ascii="Times New Roman" w:hAnsi="Times New Roman" w:cs="Times New Roman"/>
        </w:rPr>
        <w:t>Á</w:t>
      </w:r>
      <w:r w:rsidRPr="00F07BA4">
        <w:rPr>
          <w:rStyle w:val="Nmerodepgina"/>
          <w:rFonts w:ascii="Times New Roman" w:hAnsi="Times New Roman" w:cs="Times New Roman"/>
          <w:lang w:val="es-ES_tradnl"/>
        </w:rPr>
        <w:t xml:space="preserve">lava ha dictado la siguiente </w:t>
      </w:r>
      <w:r w:rsidR="0016622A">
        <w:rPr>
          <w:rStyle w:val="Nmerodepgina"/>
          <w:rFonts w:ascii="Times New Roman" w:hAnsi="Times New Roman" w:cs="Times New Roman"/>
          <w:lang w:val="es-ES_tradnl"/>
        </w:rPr>
        <w:t xml:space="preserve">RESOLUCIÓN </w:t>
      </w:r>
      <w:r w:rsidRPr="00F07BA4">
        <w:rPr>
          <w:rStyle w:val="Nmerodepgina"/>
          <w:rFonts w:ascii="Times New Roman" w:hAnsi="Times New Roman" w:cs="Times New Roman"/>
          <w:lang w:val="es-ES_tradnl"/>
        </w:rPr>
        <w:t xml:space="preserve">en </w:t>
      </w:r>
      <w:r w:rsidR="00D414C3" w:rsidRPr="00F07BA4">
        <w:rPr>
          <w:rStyle w:val="Nmerodepgina"/>
          <w:rFonts w:ascii="Times New Roman" w:hAnsi="Times New Roman" w:cs="Times New Roman"/>
          <w:lang w:val="es-ES_tradnl"/>
        </w:rPr>
        <w:t>los</w:t>
      </w:r>
      <w:r w:rsidRPr="00F07BA4">
        <w:rPr>
          <w:rStyle w:val="Nmerodepgina"/>
          <w:rFonts w:ascii="Times New Roman" w:hAnsi="Times New Roman" w:cs="Times New Roman"/>
          <w:lang w:val="es-ES_tradnl"/>
        </w:rPr>
        <w:t xml:space="preserve"> Recurso</w:t>
      </w:r>
      <w:r w:rsidR="00D414C3" w:rsidRPr="00F07BA4">
        <w:rPr>
          <w:rStyle w:val="Nmerodepgina"/>
          <w:rFonts w:ascii="Times New Roman" w:hAnsi="Times New Roman" w:cs="Times New Roman"/>
          <w:lang w:val="es-ES_tradnl"/>
        </w:rPr>
        <w:t>s</w:t>
      </w:r>
      <w:r w:rsidRPr="00F07BA4">
        <w:rPr>
          <w:rStyle w:val="Nmerodepgina"/>
          <w:rFonts w:ascii="Times New Roman" w:hAnsi="Times New Roman" w:cs="Times New Roman"/>
          <w:lang w:val="es-ES_tradnl"/>
        </w:rPr>
        <w:t xml:space="preserve"> Especial</w:t>
      </w:r>
      <w:r w:rsidR="00D414C3" w:rsidRPr="00F07BA4">
        <w:rPr>
          <w:rStyle w:val="Nmerodepgina"/>
          <w:rFonts w:ascii="Times New Roman" w:hAnsi="Times New Roman" w:cs="Times New Roman"/>
          <w:lang w:val="es-ES_tradnl"/>
        </w:rPr>
        <w:t>es</w:t>
      </w:r>
      <w:r w:rsidRPr="00F07BA4">
        <w:rPr>
          <w:rStyle w:val="Nmerodepgina"/>
          <w:rFonts w:ascii="Times New Roman" w:hAnsi="Times New Roman" w:cs="Times New Roman"/>
          <w:lang w:val="es-ES_tradnl"/>
        </w:rPr>
        <w:t xml:space="preserve"> en materia de</w:t>
      </w:r>
      <w:r w:rsidR="0016622A">
        <w:rPr>
          <w:rStyle w:val="Nmerodepgina"/>
          <w:rFonts w:ascii="Times New Roman" w:hAnsi="Times New Roman" w:cs="Times New Roman"/>
          <w:lang w:val="es-ES_tradnl"/>
        </w:rPr>
        <w:t xml:space="preserve"> contratación</w:t>
      </w:r>
      <w:r w:rsidRPr="00F07BA4">
        <w:rPr>
          <w:rStyle w:val="Nmerodepgina"/>
          <w:rFonts w:ascii="Times New Roman" w:hAnsi="Times New Roman" w:cs="Times New Roman"/>
          <w:lang w:val="es-ES_tradnl"/>
        </w:rPr>
        <w:t xml:space="preserve"> interpuesto</w:t>
      </w:r>
      <w:r w:rsidR="00D414C3" w:rsidRPr="00F07BA4">
        <w:rPr>
          <w:rStyle w:val="Nmerodepgina"/>
          <w:rFonts w:ascii="Times New Roman" w:hAnsi="Times New Roman" w:cs="Times New Roman"/>
          <w:lang w:val="es-ES_tradnl"/>
        </w:rPr>
        <w:t>s</w:t>
      </w:r>
      <w:r w:rsidRPr="00F07BA4">
        <w:rPr>
          <w:rStyle w:val="Nmerodepgina"/>
          <w:rFonts w:ascii="Times New Roman" w:hAnsi="Times New Roman" w:cs="Times New Roman"/>
          <w:lang w:val="es-ES_tradnl"/>
        </w:rPr>
        <w:t xml:space="preserve"> </w:t>
      </w:r>
      <w:bookmarkStart w:id="0" w:name="_Hlk204121438"/>
      <w:r w:rsidR="00F07BA4">
        <w:rPr>
          <w:rStyle w:val="Nmerodepgina"/>
          <w:rFonts w:ascii="Times New Roman" w:hAnsi="Times New Roman" w:cs="Times New Roman"/>
          <w:lang w:val="es-ES_tradnl"/>
        </w:rPr>
        <w:t xml:space="preserve">por </w:t>
      </w:r>
      <w:bookmarkStart w:id="1" w:name="_Hlk191369236"/>
      <w:r w:rsidR="0058425E" w:rsidRPr="0058425E">
        <w:rPr>
          <w:rStyle w:val="Nmerodepgina"/>
          <w:rFonts w:ascii="Times New Roman" w:hAnsi="Times New Roman" w:cs="Times New Roman"/>
          <w:lang w:val="es-ES_tradnl"/>
        </w:rPr>
        <w:t>Sindicato LANGILE ABERTZALEEN BATZORDEAK (L.A.B.)</w:t>
      </w:r>
      <w:r w:rsidR="0058425E">
        <w:rPr>
          <w:rStyle w:val="Nmerodepgina"/>
          <w:rFonts w:ascii="Times New Roman" w:hAnsi="Times New Roman" w:cs="Times New Roman"/>
          <w:lang w:val="es-ES_tradnl"/>
        </w:rPr>
        <w:t xml:space="preserve"> </w:t>
      </w:r>
      <w:r w:rsidR="007E1FC6" w:rsidRPr="007E1FC6">
        <w:rPr>
          <w:rStyle w:val="Nmerodepgina"/>
          <w:rFonts w:ascii="Times New Roman" w:hAnsi="Times New Roman" w:cs="Times New Roman"/>
          <w:lang w:val="es-ES_tradnl"/>
        </w:rPr>
        <w:t>contra</w:t>
      </w:r>
      <w:r w:rsidR="00992EA5">
        <w:rPr>
          <w:rStyle w:val="Nmerodepgina"/>
          <w:rFonts w:ascii="Times New Roman" w:hAnsi="Times New Roman" w:cs="Times New Roman"/>
          <w:lang w:val="es-ES_tradnl"/>
        </w:rPr>
        <w:t xml:space="preserve"> </w:t>
      </w:r>
      <w:bookmarkEnd w:id="0"/>
      <w:bookmarkEnd w:id="1"/>
      <w:r w:rsidR="0058425E" w:rsidRPr="0058425E">
        <w:rPr>
          <w:rFonts w:ascii="Times New Roman" w:hAnsi="Times New Roman"/>
          <w:bCs/>
        </w:rPr>
        <w:t>los pliegos de condiciones para la licitación del contrato denominado “Programa de transición a la vida autónoma “</w:t>
      </w:r>
      <w:proofErr w:type="spellStart"/>
      <w:r w:rsidR="0058425E" w:rsidRPr="0058425E">
        <w:rPr>
          <w:rFonts w:ascii="Times New Roman" w:hAnsi="Times New Roman"/>
          <w:bCs/>
        </w:rPr>
        <w:t>Abiatuz</w:t>
      </w:r>
      <w:proofErr w:type="spellEnd"/>
      <w:r w:rsidR="0058425E" w:rsidRPr="0058425E">
        <w:rPr>
          <w:rFonts w:ascii="Times New Roman" w:hAnsi="Times New Roman"/>
          <w:bCs/>
        </w:rPr>
        <w:t>”” (</w:t>
      </w:r>
      <w:proofErr w:type="spellStart"/>
      <w:r w:rsidR="0058425E" w:rsidRPr="0058425E">
        <w:rPr>
          <w:rFonts w:ascii="Times New Roman" w:hAnsi="Times New Roman"/>
          <w:bCs/>
        </w:rPr>
        <w:t>Expte</w:t>
      </w:r>
      <w:proofErr w:type="spellEnd"/>
      <w:r w:rsidR="0058425E" w:rsidRPr="0058425E">
        <w:rPr>
          <w:rFonts w:ascii="Times New Roman" w:hAnsi="Times New Roman"/>
          <w:bCs/>
        </w:rPr>
        <w:t>. 04/25)</w:t>
      </w:r>
      <w:r w:rsidR="0058425E">
        <w:rPr>
          <w:rFonts w:ascii="Times New Roman" w:hAnsi="Times New Roman"/>
          <w:bCs/>
        </w:rPr>
        <w:t xml:space="preserve"> y </w:t>
      </w:r>
      <w:r w:rsidR="00312B7D" w:rsidRPr="00312B7D">
        <w:rPr>
          <w:rFonts w:ascii="Times New Roman" w:hAnsi="Times New Roman"/>
          <w:bCs/>
        </w:rPr>
        <w:t>contra los pliegos de condiciones para la licitación del contrato denominado “Programa “</w:t>
      </w:r>
      <w:proofErr w:type="spellStart"/>
      <w:r w:rsidR="00312B7D" w:rsidRPr="00312B7D">
        <w:rPr>
          <w:rFonts w:ascii="Times New Roman" w:hAnsi="Times New Roman"/>
          <w:bCs/>
        </w:rPr>
        <w:t>Ondoan</w:t>
      </w:r>
      <w:proofErr w:type="spellEnd"/>
      <w:r w:rsidR="00312B7D" w:rsidRPr="00312B7D">
        <w:rPr>
          <w:rFonts w:ascii="Times New Roman" w:hAnsi="Times New Roman"/>
          <w:bCs/>
        </w:rPr>
        <w:t>” de acogimiento residencial a personas menores de edad en situación de desamparo o de riesgo grave de desamparo junto a la atención residencial de uno de sus progenitores, de acogimiento residencial a adolescentes embarazadas en situación de desamparo o de riesgo grave de desamparo y de atención residencial a mujeres en estado de gestación en las que se ha detectado una situación de maltrato prenatal” (Expte. 48/25).</w:t>
      </w:r>
    </w:p>
    <w:p w14:paraId="740B455E" w14:textId="77777777" w:rsidR="00312B7D" w:rsidRDefault="00312B7D" w:rsidP="000E6FE6">
      <w:pPr>
        <w:pStyle w:val="Cuerpo"/>
        <w:spacing w:before="120" w:after="120"/>
        <w:jc w:val="center"/>
        <w:rPr>
          <w:rStyle w:val="Nmerodepgina"/>
          <w:b/>
          <w:bCs/>
          <w:sz w:val="22"/>
          <w:szCs w:val="22"/>
          <w:lang w:val="de-DE"/>
        </w:rPr>
      </w:pPr>
    </w:p>
    <w:p w14:paraId="18722F50" w14:textId="1B61050B" w:rsidR="00FB069B" w:rsidRPr="00165287" w:rsidRDefault="00FB069B" w:rsidP="000E6FE6">
      <w:pPr>
        <w:pStyle w:val="Cuerpo"/>
        <w:spacing w:before="120" w:after="120"/>
        <w:jc w:val="center"/>
        <w:rPr>
          <w:rStyle w:val="Nmerodepgina"/>
          <w:b/>
          <w:bCs/>
          <w:sz w:val="22"/>
          <w:szCs w:val="22"/>
          <w:lang w:val="de-DE"/>
        </w:rPr>
      </w:pPr>
      <w:r w:rsidRPr="00165287">
        <w:rPr>
          <w:rStyle w:val="Nmerodepgina"/>
          <w:b/>
          <w:bCs/>
          <w:sz w:val="22"/>
          <w:szCs w:val="22"/>
          <w:lang w:val="de-DE"/>
        </w:rPr>
        <w:t>ANTECEDENTES DE HECHO</w:t>
      </w:r>
    </w:p>
    <w:p w14:paraId="6F8DD153" w14:textId="77777777" w:rsidR="00271D43" w:rsidRPr="00D0750E" w:rsidRDefault="00271D43" w:rsidP="00D0750E">
      <w:pPr>
        <w:pStyle w:val="Cuerpo"/>
        <w:tabs>
          <w:tab w:val="left" w:pos="3261"/>
        </w:tabs>
        <w:spacing w:before="120" w:after="120"/>
        <w:jc w:val="both"/>
        <w:rPr>
          <w:rStyle w:val="Nmerodepgina"/>
          <w:sz w:val="22"/>
          <w:szCs w:val="22"/>
          <w:lang w:val="es-ES_tradnl"/>
        </w:rPr>
      </w:pPr>
    </w:p>
    <w:p w14:paraId="3AD5C17D" w14:textId="0FB5A78C" w:rsidR="007E1FC6" w:rsidRPr="007E1FC6" w:rsidRDefault="007E1FC6" w:rsidP="0058425E">
      <w:pPr>
        <w:tabs>
          <w:tab w:val="left" w:pos="3261"/>
        </w:tabs>
        <w:spacing w:after="120"/>
        <w:jc w:val="both"/>
        <w:rPr>
          <w:rStyle w:val="Nmerodepgina"/>
          <w:rFonts w:ascii="Times New Roman" w:hAnsi="Times New Roman" w:cs="Times New Roman"/>
          <w:lang w:val="es-ES_tradnl"/>
        </w:rPr>
      </w:pPr>
      <w:r w:rsidRPr="007E1FC6">
        <w:rPr>
          <w:rStyle w:val="Nmerodepgina"/>
          <w:rFonts w:ascii="Times New Roman" w:hAnsi="Times New Roman" w:cs="Times New Roman"/>
          <w:b/>
          <w:bCs/>
          <w:lang w:val="es-ES_tradnl"/>
        </w:rPr>
        <w:t>1º -</w:t>
      </w:r>
      <w:r w:rsidRPr="007E1FC6">
        <w:rPr>
          <w:rStyle w:val="Nmerodepgina"/>
          <w:rFonts w:ascii="Times New Roman" w:hAnsi="Times New Roman" w:cs="Times New Roman"/>
          <w:lang w:val="es-ES_tradnl"/>
        </w:rPr>
        <w:t xml:space="preserve"> </w:t>
      </w:r>
      <w:r w:rsidR="0058425E" w:rsidRPr="0058425E">
        <w:rPr>
          <w:rStyle w:val="Nmerodepgina"/>
          <w:rFonts w:ascii="Times New Roman" w:hAnsi="Times New Roman" w:cs="Times New Roman"/>
          <w:lang w:val="es-ES_tradnl"/>
        </w:rPr>
        <w:t xml:space="preserve">Mediante Acuerdo </w:t>
      </w:r>
      <w:r w:rsidR="00312B7D">
        <w:rPr>
          <w:rStyle w:val="Nmerodepgina"/>
          <w:rFonts w:ascii="Times New Roman" w:hAnsi="Times New Roman" w:cs="Times New Roman"/>
          <w:lang w:val="es-ES_tradnl"/>
        </w:rPr>
        <w:t>d</w:t>
      </w:r>
      <w:r w:rsidR="00312B7D" w:rsidRPr="00312B7D">
        <w:rPr>
          <w:rStyle w:val="Nmerodepgina"/>
          <w:rFonts w:ascii="Times New Roman" w:hAnsi="Times New Roman" w:cs="Times New Roman"/>
          <w:lang w:val="es-ES_tradnl"/>
        </w:rPr>
        <w:t xml:space="preserve">el Consejo de Administración del </w:t>
      </w:r>
      <w:r w:rsidR="00312B7D">
        <w:rPr>
          <w:rStyle w:val="Nmerodepgina"/>
          <w:rFonts w:ascii="Times New Roman" w:hAnsi="Times New Roman" w:cs="Times New Roman"/>
          <w:lang w:val="es-ES_tradnl"/>
        </w:rPr>
        <w:t>Instituto Foral de Bienestar Social</w:t>
      </w:r>
      <w:r w:rsidR="00312B7D" w:rsidRPr="00312B7D">
        <w:rPr>
          <w:rStyle w:val="Nmerodepgina"/>
          <w:rFonts w:ascii="Times New Roman" w:hAnsi="Times New Roman" w:cs="Times New Roman"/>
          <w:lang w:val="es-ES_tradnl"/>
        </w:rPr>
        <w:t xml:space="preserve"> (en adelante OC)</w:t>
      </w:r>
      <w:r w:rsidR="0058425E" w:rsidRPr="0058425E">
        <w:rPr>
          <w:rStyle w:val="Nmerodepgina"/>
          <w:rFonts w:ascii="Times New Roman" w:hAnsi="Times New Roman" w:cs="Times New Roman"/>
          <w:lang w:val="es-ES_tradnl"/>
        </w:rPr>
        <w:t>, de 31 de julio de 2025, se aprobó iniciar el expediente de contratación del programa de transición a la vida autónoma “</w:t>
      </w:r>
      <w:proofErr w:type="spellStart"/>
      <w:r w:rsidR="0058425E" w:rsidRPr="00312B7D">
        <w:rPr>
          <w:rStyle w:val="Nmerodepgina"/>
          <w:rFonts w:ascii="Times New Roman" w:hAnsi="Times New Roman" w:cs="Times New Roman"/>
          <w:b/>
          <w:bCs/>
          <w:lang w:val="es-ES_tradnl"/>
        </w:rPr>
        <w:t>Abiatuz</w:t>
      </w:r>
      <w:proofErr w:type="spellEnd"/>
      <w:r w:rsidR="0058425E" w:rsidRPr="0058425E">
        <w:rPr>
          <w:rStyle w:val="Nmerodepgina"/>
          <w:rFonts w:ascii="Times New Roman" w:hAnsi="Times New Roman" w:cs="Times New Roman"/>
          <w:lang w:val="es-ES_tradnl"/>
        </w:rPr>
        <w:t>”</w:t>
      </w:r>
      <w:r w:rsidR="00312B7D">
        <w:rPr>
          <w:rStyle w:val="Nmerodepgina"/>
          <w:rFonts w:ascii="Times New Roman" w:hAnsi="Times New Roman" w:cs="Times New Roman"/>
          <w:lang w:val="es-ES_tradnl"/>
        </w:rPr>
        <w:t xml:space="preserve">, </w:t>
      </w:r>
      <w:r w:rsidR="00312B7D" w:rsidRPr="007E1FC6">
        <w:rPr>
          <w:rStyle w:val="Nmerodepgina"/>
          <w:rFonts w:ascii="Times New Roman" w:hAnsi="Times New Roman" w:cs="Times New Roman"/>
          <w:lang w:val="es-ES_tradnl"/>
        </w:rPr>
        <w:t xml:space="preserve">con un </w:t>
      </w:r>
      <w:r w:rsidR="00312B7D">
        <w:rPr>
          <w:rStyle w:val="Nmerodepgina"/>
          <w:rFonts w:ascii="Times New Roman" w:hAnsi="Times New Roman" w:cs="Times New Roman"/>
          <w:lang w:val="es-ES_tradnl"/>
        </w:rPr>
        <w:t xml:space="preserve">valor estimado </w:t>
      </w:r>
      <w:r w:rsidR="00312B7D" w:rsidRPr="007E1FC6">
        <w:rPr>
          <w:rStyle w:val="Nmerodepgina"/>
          <w:rFonts w:ascii="Times New Roman" w:hAnsi="Times New Roman" w:cs="Times New Roman"/>
          <w:lang w:val="es-ES_tradnl"/>
        </w:rPr>
        <w:t xml:space="preserve">de </w:t>
      </w:r>
      <w:r w:rsidR="00312B7D" w:rsidRPr="0058425E">
        <w:rPr>
          <w:rStyle w:val="Nmerodepgina"/>
          <w:rFonts w:ascii="Times New Roman" w:hAnsi="Times New Roman" w:cs="Times New Roman"/>
          <w:lang w:val="es-ES_tradnl"/>
        </w:rPr>
        <w:t>1.478.453,34 euros (IVA excluido)</w:t>
      </w:r>
      <w:r w:rsidR="00312B7D" w:rsidRPr="007E1FC6">
        <w:rPr>
          <w:rStyle w:val="Nmerodepgina"/>
          <w:rFonts w:ascii="Times New Roman" w:hAnsi="Times New Roman" w:cs="Times New Roman"/>
          <w:lang w:val="es-ES_tradnl"/>
        </w:rPr>
        <w:t xml:space="preserve">, con número de expediente </w:t>
      </w:r>
      <w:r w:rsidR="00312B7D">
        <w:rPr>
          <w:rStyle w:val="Nmerodepgina"/>
          <w:rFonts w:ascii="Times New Roman" w:hAnsi="Times New Roman" w:cs="Times New Roman"/>
          <w:lang w:val="es-ES_tradnl"/>
        </w:rPr>
        <w:t>4/25</w:t>
      </w:r>
      <w:r w:rsidR="00312B7D" w:rsidRPr="007E1FC6">
        <w:rPr>
          <w:rStyle w:val="Nmerodepgina"/>
          <w:rFonts w:ascii="Times New Roman" w:hAnsi="Times New Roman" w:cs="Times New Roman"/>
          <w:lang w:val="es-ES_tradnl"/>
        </w:rPr>
        <w:t>.</w:t>
      </w:r>
      <w:r w:rsidR="00312B7D">
        <w:rPr>
          <w:rStyle w:val="Nmerodepgina"/>
          <w:rFonts w:ascii="Times New Roman" w:hAnsi="Times New Roman" w:cs="Times New Roman"/>
          <w:lang w:val="es-ES_tradnl"/>
        </w:rPr>
        <w:t xml:space="preserve"> </w:t>
      </w:r>
      <w:r w:rsidR="0058425E" w:rsidRPr="0058425E">
        <w:rPr>
          <w:rStyle w:val="Nmerodepgina"/>
          <w:rFonts w:ascii="Times New Roman" w:hAnsi="Times New Roman" w:cs="Times New Roman"/>
          <w:lang w:val="es-ES_tradnl"/>
        </w:rPr>
        <w:t xml:space="preserve">El anuncio de licitación se envió al Diario Oficial de </w:t>
      </w:r>
      <w:r w:rsidR="0058425E" w:rsidRPr="0058425E">
        <w:rPr>
          <w:rStyle w:val="Nmerodepgina"/>
          <w:rFonts w:ascii="Times New Roman" w:hAnsi="Times New Roman" w:cs="Times New Roman"/>
          <w:lang w:val="es-ES_tradnl"/>
        </w:rPr>
        <w:lastRenderedPageBreak/>
        <w:t>la Unión Europea el 8 de septiembre de 2025, habiendo sido publicado en la Plataforma de Contratación Pública de Euskadi el 9 de septiembre de 2025</w:t>
      </w:r>
      <w:r w:rsidR="0058425E">
        <w:rPr>
          <w:rStyle w:val="Nmerodepgina"/>
          <w:rFonts w:ascii="Times New Roman" w:hAnsi="Times New Roman" w:cs="Times New Roman"/>
          <w:lang w:val="es-ES_tradnl"/>
        </w:rPr>
        <w:t xml:space="preserve">. </w:t>
      </w:r>
    </w:p>
    <w:p w14:paraId="181BCC29" w14:textId="61A59FC7" w:rsidR="0058425E" w:rsidRPr="0058425E" w:rsidRDefault="0058425E" w:rsidP="0058425E">
      <w:pPr>
        <w:tabs>
          <w:tab w:val="left" w:pos="3261"/>
        </w:tabs>
        <w:spacing w:after="120"/>
        <w:jc w:val="both"/>
        <w:rPr>
          <w:rStyle w:val="Nmerodepgina"/>
          <w:rFonts w:ascii="Times New Roman" w:hAnsi="Times New Roman" w:cs="Times New Roman"/>
          <w:lang w:val="es-ES_tradnl"/>
        </w:rPr>
      </w:pPr>
      <w:r>
        <w:rPr>
          <w:rStyle w:val="Nmerodepgina"/>
          <w:rFonts w:ascii="Times New Roman" w:hAnsi="Times New Roman" w:cs="Times New Roman"/>
          <w:b/>
          <w:bCs/>
          <w:lang w:val="es-ES_tradnl"/>
        </w:rPr>
        <w:t>2</w:t>
      </w:r>
      <w:r w:rsidR="007E1FC6" w:rsidRPr="007E1FC6">
        <w:rPr>
          <w:rStyle w:val="Nmerodepgina"/>
          <w:rFonts w:ascii="Times New Roman" w:hAnsi="Times New Roman" w:cs="Times New Roman"/>
          <w:b/>
          <w:bCs/>
          <w:lang w:val="es-ES_tradnl"/>
        </w:rPr>
        <w:t>º. –</w:t>
      </w:r>
      <w:r w:rsidRPr="0058425E">
        <w:rPr>
          <w:rStyle w:val="Nmerodepgina"/>
          <w:rFonts w:ascii="Times New Roman" w:hAnsi="Times New Roman" w:cs="Times New Roman"/>
          <w:lang w:val="es-ES_tradnl"/>
        </w:rPr>
        <w:t>El 6 de octubre de 2025 tuvo entrada en el Registro Electrónico Común de la Diputación Foral de Alava escrito de ratificación y personación en el expediente relativo al recurso especial en materia de contratación contra el pliego de prescripciones técnicas del contrato denominado “Programa de transición a la vida autónoma “</w:t>
      </w:r>
      <w:proofErr w:type="spellStart"/>
      <w:r w:rsidRPr="0058425E">
        <w:rPr>
          <w:rStyle w:val="Nmerodepgina"/>
          <w:rFonts w:ascii="Times New Roman" w:hAnsi="Times New Roman" w:cs="Times New Roman"/>
          <w:lang w:val="es-ES_tradnl"/>
        </w:rPr>
        <w:t>Abiatuz</w:t>
      </w:r>
      <w:proofErr w:type="spellEnd"/>
      <w:r w:rsidRPr="0058425E">
        <w:rPr>
          <w:rStyle w:val="Nmerodepgina"/>
          <w:rFonts w:ascii="Times New Roman" w:hAnsi="Times New Roman" w:cs="Times New Roman"/>
          <w:lang w:val="es-ES_tradnl"/>
        </w:rPr>
        <w:t>””, remitido por el OARC de Euskadi al OAFRC competente</w:t>
      </w:r>
      <w:r>
        <w:rPr>
          <w:rStyle w:val="Nmerodepgina"/>
          <w:rFonts w:ascii="Times New Roman" w:hAnsi="Times New Roman" w:cs="Times New Roman"/>
          <w:lang w:val="es-ES_tradnl"/>
        </w:rPr>
        <w:t>, que tuvo registro de entrada ante el citado OARC de Euskadi el 30 de setiembre de 2025.</w:t>
      </w:r>
    </w:p>
    <w:p w14:paraId="007F2062" w14:textId="65FF3FC4" w:rsidR="00312B7D" w:rsidRPr="00312B7D" w:rsidRDefault="0058425E" w:rsidP="00312B7D">
      <w:pPr>
        <w:tabs>
          <w:tab w:val="left" w:pos="3261"/>
        </w:tabs>
        <w:spacing w:after="120"/>
        <w:jc w:val="both"/>
        <w:rPr>
          <w:rStyle w:val="Nmerodepgina"/>
          <w:rFonts w:ascii="Times New Roman" w:hAnsi="Times New Roman" w:cs="Times New Roman"/>
          <w:lang w:val="es-ES_tradnl"/>
        </w:rPr>
      </w:pPr>
      <w:r>
        <w:rPr>
          <w:rStyle w:val="Nmerodepgina"/>
          <w:rFonts w:ascii="Times New Roman" w:hAnsi="Times New Roman" w:cs="Times New Roman"/>
          <w:b/>
          <w:bCs/>
          <w:lang w:val="es-ES_tradnl"/>
        </w:rPr>
        <w:t>3º.-</w:t>
      </w:r>
      <w:r w:rsidR="00312B7D" w:rsidRPr="00312B7D">
        <w:t xml:space="preserve"> </w:t>
      </w:r>
      <w:r w:rsidR="00312B7D" w:rsidRPr="00312B7D">
        <w:rPr>
          <w:rFonts w:ascii="Times New Roman" w:hAnsi="Times New Roman" w:cs="Times New Roman"/>
        </w:rPr>
        <w:t xml:space="preserve">Por otra parte, </w:t>
      </w:r>
      <w:r w:rsidR="00312B7D" w:rsidRPr="00312B7D">
        <w:rPr>
          <w:rStyle w:val="Nmerodepgina"/>
          <w:rFonts w:ascii="Times New Roman" w:hAnsi="Times New Roman" w:cs="Times New Roman"/>
          <w:lang w:val="es-ES_tradnl"/>
        </w:rPr>
        <w:t xml:space="preserve">mediante Acuerdo del OC, de 31 de julio de 2025, se aprobó iniciar el expediente de contratación del </w:t>
      </w:r>
      <w:r w:rsidR="00312B7D" w:rsidRPr="00312B7D">
        <w:rPr>
          <w:rStyle w:val="Nmerodepgina"/>
          <w:rFonts w:ascii="Times New Roman" w:hAnsi="Times New Roman" w:cs="Times New Roman"/>
          <w:b/>
          <w:bCs/>
          <w:lang w:val="es-ES_tradnl"/>
        </w:rPr>
        <w:t>programa “Ondoan</w:t>
      </w:r>
      <w:r w:rsidR="00312B7D">
        <w:rPr>
          <w:rStyle w:val="Nmerodepgina"/>
          <w:rFonts w:ascii="Times New Roman" w:hAnsi="Times New Roman" w:cs="Times New Roman"/>
          <w:lang w:val="es-ES_tradnl"/>
        </w:rPr>
        <w:t xml:space="preserve">”, </w:t>
      </w:r>
      <w:r w:rsidR="00312B7D" w:rsidRPr="00312B7D">
        <w:rPr>
          <w:rStyle w:val="Nmerodepgina"/>
          <w:rFonts w:ascii="Times New Roman" w:hAnsi="Times New Roman" w:cs="Times New Roman"/>
          <w:lang w:val="es-ES_tradnl"/>
        </w:rPr>
        <w:t>de acogimiento residencial a personas menores de edad en situación de desamparo o de riesgo grave de desamparo junto a la atención residencial de uno de sus progenitores, de acogimiento residencial a adolescentes embarazadas en situación de desamparo o de riesgo grave de desamparo y de atención residencial a mujeres en estado de gestación en las que se ha detectado una situación de maltrato prenatal</w:t>
      </w:r>
      <w:r w:rsidR="00312B7D">
        <w:rPr>
          <w:rStyle w:val="Nmerodepgina"/>
          <w:rFonts w:ascii="Times New Roman" w:hAnsi="Times New Roman" w:cs="Times New Roman"/>
          <w:lang w:val="es-ES_tradnl"/>
        </w:rPr>
        <w:t xml:space="preserve">, con un </w:t>
      </w:r>
      <w:r w:rsidR="00312B7D" w:rsidRPr="00312B7D">
        <w:rPr>
          <w:rFonts w:ascii="Times New Roman" w:hAnsi="Times New Roman" w:cs="Times New Roman"/>
        </w:rPr>
        <w:t xml:space="preserve">valor estimado asciende a </w:t>
      </w:r>
      <w:r w:rsidR="00312B7D" w:rsidRPr="00312B7D">
        <w:rPr>
          <w:rFonts w:ascii="Times New Roman" w:hAnsi="Times New Roman" w:cs="Times New Roman"/>
          <w:b/>
          <w:bCs/>
        </w:rPr>
        <w:t>3.803,285,40 euros</w:t>
      </w:r>
      <w:r w:rsidR="00312B7D" w:rsidRPr="00312B7D">
        <w:rPr>
          <w:rFonts w:ascii="Times New Roman" w:hAnsi="Times New Roman" w:cs="Times New Roman"/>
        </w:rPr>
        <w:t xml:space="preserve"> (IVA excluido)</w:t>
      </w:r>
      <w:r w:rsidR="00312B7D" w:rsidRPr="00312B7D">
        <w:rPr>
          <w:rStyle w:val="Nmerodepgina"/>
          <w:rFonts w:ascii="Times New Roman" w:hAnsi="Times New Roman" w:cs="Times New Roman"/>
          <w:lang w:val="es-ES_tradnl"/>
        </w:rPr>
        <w:t>. El anuncio de licitación se envió al Diario Oficial de la Unión Europea el 8 de septiembre de 2025, habiendo sido publicado en la Plataforma de Contratación Pública de Euskadi el 9 de septiembre de 2025.</w:t>
      </w:r>
    </w:p>
    <w:p w14:paraId="0E687826" w14:textId="77777777" w:rsidR="00312B7D" w:rsidRPr="0058425E" w:rsidRDefault="00312B7D" w:rsidP="00312B7D">
      <w:pPr>
        <w:tabs>
          <w:tab w:val="left" w:pos="3261"/>
        </w:tabs>
        <w:spacing w:after="120"/>
        <w:jc w:val="both"/>
        <w:rPr>
          <w:rStyle w:val="Nmerodepgina"/>
          <w:rFonts w:ascii="Times New Roman" w:hAnsi="Times New Roman" w:cs="Times New Roman"/>
          <w:lang w:val="es-ES_tradnl"/>
        </w:rPr>
      </w:pPr>
      <w:r w:rsidRPr="00312B7D">
        <w:rPr>
          <w:rStyle w:val="Nmerodepgina"/>
          <w:rFonts w:ascii="Times New Roman" w:hAnsi="Times New Roman" w:cs="Times New Roman"/>
          <w:b/>
          <w:bCs/>
          <w:lang w:val="es-ES_tradnl"/>
        </w:rPr>
        <w:t>4º</w:t>
      </w:r>
      <w:r>
        <w:rPr>
          <w:rStyle w:val="Nmerodepgina"/>
          <w:rFonts w:ascii="Times New Roman" w:hAnsi="Times New Roman" w:cs="Times New Roman"/>
          <w:lang w:val="es-ES_tradnl"/>
        </w:rPr>
        <w:t>.-</w:t>
      </w:r>
      <w:r w:rsidRPr="00312B7D">
        <w:rPr>
          <w:rStyle w:val="Nmerodepgina"/>
          <w:rFonts w:ascii="Times New Roman" w:hAnsi="Times New Roman" w:cs="Times New Roman"/>
          <w:lang w:val="es-ES_tradnl"/>
        </w:rPr>
        <w:t xml:space="preserve"> El 6 de octubre de 2025 tuvo entrada en el Registro Electrónico Común de la Diputación Foral de Alava escrito de ratificación y personación en el expediente relativo al recurso especial en materia de contratación contra el pliego de prescripciones técnicas del contrato denominado “Programa “Ondoan””, remitido por el OARC de Euskadi al OAFRC competente</w:t>
      </w:r>
      <w:r>
        <w:rPr>
          <w:rStyle w:val="Nmerodepgina"/>
          <w:rFonts w:ascii="Times New Roman" w:hAnsi="Times New Roman" w:cs="Times New Roman"/>
          <w:lang w:val="es-ES_tradnl"/>
        </w:rPr>
        <w:t>, que tuvo registro de entrada ante el citado OARC de Euskadi el 30 de setiembre de 2025.</w:t>
      </w:r>
    </w:p>
    <w:p w14:paraId="63F14137" w14:textId="58D5FE54" w:rsidR="0058425E" w:rsidRPr="00312B7D" w:rsidRDefault="0058425E" w:rsidP="00312B7D">
      <w:pPr>
        <w:tabs>
          <w:tab w:val="left" w:pos="3261"/>
        </w:tabs>
        <w:spacing w:after="120"/>
        <w:jc w:val="both"/>
        <w:rPr>
          <w:rStyle w:val="Nmerodepgina"/>
          <w:rFonts w:ascii="Times New Roman" w:hAnsi="Times New Roman" w:cs="Times New Roman"/>
          <w:lang w:val="es-ES_tradnl"/>
        </w:rPr>
      </w:pPr>
    </w:p>
    <w:p w14:paraId="0E7CF2A3" w14:textId="29D6FB11" w:rsidR="00312B7D" w:rsidRDefault="00312B7D" w:rsidP="0058425E">
      <w:pPr>
        <w:tabs>
          <w:tab w:val="left" w:pos="3261"/>
        </w:tabs>
        <w:spacing w:after="120"/>
        <w:jc w:val="both"/>
        <w:rPr>
          <w:rStyle w:val="Nmerodepgina"/>
          <w:rFonts w:ascii="Times New Roman" w:hAnsi="Times New Roman" w:cs="Times New Roman"/>
          <w:lang w:val="es-ES_tradnl"/>
        </w:rPr>
      </w:pPr>
      <w:r w:rsidRPr="00312B7D">
        <w:rPr>
          <w:rFonts w:ascii="Times New Roman" w:hAnsi="Times New Roman" w:cs="Times New Roman"/>
          <w:b/>
          <w:bCs/>
          <w:lang w:val="es-ES_tradnl"/>
        </w:rPr>
        <w:t>5º.</w:t>
      </w:r>
      <w:r>
        <w:rPr>
          <w:rFonts w:ascii="Times New Roman" w:hAnsi="Times New Roman" w:cs="Times New Roman"/>
          <w:lang w:val="es-ES_tradnl"/>
        </w:rPr>
        <w:t xml:space="preserve">- </w:t>
      </w:r>
      <w:r w:rsidRPr="007E1FC6">
        <w:rPr>
          <w:rStyle w:val="Nmerodepgina"/>
          <w:rFonts w:ascii="Times New Roman" w:hAnsi="Times New Roman" w:cs="Times New Roman"/>
          <w:lang w:val="es-ES_tradnl"/>
        </w:rPr>
        <w:t xml:space="preserve">En </w:t>
      </w:r>
      <w:r>
        <w:rPr>
          <w:rStyle w:val="Nmerodepgina"/>
          <w:rFonts w:ascii="Times New Roman" w:hAnsi="Times New Roman" w:cs="Times New Roman"/>
          <w:lang w:val="es-ES_tradnl"/>
        </w:rPr>
        <w:t>ambos</w:t>
      </w:r>
      <w:r w:rsidRPr="007E1FC6">
        <w:rPr>
          <w:rStyle w:val="Nmerodepgina"/>
          <w:rFonts w:ascii="Times New Roman" w:hAnsi="Times New Roman" w:cs="Times New Roman"/>
          <w:lang w:val="es-ES_tradnl"/>
        </w:rPr>
        <w:t xml:space="preserve"> RE-</w:t>
      </w:r>
      <w:r>
        <w:rPr>
          <w:rStyle w:val="Nmerodepgina"/>
          <w:rFonts w:ascii="Times New Roman" w:hAnsi="Times New Roman" w:cs="Times New Roman"/>
          <w:lang w:val="es-ES_tradnl"/>
        </w:rPr>
        <w:t>19</w:t>
      </w:r>
      <w:r w:rsidRPr="007E1FC6">
        <w:rPr>
          <w:rStyle w:val="Nmerodepgina"/>
          <w:rFonts w:ascii="Times New Roman" w:hAnsi="Times New Roman" w:cs="Times New Roman"/>
          <w:lang w:val="es-ES_tradnl"/>
        </w:rPr>
        <w:t>/25</w:t>
      </w:r>
      <w:r>
        <w:rPr>
          <w:rStyle w:val="Nmerodepgina"/>
          <w:rFonts w:ascii="Times New Roman" w:hAnsi="Times New Roman" w:cs="Times New Roman"/>
          <w:lang w:val="es-ES_tradnl"/>
        </w:rPr>
        <w:t xml:space="preserve"> y 20/25</w:t>
      </w:r>
      <w:r w:rsidRPr="007E1FC6">
        <w:rPr>
          <w:rStyle w:val="Nmerodepgina"/>
          <w:rFonts w:ascii="Times New Roman" w:hAnsi="Times New Roman" w:cs="Times New Roman"/>
          <w:lang w:val="es-ES_tradnl"/>
        </w:rPr>
        <w:t xml:space="preserve">, se </w:t>
      </w:r>
      <w:r>
        <w:rPr>
          <w:rStyle w:val="Nmerodepgina"/>
          <w:rFonts w:ascii="Times New Roman" w:hAnsi="Times New Roman" w:cs="Times New Roman"/>
          <w:lang w:val="es-ES_tradnl"/>
        </w:rPr>
        <w:t>ha solicitado</w:t>
      </w:r>
      <w:r w:rsidRPr="007E1FC6">
        <w:rPr>
          <w:rStyle w:val="Nmerodepgina"/>
          <w:rFonts w:ascii="Times New Roman" w:hAnsi="Times New Roman" w:cs="Times New Roman"/>
          <w:lang w:val="es-ES_tradnl"/>
        </w:rPr>
        <w:t xml:space="preserve"> la suspensión de</w:t>
      </w:r>
      <w:r>
        <w:rPr>
          <w:rStyle w:val="Nmerodepgina"/>
          <w:rFonts w:ascii="Times New Roman" w:hAnsi="Times New Roman" w:cs="Times New Roman"/>
          <w:lang w:val="es-ES_tradnl"/>
        </w:rPr>
        <w:t xml:space="preserve"> los actos recurridos </w:t>
      </w:r>
      <w:r w:rsidRPr="00D03FF5">
        <w:rPr>
          <w:rStyle w:val="Nmerodepgina"/>
          <w:rFonts w:ascii="Times New Roman" w:hAnsi="Times New Roman" w:cs="Times New Roman"/>
          <w:lang w:val="es-ES_tradnl"/>
        </w:rPr>
        <w:t>hasta que se resuelva</w:t>
      </w:r>
      <w:r>
        <w:rPr>
          <w:rStyle w:val="Nmerodepgina"/>
          <w:rFonts w:ascii="Times New Roman" w:hAnsi="Times New Roman" w:cs="Times New Roman"/>
          <w:lang w:val="es-ES_tradnl"/>
        </w:rPr>
        <w:t>n</w:t>
      </w:r>
      <w:r w:rsidRPr="00D03FF5">
        <w:rPr>
          <w:rStyle w:val="Nmerodepgina"/>
          <w:rFonts w:ascii="Times New Roman" w:hAnsi="Times New Roman" w:cs="Times New Roman"/>
          <w:lang w:val="es-ES_tradnl"/>
        </w:rPr>
        <w:t xml:space="preserve"> </w:t>
      </w:r>
      <w:r>
        <w:rPr>
          <w:rStyle w:val="Nmerodepgina"/>
          <w:rFonts w:ascii="Times New Roman" w:hAnsi="Times New Roman" w:cs="Times New Roman"/>
          <w:lang w:val="es-ES_tradnl"/>
        </w:rPr>
        <w:t>ambos RE</w:t>
      </w:r>
      <w:r w:rsidRPr="00D03FF5">
        <w:rPr>
          <w:rStyle w:val="Nmerodepgina"/>
          <w:rFonts w:ascii="Times New Roman" w:hAnsi="Times New Roman" w:cs="Times New Roman"/>
          <w:lang w:val="es-ES_tradnl"/>
        </w:rPr>
        <w:t>, habida cuenta los perjuicios de imposible o difícil reparación que podrían</w:t>
      </w:r>
      <w:r>
        <w:rPr>
          <w:rStyle w:val="Nmerodepgina"/>
          <w:rFonts w:ascii="Times New Roman" w:hAnsi="Times New Roman" w:cs="Times New Roman"/>
          <w:lang w:val="es-ES_tradnl"/>
        </w:rPr>
        <w:t xml:space="preserve"> </w:t>
      </w:r>
      <w:r w:rsidRPr="00D03FF5">
        <w:rPr>
          <w:rStyle w:val="Nmerodepgina"/>
          <w:rFonts w:ascii="Times New Roman" w:hAnsi="Times New Roman" w:cs="Times New Roman"/>
          <w:lang w:val="es-ES_tradnl"/>
        </w:rPr>
        <w:t xml:space="preserve">ocasionarse ante una eventual estimación </w:t>
      </w:r>
      <w:r>
        <w:rPr>
          <w:rStyle w:val="Nmerodepgina"/>
          <w:rFonts w:ascii="Times New Roman" w:hAnsi="Times New Roman" w:cs="Times New Roman"/>
          <w:lang w:val="es-ES_tradnl"/>
        </w:rPr>
        <w:t>de estos.</w:t>
      </w:r>
    </w:p>
    <w:p w14:paraId="2CCA52DC" w14:textId="3A0DAC93" w:rsidR="0058425E" w:rsidRPr="00312B7D" w:rsidRDefault="00312B7D" w:rsidP="0058425E">
      <w:pPr>
        <w:tabs>
          <w:tab w:val="left" w:pos="3261"/>
        </w:tabs>
        <w:spacing w:after="120"/>
        <w:jc w:val="both"/>
        <w:rPr>
          <w:rStyle w:val="Nmerodepgina"/>
          <w:rFonts w:ascii="Times New Roman" w:hAnsi="Times New Roman" w:cs="Times New Roman"/>
          <w:lang w:val="es-ES_tradnl"/>
        </w:rPr>
      </w:pPr>
      <w:r w:rsidRPr="00312B7D">
        <w:rPr>
          <w:rFonts w:ascii="Times New Roman" w:hAnsi="Times New Roman" w:cs="Times New Roman"/>
        </w:rPr>
        <w:t>El OAFRC dictó</w:t>
      </w:r>
      <w:r>
        <w:rPr>
          <w:rFonts w:ascii="Times New Roman" w:hAnsi="Times New Roman" w:cs="Times New Roman"/>
        </w:rPr>
        <w:t>,</w:t>
      </w:r>
      <w:r w:rsidRPr="00312B7D">
        <w:rPr>
          <w:rFonts w:ascii="Times New Roman" w:hAnsi="Times New Roman" w:cs="Times New Roman"/>
        </w:rPr>
        <w:t xml:space="preserve"> con fecha 9 de octubre de 2025, la Resolución 31/2025, de suspensión del procedimiento de contratación de la licitación del contrato denominado “Programa de transición a la vida autónoma “</w:t>
      </w:r>
      <w:proofErr w:type="spellStart"/>
      <w:r w:rsidRPr="00312B7D">
        <w:rPr>
          <w:rFonts w:ascii="Times New Roman" w:hAnsi="Times New Roman" w:cs="Times New Roman"/>
        </w:rPr>
        <w:t>Abiatuz</w:t>
      </w:r>
      <w:proofErr w:type="spellEnd"/>
      <w:r w:rsidRPr="00312B7D">
        <w:rPr>
          <w:rFonts w:ascii="Times New Roman" w:hAnsi="Times New Roman" w:cs="Times New Roman"/>
        </w:rPr>
        <w:t>”” (</w:t>
      </w:r>
      <w:proofErr w:type="spellStart"/>
      <w:r w:rsidRPr="00312B7D">
        <w:rPr>
          <w:rFonts w:ascii="Times New Roman" w:hAnsi="Times New Roman" w:cs="Times New Roman"/>
        </w:rPr>
        <w:t>Expte</w:t>
      </w:r>
      <w:proofErr w:type="spellEnd"/>
      <w:r w:rsidRPr="00312B7D">
        <w:rPr>
          <w:rFonts w:ascii="Times New Roman" w:hAnsi="Times New Roman" w:cs="Times New Roman"/>
        </w:rPr>
        <w:t xml:space="preserve"> 04/25)</w:t>
      </w:r>
      <w:r>
        <w:rPr>
          <w:rFonts w:ascii="Times New Roman" w:hAnsi="Times New Roman" w:cs="Times New Roman"/>
        </w:rPr>
        <w:t>.</w:t>
      </w:r>
      <w:r w:rsidRPr="00312B7D">
        <w:rPr>
          <w:rFonts w:ascii="Times New Roman" w:hAnsi="Times New Roman" w:cs="Times New Roman"/>
        </w:rPr>
        <w:t xml:space="preserve"> </w:t>
      </w:r>
      <w:r w:rsidRPr="00312B7D">
        <w:rPr>
          <w:rFonts w:ascii="Times New Roman" w:hAnsi="Times New Roman" w:cs="Times New Roman"/>
          <w:lang w:val="es-ES_tradnl"/>
        </w:rPr>
        <w:t>Asimismo,</w:t>
      </w:r>
      <w:r w:rsidRPr="00312B7D">
        <w:rPr>
          <w:rStyle w:val="Nmerodepgina"/>
          <w:rFonts w:ascii="Times New Roman" w:hAnsi="Times New Roman" w:cs="Times New Roman"/>
          <w:lang w:val="es-ES_tradnl"/>
        </w:rPr>
        <w:t xml:space="preserve"> el OAFRC dictó, con fecha 10 de octubre de 2025</w:t>
      </w:r>
      <w:r>
        <w:rPr>
          <w:rStyle w:val="Nmerodepgina"/>
          <w:rFonts w:ascii="Times New Roman" w:hAnsi="Times New Roman" w:cs="Times New Roman"/>
          <w:lang w:val="es-ES_tradnl"/>
        </w:rPr>
        <w:t>,</w:t>
      </w:r>
      <w:r w:rsidRPr="00312B7D">
        <w:rPr>
          <w:rStyle w:val="Nmerodepgina"/>
          <w:rFonts w:ascii="Times New Roman" w:hAnsi="Times New Roman" w:cs="Times New Roman"/>
          <w:lang w:val="es-ES_tradnl"/>
        </w:rPr>
        <w:t xml:space="preserve"> la Resolución 32/2025, con</w:t>
      </w:r>
      <w:r w:rsidRPr="00312B7D">
        <w:rPr>
          <w:rFonts w:ascii="Times New Roman" w:hAnsi="Times New Roman" w:cs="Times New Roman"/>
        </w:rPr>
        <w:t xml:space="preserve"> la medida provisional de suspensión del procedimiento de contratación de la licitación del contrato denominado </w:t>
      </w:r>
      <w:r w:rsidRPr="00312B7D">
        <w:rPr>
          <w:rFonts w:ascii="Times New Roman" w:hAnsi="Times New Roman" w:cs="Times New Roman"/>
          <w:lang w:val="es-ES_tradnl"/>
        </w:rPr>
        <w:t>“Programa “Ondoan”</w:t>
      </w:r>
      <w:r>
        <w:rPr>
          <w:rFonts w:ascii="Times New Roman" w:hAnsi="Times New Roman" w:cs="Times New Roman"/>
          <w:lang w:val="es-ES_tradnl"/>
        </w:rPr>
        <w:t>, expte 48/25</w:t>
      </w:r>
      <w:r w:rsidR="002C18D8">
        <w:rPr>
          <w:rFonts w:ascii="Times New Roman" w:hAnsi="Times New Roman" w:cs="Times New Roman"/>
          <w:lang w:val="es-ES_tradnl"/>
        </w:rPr>
        <w:t>.</w:t>
      </w:r>
    </w:p>
    <w:p w14:paraId="3588F777" w14:textId="663BED89" w:rsidR="002C18D8" w:rsidRPr="002C18D8" w:rsidRDefault="00312B7D" w:rsidP="002C18D8">
      <w:pPr>
        <w:tabs>
          <w:tab w:val="left" w:pos="3261"/>
        </w:tabs>
        <w:spacing w:after="120"/>
        <w:jc w:val="both"/>
        <w:rPr>
          <w:rStyle w:val="Nmerodepgina"/>
          <w:rFonts w:ascii="Times New Roman" w:hAnsi="Times New Roman" w:cs="Times New Roman"/>
          <w:lang w:val="es-ES_tradnl"/>
        </w:rPr>
      </w:pPr>
      <w:r>
        <w:rPr>
          <w:rStyle w:val="Nmerodepgina"/>
          <w:rFonts w:ascii="Times New Roman" w:hAnsi="Times New Roman" w:cs="Times New Roman"/>
          <w:b/>
          <w:bCs/>
          <w:lang w:val="es-ES_tradnl"/>
        </w:rPr>
        <w:t>6º</w:t>
      </w:r>
      <w:r w:rsidR="007E1FC6" w:rsidRPr="007E1FC6">
        <w:rPr>
          <w:rStyle w:val="Nmerodepgina"/>
          <w:rFonts w:ascii="Times New Roman" w:hAnsi="Times New Roman" w:cs="Times New Roman"/>
          <w:b/>
          <w:bCs/>
          <w:lang w:val="es-ES_tradnl"/>
        </w:rPr>
        <w:t>. –</w:t>
      </w:r>
      <w:r w:rsidR="007E1FC6" w:rsidRPr="007E1FC6">
        <w:rPr>
          <w:rStyle w:val="Nmerodepgina"/>
          <w:rFonts w:ascii="Times New Roman" w:hAnsi="Times New Roman" w:cs="Times New Roman"/>
          <w:lang w:val="es-ES_tradnl"/>
        </w:rPr>
        <w:t xml:space="preserve"> </w:t>
      </w:r>
      <w:r w:rsidR="002C18D8">
        <w:rPr>
          <w:rStyle w:val="Nmerodepgina"/>
          <w:rFonts w:ascii="Times New Roman" w:hAnsi="Times New Roman" w:cs="Times New Roman"/>
          <w:lang w:val="es-ES_tradnl"/>
        </w:rPr>
        <w:t>Aunque el objeto de estos recursos son licitaciones diferentes, l</w:t>
      </w:r>
      <w:r w:rsidR="007E1FC6">
        <w:rPr>
          <w:rStyle w:val="Nmerodepgina"/>
          <w:rFonts w:ascii="Times New Roman" w:hAnsi="Times New Roman" w:cs="Times New Roman"/>
          <w:lang w:val="es-ES_tradnl"/>
        </w:rPr>
        <w:t xml:space="preserve">os motivos esgrimidos por la recurrente </w:t>
      </w:r>
      <w:r w:rsidR="00AA5FA0">
        <w:rPr>
          <w:rStyle w:val="Nmerodepgina"/>
          <w:rFonts w:ascii="Times New Roman" w:hAnsi="Times New Roman" w:cs="Times New Roman"/>
          <w:lang w:val="es-ES_tradnl"/>
        </w:rPr>
        <w:t xml:space="preserve">en </w:t>
      </w:r>
      <w:r w:rsidR="002C18D8">
        <w:rPr>
          <w:rStyle w:val="Nmerodepgina"/>
          <w:rFonts w:ascii="Times New Roman" w:hAnsi="Times New Roman" w:cs="Times New Roman"/>
          <w:lang w:val="es-ES_tradnl"/>
        </w:rPr>
        <w:t>estos recursos</w:t>
      </w:r>
      <w:r w:rsidR="007E1FC6">
        <w:rPr>
          <w:rStyle w:val="Nmerodepgina"/>
          <w:rFonts w:ascii="Times New Roman" w:hAnsi="Times New Roman" w:cs="Times New Roman"/>
          <w:lang w:val="es-ES_tradnl"/>
        </w:rPr>
        <w:t xml:space="preserve"> guardan una </w:t>
      </w:r>
      <w:r w:rsidR="002C18D8">
        <w:rPr>
          <w:rStyle w:val="Nmerodepgina"/>
          <w:rFonts w:ascii="Times New Roman" w:hAnsi="Times New Roman" w:cs="Times New Roman"/>
          <w:lang w:val="es-ES_tradnl"/>
        </w:rPr>
        <w:t>íntima conexión. El fundamento común hace referencia al</w:t>
      </w:r>
      <w:r w:rsidR="002C18D8" w:rsidRPr="002C18D8">
        <w:rPr>
          <w:rStyle w:val="Nmerodepgina"/>
          <w:rFonts w:ascii="Times New Roman" w:hAnsi="Times New Roman" w:cs="Times New Roman"/>
          <w:lang w:val="es-ES_tradnl"/>
        </w:rPr>
        <w:t xml:space="preserve"> personal subrogado</w:t>
      </w:r>
      <w:r w:rsidR="002C18D8">
        <w:rPr>
          <w:rStyle w:val="Nmerodepgina"/>
          <w:rFonts w:ascii="Times New Roman" w:hAnsi="Times New Roman" w:cs="Times New Roman"/>
          <w:lang w:val="es-ES_tradnl"/>
        </w:rPr>
        <w:t xml:space="preserve"> o a subrogar. El recurrente </w:t>
      </w:r>
      <w:r w:rsidR="002C18D8" w:rsidRPr="002C18D8">
        <w:rPr>
          <w:rStyle w:val="Nmerodepgina"/>
          <w:rFonts w:ascii="Times New Roman" w:hAnsi="Times New Roman" w:cs="Times New Roman"/>
          <w:lang w:val="es-ES_tradnl"/>
        </w:rPr>
        <w:t>denuncia una sobredotación</w:t>
      </w:r>
      <w:r w:rsidR="002C18D8">
        <w:rPr>
          <w:rStyle w:val="Nmerodepgina"/>
          <w:rFonts w:ascii="Times New Roman" w:hAnsi="Times New Roman" w:cs="Times New Roman"/>
          <w:lang w:val="es-ES_tradnl"/>
        </w:rPr>
        <w:t xml:space="preserve"> de personal en la licitación del recurso especial 19/25</w:t>
      </w:r>
      <w:r w:rsidR="002C18D8" w:rsidRPr="002C18D8">
        <w:rPr>
          <w:rStyle w:val="Nmerodepgina"/>
          <w:rFonts w:ascii="Times New Roman" w:hAnsi="Times New Roman" w:cs="Times New Roman"/>
          <w:lang w:val="es-ES_tradnl"/>
        </w:rPr>
        <w:t xml:space="preserve"> por</w:t>
      </w:r>
      <w:r w:rsidR="002C18D8">
        <w:rPr>
          <w:rStyle w:val="Nmerodepgina"/>
          <w:rFonts w:ascii="Times New Roman" w:hAnsi="Times New Roman" w:cs="Times New Roman"/>
          <w:lang w:val="es-ES_tradnl"/>
        </w:rPr>
        <w:t>que los pliegos incluyen</w:t>
      </w:r>
      <w:r w:rsidR="001E55E3">
        <w:rPr>
          <w:rStyle w:val="Nmerodepgina"/>
          <w:rFonts w:ascii="Times New Roman" w:hAnsi="Times New Roman" w:cs="Times New Roman"/>
          <w:lang w:val="es-ES_tradnl"/>
        </w:rPr>
        <w:t>—indebidamente—</w:t>
      </w:r>
      <w:r w:rsidR="002C18D8">
        <w:rPr>
          <w:rStyle w:val="Nmerodepgina"/>
          <w:rFonts w:ascii="Times New Roman" w:hAnsi="Times New Roman" w:cs="Times New Roman"/>
          <w:lang w:val="es-ES_tradnl"/>
        </w:rPr>
        <w:t xml:space="preserve"> la subrogación de</w:t>
      </w:r>
      <w:r w:rsidR="002C18D8" w:rsidRPr="002C18D8">
        <w:rPr>
          <w:rStyle w:val="Nmerodepgina"/>
          <w:rFonts w:ascii="Times New Roman" w:hAnsi="Times New Roman" w:cs="Times New Roman"/>
          <w:lang w:val="es-ES_tradnl"/>
        </w:rPr>
        <w:t xml:space="preserve"> personal procedente de "</w:t>
      </w:r>
      <w:proofErr w:type="spellStart"/>
      <w:r w:rsidR="002C18D8" w:rsidRPr="002C18D8">
        <w:rPr>
          <w:rStyle w:val="Nmerodepgina"/>
          <w:rFonts w:ascii="Times New Roman" w:hAnsi="Times New Roman" w:cs="Times New Roman"/>
          <w:lang w:val="es-ES_tradnl"/>
        </w:rPr>
        <w:t>Sortuleku</w:t>
      </w:r>
      <w:proofErr w:type="spellEnd"/>
      <w:r w:rsidR="002C18D8" w:rsidRPr="002C18D8">
        <w:rPr>
          <w:rStyle w:val="Nmerodepgina"/>
          <w:rFonts w:ascii="Times New Roman" w:hAnsi="Times New Roman" w:cs="Times New Roman"/>
          <w:lang w:val="es-ES_tradnl"/>
        </w:rPr>
        <w:t>"</w:t>
      </w:r>
      <w:r w:rsidR="002C18D8">
        <w:rPr>
          <w:rStyle w:val="Nmerodepgina"/>
          <w:rFonts w:ascii="Times New Roman" w:hAnsi="Times New Roman" w:cs="Times New Roman"/>
          <w:lang w:val="es-ES_tradnl"/>
        </w:rPr>
        <w:t xml:space="preserve">. Asimismo, la recurrente </w:t>
      </w:r>
      <w:r w:rsidR="002C18D8" w:rsidRPr="002C18D8">
        <w:rPr>
          <w:rStyle w:val="Nmerodepgina"/>
          <w:rFonts w:ascii="Times New Roman" w:hAnsi="Times New Roman" w:cs="Times New Roman"/>
          <w:lang w:val="es-ES_tradnl"/>
        </w:rPr>
        <w:t>denuncia la falta de mención alguna</w:t>
      </w:r>
      <w:r w:rsidR="002C18D8">
        <w:rPr>
          <w:rStyle w:val="Nmerodepgina"/>
          <w:rFonts w:ascii="Times New Roman" w:hAnsi="Times New Roman" w:cs="Times New Roman"/>
          <w:lang w:val="es-ES_tradnl"/>
        </w:rPr>
        <w:t xml:space="preserve"> en los pliegos de la licitación del recurso especial 20/25</w:t>
      </w:r>
      <w:r w:rsidR="002C18D8" w:rsidRPr="002C18D8">
        <w:rPr>
          <w:rStyle w:val="Nmerodepgina"/>
          <w:rFonts w:ascii="Times New Roman" w:hAnsi="Times New Roman" w:cs="Times New Roman"/>
          <w:lang w:val="es-ES_tradnl"/>
        </w:rPr>
        <w:t xml:space="preserve"> a la subrogación del personal de "</w:t>
      </w:r>
      <w:proofErr w:type="spellStart"/>
      <w:r w:rsidR="002C18D8" w:rsidRPr="002C18D8">
        <w:rPr>
          <w:rStyle w:val="Nmerodepgina"/>
          <w:rFonts w:ascii="Times New Roman" w:hAnsi="Times New Roman" w:cs="Times New Roman"/>
          <w:lang w:val="es-ES_tradnl"/>
        </w:rPr>
        <w:t>Sortuleku</w:t>
      </w:r>
      <w:proofErr w:type="spellEnd"/>
      <w:r w:rsidR="002C18D8" w:rsidRPr="002C18D8">
        <w:rPr>
          <w:rStyle w:val="Nmerodepgina"/>
          <w:rFonts w:ascii="Times New Roman" w:hAnsi="Times New Roman" w:cs="Times New Roman"/>
          <w:lang w:val="es-ES_tradnl"/>
        </w:rPr>
        <w:t xml:space="preserve">" </w:t>
      </w:r>
      <w:r w:rsidR="002C18D8">
        <w:rPr>
          <w:rStyle w:val="Nmerodepgina"/>
          <w:rFonts w:ascii="Times New Roman" w:hAnsi="Times New Roman" w:cs="Times New Roman"/>
          <w:lang w:val="es-ES_tradnl"/>
        </w:rPr>
        <w:t>pues entiende que</w:t>
      </w:r>
      <w:r w:rsidR="002C18D8" w:rsidRPr="002C18D8">
        <w:rPr>
          <w:rStyle w:val="Nmerodepgina"/>
          <w:rFonts w:ascii="Times New Roman" w:hAnsi="Times New Roman" w:cs="Times New Roman"/>
          <w:lang w:val="es-ES_tradnl"/>
        </w:rPr>
        <w:t xml:space="preserve"> debería haberse producido</w:t>
      </w:r>
      <w:r w:rsidR="002C18D8">
        <w:rPr>
          <w:rStyle w:val="Nmerodepgina"/>
          <w:rFonts w:ascii="Times New Roman" w:hAnsi="Times New Roman" w:cs="Times New Roman"/>
          <w:lang w:val="es-ES_tradnl"/>
        </w:rPr>
        <w:t xml:space="preserve"> la subrogación de este personal en esta segunda contratación (programa Ondoan) y no en la primera (programa </w:t>
      </w:r>
      <w:proofErr w:type="spellStart"/>
      <w:r w:rsidR="002C18D8">
        <w:rPr>
          <w:rStyle w:val="Nmerodepgina"/>
          <w:rFonts w:ascii="Times New Roman" w:hAnsi="Times New Roman" w:cs="Times New Roman"/>
          <w:lang w:val="es-ES_tradnl"/>
        </w:rPr>
        <w:t>Abiatuz</w:t>
      </w:r>
      <w:proofErr w:type="spellEnd"/>
      <w:r w:rsidR="002C18D8">
        <w:rPr>
          <w:rStyle w:val="Nmerodepgina"/>
          <w:rFonts w:ascii="Times New Roman" w:hAnsi="Times New Roman" w:cs="Times New Roman"/>
          <w:lang w:val="es-ES_tradnl"/>
        </w:rPr>
        <w:t>).</w:t>
      </w:r>
    </w:p>
    <w:p w14:paraId="4782FB54" w14:textId="3B172A6F" w:rsidR="002C18D8" w:rsidRPr="002C18D8" w:rsidRDefault="002C18D8" w:rsidP="002C18D8">
      <w:pPr>
        <w:tabs>
          <w:tab w:val="left" w:pos="3261"/>
        </w:tabs>
        <w:spacing w:after="120"/>
        <w:jc w:val="both"/>
        <w:rPr>
          <w:rStyle w:val="Nmerodepgina"/>
          <w:rFonts w:ascii="Times New Roman" w:hAnsi="Times New Roman" w:cs="Times New Roman"/>
          <w:lang w:val="es-ES_tradnl"/>
        </w:rPr>
      </w:pPr>
      <w:r>
        <w:rPr>
          <w:rStyle w:val="Nmerodepgina"/>
          <w:rFonts w:ascii="Times New Roman" w:hAnsi="Times New Roman" w:cs="Times New Roman"/>
          <w:lang w:val="es-ES_tradnl"/>
        </w:rPr>
        <w:lastRenderedPageBreak/>
        <w:t>La propia recurrente indica</w:t>
      </w:r>
      <w:r w:rsidRPr="002C18D8">
        <w:rPr>
          <w:rStyle w:val="Nmerodepgina"/>
          <w:rFonts w:ascii="Times New Roman" w:hAnsi="Times New Roman" w:cs="Times New Roman"/>
          <w:lang w:val="es-ES_tradnl"/>
        </w:rPr>
        <w:t xml:space="preserve"> que existe</w:t>
      </w:r>
      <w:r>
        <w:rPr>
          <w:rStyle w:val="Nmerodepgina"/>
          <w:rFonts w:ascii="Times New Roman" w:hAnsi="Times New Roman" w:cs="Times New Roman"/>
          <w:lang w:val="es-ES_tradnl"/>
        </w:rPr>
        <w:t xml:space="preserve">n los dos recursos especiales en paralelo y reconoce </w:t>
      </w:r>
      <w:r w:rsidRPr="002C18D8">
        <w:rPr>
          <w:rStyle w:val="Nmerodepgina"/>
          <w:rFonts w:ascii="Times New Roman" w:hAnsi="Times New Roman" w:cs="Times New Roman"/>
          <w:lang w:val="es-ES_tradnl"/>
        </w:rPr>
        <w:t>la conexión e interferencia entre los dos expedientes y recursos.</w:t>
      </w:r>
      <w:r>
        <w:rPr>
          <w:rStyle w:val="Nmerodepgina"/>
          <w:rFonts w:ascii="Times New Roman" w:hAnsi="Times New Roman" w:cs="Times New Roman"/>
          <w:lang w:val="es-ES_tradnl"/>
        </w:rPr>
        <w:t xml:space="preserve"> En ambos casos el Convenio colectivo aplicable sería el </w:t>
      </w:r>
      <w:r w:rsidRPr="002C18D8">
        <w:rPr>
          <w:rStyle w:val="Nmerodepgina"/>
          <w:rFonts w:ascii="Times New Roman" w:hAnsi="Times New Roman" w:cs="Times New Roman"/>
          <w:lang w:val="es-ES_tradnl"/>
        </w:rPr>
        <w:t>III Convenio de intervención social de Álava</w:t>
      </w:r>
      <w:r>
        <w:rPr>
          <w:rStyle w:val="Nmerodepgina"/>
          <w:rFonts w:ascii="Times New Roman" w:hAnsi="Times New Roman" w:cs="Times New Roman"/>
          <w:lang w:val="es-ES_tradnl"/>
        </w:rPr>
        <w:t>. Finalmente alega que es una maniobra que</w:t>
      </w:r>
      <w:r w:rsidRPr="002C18D8">
        <w:rPr>
          <w:rStyle w:val="Nmerodepgina"/>
          <w:rFonts w:ascii="Times New Roman" w:hAnsi="Times New Roman" w:cs="Times New Roman"/>
          <w:lang w:val="es-ES_tradnl"/>
        </w:rPr>
        <w:t xml:space="preserve"> busca esquivar compensaciones derivadas de una modificación sustancial de condiciones de trabajo</w:t>
      </w:r>
      <w:r>
        <w:rPr>
          <w:rStyle w:val="Nmerodepgina"/>
          <w:rFonts w:ascii="Times New Roman" w:hAnsi="Times New Roman" w:cs="Times New Roman"/>
          <w:lang w:val="es-ES_tradnl"/>
        </w:rPr>
        <w:t xml:space="preserve">, mientras que </w:t>
      </w:r>
      <w:r w:rsidRPr="002C18D8">
        <w:rPr>
          <w:rStyle w:val="Nmerodepgina"/>
          <w:rFonts w:ascii="Times New Roman" w:hAnsi="Times New Roman" w:cs="Times New Roman"/>
          <w:lang w:val="es-ES_tradnl"/>
        </w:rPr>
        <w:t>el personal de “</w:t>
      </w:r>
      <w:proofErr w:type="spellStart"/>
      <w:r w:rsidRPr="002C18D8">
        <w:rPr>
          <w:rStyle w:val="Nmerodepgina"/>
          <w:rFonts w:ascii="Times New Roman" w:hAnsi="Times New Roman" w:cs="Times New Roman"/>
          <w:lang w:val="es-ES_tradnl"/>
        </w:rPr>
        <w:t>Sortuleku</w:t>
      </w:r>
      <w:proofErr w:type="spellEnd"/>
      <w:r w:rsidRPr="002C18D8">
        <w:rPr>
          <w:rStyle w:val="Nmerodepgina"/>
          <w:rFonts w:ascii="Times New Roman" w:hAnsi="Times New Roman" w:cs="Times New Roman"/>
          <w:lang w:val="es-ES_tradnl"/>
        </w:rPr>
        <w:t xml:space="preserve">” </w:t>
      </w:r>
      <w:r>
        <w:rPr>
          <w:rStyle w:val="Nmerodepgina"/>
          <w:rFonts w:ascii="Times New Roman" w:hAnsi="Times New Roman" w:cs="Times New Roman"/>
          <w:lang w:val="es-ES_tradnl"/>
        </w:rPr>
        <w:t>resulta</w:t>
      </w:r>
      <w:r w:rsidRPr="002C18D8">
        <w:rPr>
          <w:rStyle w:val="Nmerodepgina"/>
          <w:rFonts w:ascii="Times New Roman" w:hAnsi="Times New Roman" w:cs="Times New Roman"/>
          <w:lang w:val="es-ES_tradnl"/>
        </w:rPr>
        <w:t xml:space="preserve"> perjudicado por no ser subrogado en “Ondoan”, perdiendo expectativas y derechos</w:t>
      </w:r>
      <w:r>
        <w:rPr>
          <w:rStyle w:val="Nmerodepgina"/>
          <w:rFonts w:ascii="Times New Roman" w:hAnsi="Times New Roman" w:cs="Times New Roman"/>
          <w:lang w:val="es-ES_tradnl"/>
        </w:rPr>
        <w:t>.</w:t>
      </w:r>
    </w:p>
    <w:p w14:paraId="2E8293BA" w14:textId="6A499818" w:rsidR="002C18D8" w:rsidRPr="002C18D8" w:rsidRDefault="002C18D8" w:rsidP="002C18D8">
      <w:pPr>
        <w:tabs>
          <w:tab w:val="left" w:pos="3261"/>
        </w:tabs>
        <w:spacing w:after="120"/>
        <w:jc w:val="both"/>
        <w:rPr>
          <w:rStyle w:val="Nmerodepgina"/>
          <w:rFonts w:ascii="Times New Roman" w:hAnsi="Times New Roman" w:cs="Times New Roman"/>
          <w:lang w:val="es-ES_tradnl"/>
        </w:rPr>
      </w:pPr>
      <w:r>
        <w:rPr>
          <w:rStyle w:val="Nmerodepgina"/>
          <w:rFonts w:ascii="Times New Roman" w:hAnsi="Times New Roman" w:cs="Times New Roman"/>
          <w:lang w:val="es-ES_tradnl"/>
        </w:rPr>
        <w:t xml:space="preserve">En ambos casos, la pretensión de </w:t>
      </w:r>
      <w:r w:rsidRPr="00312B7D">
        <w:rPr>
          <w:rStyle w:val="Nmerodepgina"/>
          <w:rFonts w:ascii="Times New Roman" w:hAnsi="Times New Roman" w:cs="Times New Roman"/>
          <w:lang w:val="es-ES_tradnl"/>
        </w:rPr>
        <w:t>Sindicato LANGILE ABERTZALEEN BATZORDEAK (L.A.B.</w:t>
      </w:r>
      <w:r>
        <w:rPr>
          <w:rStyle w:val="Nmerodepgina"/>
          <w:rFonts w:ascii="Times New Roman" w:hAnsi="Times New Roman" w:cs="Times New Roman"/>
          <w:lang w:val="es-ES_tradnl"/>
        </w:rPr>
        <w:t>)</w:t>
      </w:r>
      <w:r w:rsidRPr="00075D20">
        <w:rPr>
          <w:rStyle w:val="Nmerodepgina"/>
          <w:rFonts w:ascii="Times New Roman" w:hAnsi="Times New Roman" w:cs="Times New Roman"/>
          <w:lang w:val="es-ES_tradnl"/>
        </w:rPr>
        <w:t xml:space="preserve"> </w:t>
      </w:r>
      <w:r>
        <w:rPr>
          <w:rStyle w:val="Nmerodepgina"/>
          <w:rFonts w:ascii="Times New Roman" w:hAnsi="Times New Roman" w:cs="Times New Roman"/>
          <w:lang w:val="es-ES_tradnl"/>
        </w:rPr>
        <w:t xml:space="preserve"> no es otra que la </w:t>
      </w:r>
      <w:r w:rsidRPr="002C18D8">
        <w:rPr>
          <w:rStyle w:val="Nmerodepgina"/>
          <w:rFonts w:ascii="Times New Roman" w:hAnsi="Times New Roman" w:cs="Times New Roman"/>
          <w:lang w:val="es-ES_tradnl"/>
        </w:rPr>
        <w:t>declaración de nulidad del anuncio y documentos de licitación</w:t>
      </w:r>
      <w:r>
        <w:rPr>
          <w:rStyle w:val="Nmerodepgina"/>
          <w:rFonts w:ascii="Times New Roman" w:hAnsi="Times New Roman" w:cs="Times New Roman"/>
          <w:lang w:val="es-ES_tradnl"/>
        </w:rPr>
        <w:t>.</w:t>
      </w:r>
    </w:p>
    <w:p w14:paraId="3153AD61" w14:textId="245CCB14" w:rsidR="007E1FC6" w:rsidRDefault="007E1FC6" w:rsidP="00D03FF5">
      <w:pPr>
        <w:tabs>
          <w:tab w:val="left" w:pos="3261"/>
        </w:tabs>
        <w:spacing w:after="120"/>
        <w:jc w:val="both"/>
        <w:rPr>
          <w:rStyle w:val="Nmerodepgina"/>
          <w:rFonts w:ascii="Times New Roman" w:hAnsi="Times New Roman" w:cs="Times New Roman"/>
          <w:lang w:val="es-ES_tradnl"/>
        </w:rPr>
      </w:pPr>
    </w:p>
    <w:p w14:paraId="46534259" w14:textId="77777777" w:rsidR="00D0750E" w:rsidRDefault="00D0750E" w:rsidP="0097490D">
      <w:pPr>
        <w:pStyle w:val="Cuerpo"/>
        <w:spacing w:before="120" w:after="120"/>
        <w:jc w:val="center"/>
        <w:rPr>
          <w:rStyle w:val="Nmerodepgina"/>
          <w:b/>
          <w:bCs/>
          <w:sz w:val="24"/>
          <w:szCs w:val="24"/>
          <w:lang w:val="de-DE"/>
        </w:rPr>
      </w:pPr>
    </w:p>
    <w:p w14:paraId="03251831" w14:textId="77777777" w:rsidR="0097490D" w:rsidRDefault="0097490D" w:rsidP="0097490D">
      <w:pPr>
        <w:pStyle w:val="Cuerpo"/>
        <w:spacing w:before="120" w:after="120"/>
        <w:jc w:val="center"/>
        <w:rPr>
          <w:rStyle w:val="Nmerodepgina"/>
          <w:b/>
          <w:bCs/>
          <w:sz w:val="24"/>
          <w:szCs w:val="24"/>
        </w:rPr>
      </w:pPr>
      <w:r>
        <w:rPr>
          <w:rStyle w:val="Nmerodepgina"/>
          <w:b/>
          <w:bCs/>
          <w:sz w:val="24"/>
          <w:szCs w:val="24"/>
          <w:lang w:val="de-DE"/>
        </w:rPr>
        <w:t>FUNDAMENTOS DE DERECHO</w:t>
      </w:r>
    </w:p>
    <w:p w14:paraId="411DCAB2" w14:textId="77777777" w:rsidR="00165287" w:rsidRDefault="00165287" w:rsidP="008153B5">
      <w:pPr>
        <w:autoSpaceDE w:val="0"/>
        <w:autoSpaceDN w:val="0"/>
        <w:adjustRightInd w:val="0"/>
        <w:spacing w:after="0" w:line="240" w:lineRule="auto"/>
        <w:jc w:val="both"/>
        <w:rPr>
          <w:rFonts w:ascii="Times New Roman" w:hAnsi="Times New Roman" w:cs="Times New Roman"/>
          <w:lang w:val="es-ES_tradnl"/>
        </w:rPr>
      </w:pPr>
    </w:p>
    <w:p w14:paraId="149A72A8" w14:textId="14FFF82E" w:rsidR="007E1FC6" w:rsidRPr="00284DA2" w:rsidRDefault="00BA39A9" w:rsidP="007E1FC6">
      <w:pPr>
        <w:pStyle w:val="Cuerpo"/>
        <w:tabs>
          <w:tab w:val="left" w:pos="3261"/>
        </w:tabs>
        <w:spacing w:before="120" w:after="120"/>
        <w:jc w:val="both"/>
        <w:rPr>
          <w:rFonts w:eastAsiaTheme="minorHAnsi"/>
          <w:color w:val="auto"/>
          <w:sz w:val="22"/>
          <w:szCs w:val="22"/>
          <w:bdr w:val="none" w:sz="0" w:space="0" w:color="auto"/>
          <w:lang w:eastAsia="en-US"/>
        </w:rPr>
      </w:pPr>
      <w:r w:rsidRPr="001B768B">
        <w:rPr>
          <w:b/>
          <w:sz w:val="22"/>
          <w:szCs w:val="22"/>
        </w:rPr>
        <w:t>Primero.</w:t>
      </w:r>
      <w:r w:rsidRPr="001B768B">
        <w:rPr>
          <w:sz w:val="22"/>
          <w:szCs w:val="22"/>
        </w:rPr>
        <w:t xml:space="preserve"> </w:t>
      </w:r>
      <w:r w:rsidR="007E1FC6" w:rsidRPr="001B768B">
        <w:rPr>
          <w:rStyle w:val="Nmerodepgina"/>
          <w:sz w:val="22"/>
          <w:szCs w:val="22"/>
          <w:lang w:val="es-ES_tradnl"/>
        </w:rPr>
        <w:t>Con carácter</w:t>
      </w:r>
      <w:r w:rsidR="007E1FC6" w:rsidRPr="008153B5">
        <w:rPr>
          <w:rStyle w:val="Nmerodepgina"/>
          <w:sz w:val="22"/>
          <w:szCs w:val="22"/>
          <w:lang w:val="es-ES_tradnl"/>
        </w:rPr>
        <w:t xml:space="preserve"> general, el artículo 57 de la Ley 39/2015, de 1 de </w:t>
      </w:r>
      <w:r w:rsidR="007E1FC6">
        <w:rPr>
          <w:rStyle w:val="Nmerodepgina"/>
          <w:sz w:val="22"/>
          <w:szCs w:val="22"/>
          <w:lang w:val="es-ES_tradnl"/>
        </w:rPr>
        <w:t>o</w:t>
      </w:r>
      <w:r w:rsidR="007E1FC6" w:rsidRPr="008153B5">
        <w:rPr>
          <w:rStyle w:val="Nmerodepgina"/>
          <w:sz w:val="22"/>
          <w:szCs w:val="22"/>
          <w:lang w:val="es-ES_tradnl"/>
        </w:rPr>
        <w:t>ctubre, del Procedimiento Administrativo Com</w:t>
      </w:r>
      <w:r w:rsidR="007E1FC6" w:rsidRPr="008153B5">
        <w:rPr>
          <w:rStyle w:val="Nmerodepgina"/>
          <w:rFonts w:hint="eastAsia"/>
          <w:sz w:val="22"/>
          <w:szCs w:val="22"/>
          <w:lang w:val="es-ES_tradnl"/>
        </w:rPr>
        <w:t>ú</w:t>
      </w:r>
      <w:r w:rsidR="007E1FC6" w:rsidRPr="008153B5">
        <w:rPr>
          <w:rStyle w:val="Nmerodepgina"/>
          <w:sz w:val="22"/>
          <w:szCs w:val="22"/>
          <w:lang w:val="es-ES_tradnl"/>
        </w:rPr>
        <w:t>n de las Administraciones P</w:t>
      </w:r>
      <w:r w:rsidR="007E1FC6" w:rsidRPr="008153B5">
        <w:rPr>
          <w:rStyle w:val="Nmerodepgina"/>
          <w:rFonts w:hint="eastAsia"/>
          <w:sz w:val="22"/>
          <w:szCs w:val="22"/>
          <w:lang w:val="es-ES_tradnl"/>
        </w:rPr>
        <w:t>ú</w:t>
      </w:r>
      <w:r w:rsidR="007E1FC6" w:rsidRPr="008153B5">
        <w:rPr>
          <w:rStyle w:val="Nmerodepgina"/>
          <w:sz w:val="22"/>
          <w:szCs w:val="22"/>
          <w:lang w:val="es-ES_tradnl"/>
        </w:rPr>
        <w:t xml:space="preserve">blicas, establece que </w:t>
      </w:r>
      <w:r w:rsidR="007E1FC6" w:rsidRPr="008153B5">
        <w:rPr>
          <w:rStyle w:val="Nmerodepgina"/>
          <w:i/>
          <w:sz w:val="22"/>
          <w:szCs w:val="22"/>
          <w:lang w:val="es-ES_tradnl"/>
        </w:rPr>
        <w:t xml:space="preserve">“el </w:t>
      </w:r>
      <w:r w:rsidR="007E1FC6" w:rsidRPr="008153B5">
        <w:rPr>
          <w:rStyle w:val="Nmerodepgina"/>
          <w:rFonts w:hint="eastAsia"/>
          <w:i/>
          <w:sz w:val="22"/>
          <w:szCs w:val="22"/>
          <w:lang w:val="es-ES_tradnl"/>
        </w:rPr>
        <w:t>ó</w:t>
      </w:r>
      <w:r w:rsidR="007E1FC6" w:rsidRPr="008153B5">
        <w:rPr>
          <w:rStyle w:val="Nmerodepgina"/>
          <w:i/>
          <w:sz w:val="22"/>
          <w:szCs w:val="22"/>
          <w:lang w:val="es-ES_tradnl"/>
        </w:rPr>
        <w:t>rgano administrativo que inicie o tramite un procedimiento, cualquiera que haya sido la forma de su iniciaci</w:t>
      </w:r>
      <w:r w:rsidR="007E1FC6" w:rsidRPr="008153B5">
        <w:rPr>
          <w:rStyle w:val="Nmerodepgina"/>
          <w:rFonts w:hint="eastAsia"/>
          <w:i/>
          <w:sz w:val="22"/>
          <w:szCs w:val="22"/>
          <w:lang w:val="es-ES_tradnl"/>
        </w:rPr>
        <w:t>ó</w:t>
      </w:r>
      <w:r w:rsidR="007E1FC6" w:rsidRPr="008153B5">
        <w:rPr>
          <w:rStyle w:val="Nmerodepgina"/>
          <w:i/>
          <w:sz w:val="22"/>
          <w:szCs w:val="22"/>
          <w:lang w:val="es-ES_tradnl"/>
        </w:rPr>
        <w:t>n, podr</w:t>
      </w:r>
      <w:r w:rsidR="007E1FC6" w:rsidRPr="008153B5">
        <w:rPr>
          <w:rStyle w:val="Nmerodepgina"/>
          <w:rFonts w:hint="eastAsia"/>
          <w:i/>
          <w:sz w:val="22"/>
          <w:szCs w:val="22"/>
          <w:lang w:val="es-ES_tradnl"/>
        </w:rPr>
        <w:t>á</w:t>
      </w:r>
      <w:r w:rsidR="007E1FC6" w:rsidRPr="008153B5">
        <w:rPr>
          <w:rStyle w:val="Nmerodepgina"/>
          <w:i/>
          <w:sz w:val="22"/>
          <w:szCs w:val="22"/>
          <w:lang w:val="es-ES_tradnl"/>
        </w:rPr>
        <w:t xml:space="preserve"> disponer, de oficio o a instancia de parte, su acumulaci</w:t>
      </w:r>
      <w:r w:rsidR="007E1FC6" w:rsidRPr="008153B5">
        <w:rPr>
          <w:rStyle w:val="Nmerodepgina"/>
          <w:rFonts w:hint="eastAsia"/>
          <w:i/>
          <w:sz w:val="22"/>
          <w:szCs w:val="22"/>
          <w:lang w:val="es-ES_tradnl"/>
        </w:rPr>
        <w:t>ó</w:t>
      </w:r>
      <w:r w:rsidR="007E1FC6" w:rsidRPr="008153B5">
        <w:rPr>
          <w:rStyle w:val="Nmerodepgina"/>
          <w:i/>
          <w:sz w:val="22"/>
          <w:szCs w:val="22"/>
          <w:lang w:val="es-ES_tradnl"/>
        </w:rPr>
        <w:t xml:space="preserve">n a otros con los que guarde identidad sustancial o </w:t>
      </w:r>
      <w:r w:rsidR="007E1FC6" w:rsidRPr="008153B5">
        <w:rPr>
          <w:rStyle w:val="Nmerodepgina"/>
          <w:rFonts w:hint="eastAsia"/>
          <w:i/>
          <w:sz w:val="22"/>
          <w:szCs w:val="22"/>
          <w:lang w:val="es-ES_tradnl"/>
        </w:rPr>
        <w:t>í</w:t>
      </w:r>
      <w:r w:rsidR="007E1FC6" w:rsidRPr="008153B5">
        <w:rPr>
          <w:rStyle w:val="Nmerodepgina"/>
          <w:i/>
          <w:sz w:val="22"/>
          <w:szCs w:val="22"/>
          <w:lang w:val="es-ES_tradnl"/>
        </w:rPr>
        <w:t>ntima conexi</w:t>
      </w:r>
      <w:r w:rsidR="007E1FC6" w:rsidRPr="008153B5">
        <w:rPr>
          <w:rStyle w:val="Nmerodepgina"/>
          <w:rFonts w:hint="eastAsia"/>
          <w:i/>
          <w:sz w:val="22"/>
          <w:szCs w:val="22"/>
          <w:lang w:val="es-ES_tradnl"/>
        </w:rPr>
        <w:t>ó</w:t>
      </w:r>
      <w:r w:rsidR="007E1FC6" w:rsidRPr="008153B5">
        <w:rPr>
          <w:rStyle w:val="Nmerodepgina"/>
          <w:i/>
          <w:sz w:val="22"/>
          <w:szCs w:val="22"/>
          <w:lang w:val="es-ES_tradnl"/>
        </w:rPr>
        <w:t xml:space="preserve">n, siempre que sea el mismo </w:t>
      </w:r>
      <w:r w:rsidR="007E1FC6" w:rsidRPr="008153B5">
        <w:rPr>
          <w:rStyle w:val="Nmerodepgina"/>
          <w:rFonts w:hint="eastAsia"/>
          <w:i/>
          <w:sz w:val="22"/>
          <w:szCs w:val="22"/>
          <w:lang w:val="es-ES_tradnl"/>
        </w:rPr>
        <w:t>ó</w:t>
      </w:r>
      <w:r w:rsidR="007E1FC6" w:rsidRPr="008153B5">
        <w:rPr>
          <w:rStyle w:val="Nmerodepgina"/>
          <w:i/>
          <w:sz w:val="22"/>
          <w:szCs w:val="22"/>
          <w:lang w:val="es-ES_tradnl"/>
        </w:rPr>
        <w:t>rgano quien deba tram</w:t>
      </w:r>
      <w:r w:rsidR="007E1FC6">
        <w:rPr>
          <w:rStyle w:val="Nmerodepgina"/>
          <w:i/>
          <w:sz w:val="22"/>
          <w:szCs w:val="22"/>
          <w:lang w:val="es-ES_tradnl"/>
        </w:rPr>
        <w:t>itar y resolver el procedimiento</w:t>
      </w:r>
      <w:r w:rsidR="007E1FC6" w:rsidRPr="008153B5">
        <w:rPr>
          <w:rStyle w:val="Nmerodepgina"/>
          <w:lang w:val="es-ES_tradnl"/>
        </w:rPr>
        <w:t>”.</w:t>
      </w:r>
      <w:r w:rsidR="007E1FC6" w:rsidRPr="008153B5">
        <w:rPr>
          <w:rFonts w:eastAsiaTheme="minorHAnsi"/>
          <w:color w:val="auto"/>
          <w:bdr w:val="none" w:sz="0" w:space="0" w:color="auto"/>
          <w:lang w:eastAsia="en-US"/>
        </w:rPr>
        <w:t xml:space="preserve"> </w:t>
      </w:r>
    </w:p>
    <w:p w14:paraId="042D5706" w14:textId="67A4EB92" w:rsidR="007E1FC6" w:rsidRPr="00165287" w:rsidRDefault="00284DA2" w:rsidP="007E1F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E</w:t>
      </w:r>
      <w:r w:rsidR="007E1FC6" w:rsidRPr="00165287">
        <w:rPr>
          <w:rFonts w:ascii="Times New Roman" w:hAnsi="Times New Roman" w:cs="Times New Roman"/>
        </w:rPr>
        <w:t xml:space="preserve">l artículo </w:t>
      </w:r>
      <w:r w:rsidR="007E1FC6">
        <w:rPr>
          <w:rFonts w:ascii="Times New Roman" w:hAnsi="Times New Roman" w:cs="Times New Roman"/>
        </w:rPr>
        <w:t>transcrito</w:t>
      </w:r>
      <w:r>
        <w:rPr>
          <w:rFonts w:ascii="Times New Roman" w:hAnsi="Times New Roman" w:cs="Times New Roman"/>
        </w:rPr>
        <w:t xml:space="preserve"> es </w:t>
      </w:r>
      <w:r w:rsidR="007E1FC6" w:rsidRPr="00165287">
        <w:rPr>
          <w:rFonts w:ascii="Times New Roman" w:hAnsi="Times New Roman" w:cs="Times New Roman"/>
        </w:rPr>
        <w:t xml:space="preserve">aplicable al procedimiento para tramitar los recursos especiales en materia de contratación en virtud del artículo </w:t>
      </w:r>
      <w:r w:rsidR="007E1FC6">
        <w:rPr>
          <w:rFonts w:ascii="Times New Roman" w:hAnsi="Times New Roman" w:cs="Times New Roman"/>
        </w:rPr>
        <w:t>5</w:t>
      </w:r>
      <w:r w:rsidR="007E1FC6" w:rsidRPr="00165287">
        <w:rPr>
          <w:rFonts w:ascii="Times New Roman" w:hAnsi="Times New Roman" w:cs="Times New Roman"/>
        </w:rPr>
        <w:t>6.1 de</w:t>
      </w:r>
      <w:r w:rsidR="007E1FC6">
        <w:rPr>
          <w:rFonts w:ascii="Times New Roman" w:hAnsi="Times New Roman" w:cs="Times New Roman"/>
        </w:rPr>
        <w:t xml:space="preserve"> </w:t>
      </w:r>
      <w:r w:rsidR="007E1FC6" w:rsidRPr="00165287">
        <w:rPr>
          <w:rFonts w:ascii="Times New Roman" w:hAnsi="Times New Roman" w:cs="Times New Roman"/>
        </w:rPr>
        <w:t>l</w:t>
      </w:r>
      <w:r w:rsidR="007E1FC6">
        <w:rPr>
          <w:rFonts w:ascii="Times New Roman" w:hAnsi="Times New Roman" w:cs="Times New Roman"/>
        </w:rPr>
        <w:t>a</w:t>
      </w:r>
      <w:r w:rsidR="007E1FC6" w:rsidRPr="00165287">
        <w:rPr>
          <w:rFonts w:ascii="Times New Roman" w:hAnsi="Times New Roman" w:cs="Times New Roman"/>
        </w:rPr>
        <w:t xml:space="preserve"> </w:t>
      </w:r>
      <w:r w:rsidR="007E1FC6">
        <w:rPr>
          <w:rFonts w:ascii="Times New Roman" w:hAnsi="Times New Roman" w:cs="Times New Roman"/>
        </w:rPr>
        <w:t>Ley 9/2017, de 8 de noviembre, de Contratos del Sector Público</w:t>
      </w:r>
      <w:r w:rsidRPr="00284DA2">
        <w:rPr>
          <w:rFonts w:ascii="Times New Roman" w:hAnsi="Times New Roman" w:cs="Times New Roman"/>
        </w:rPr>
        <w:t xml:space="preserve">. La posibilidad de acumular dos o más recursos en un momento previo a la terminación también se recoge en el art. 13 del Decreto 814/2015, de 11 de septiembre, por el que se aprueba el Reglamento de los procedimientos especiales de revisión de decisiones en materia contractual y de organización del Tribunal Administrativo Central de Recursos Contractuales. </w:t>
      </w:r>
      <w:r>
        <w:rPr>
          <w:rFonts w:ascii="Times New Roman" w:hAnsi="Times New Roman" w:cs="Times New Roman"/>
        </w:rPr>
        <w:t xml:space="preserve">Por tanto, </w:t>
      </w:r>
      <w:r w:rsidR="007E1FC6" w:rsidRPr="00284DA2">
        <w:rPr>
          <w:rFonts w:ascii="Times New Roman" w:hAnsi="Times New Roman" w:cs="Times New Roman"/>
        </w:rPr>
        <w:t>constituyendo la acumulación de recursos administrativos una facultad del órgano competente para su resolución</w:t>
      </w:r>
      <w:r w:rsidR="007E1FC6">
        <w:rPr>
          <w:rFonts w:ascii="Times New Roman" w:hAnsi="Times New Roman" w:cs="Times New Roman"/>
        </w:rPr>
        <w:t xml:space="preserve">, este </w:t>
      </w:r>
      <w:r w:rsidR="00312B7D">
        <w:rPr>
          <w:rFonts w:ascii="Times New Roman" w:hAnsi="Times New Roman" w:cs="Times New Roman"/>
        </w:rPr>
        <w:t>ó</w:t>
      </w:r>
      <w:r w:rsidR="007E1FC6">
        <w:rPr>
          <w:rFonts w:ascii="Times New Roman" w:hAnsi="Times New Roman" w:cs="Times New Roman"/>
        </w:rPr>
        <w:t>rgano</w:t>
      </w:r>
      <w:r w:rsidR="007E1FC6" w:rsidRPr="00165287">
        <w:rPr>
          <w:rFonts w:ascii="Times New Roman" w:hAnsi="Times New Roman" w:cs="Times New Roman"/>
        </w:rPr>
        <w:t xml:space="preserve"> puede acordar de propia iniciativa la acumulación de los procedimientos de </w:t>
      </w:r>
      <w:r w:rsidR="007E1FC6">
        <w:rPr>
          <w:rFonts w:ascii="Times New Roman" w:hAnsi="Times New Roman" w:cs="Times New Roman"/>
        </w:rPr>
        <w:t>ambos si</w:t>
      </w:r>
      <w:r w:rsidR="007E1FC6" w:rsidRPr="00165287">
        <w:rPr>
          <w:rFonts w:ascii="Times New Roman" w:hAnsi="Times New Roman" w:cs="Times New Roman"/>
        </w:rPr>
        <w:t xml:space="preserve"> guarda</w:t>
      </w:r>
      <w:r w:rsidR="007E1FC6">
        <w:rPr>
          <w:rFonts w:ascii="Times New Roman" w:hAnsi="Times New Roman" w:cs="Times New Roman"/>
        </w:rPr>
        <w:t>n</w:t>
      </w:r>
      <w:r w:rsidR="007E1FC6" w:rsidRPr="00165287">
        <w:rPr>
          <w:rFonts w:ascii="Times New Roman" w:hAnsi="Times New Roman" w:cs="Times New Roman"/>
        </w:rPr>
        <w:t xml:space="preserve"> entre sí identidad sustancial e íntima conexión</w:t>
      </w:r>
      <w:r w:rsidR="007E1FC6">
        <w:rPr>
          <w:rFonts w:ascii="Times New Roman" w:hAnsi="Times New Roman" w:cs="Times New Roman"/>
        </w:rPr>
        <w:t>.</w:t>
      </w:r>
    </w:p>
    <w:p w14:paraId="5674EF74" w14:textId="77777777" w:rsidR="007E1FC6" w:rsidRDefault="007E1FC6" w:rsidP="007E1FC6">
      <w:pPr>
        <w:pStyle w:val="Cuerpo"/>
        <w:tabs>
          <w:tab w:val="left" w:pos="3261"/>
        </w:tabs>
        <w:spacing w:before="120" w:after="120"/>
        <w:jc w:val="both"/>
        <w:rPr>
          <w:rStyle w:val="Nmerodepgina"/>
          <w:b/>
          <w:bCs/>
          <w:sz w:val="22"/>
          <w:szCs w:val="22"/>
          <w:lang w:val="es-ES_tradnl"/>
        </w:rPr>
      </w:pPr>
    </w:p>
    <w:p w14:paraId="062B18DA" w14:textId="77777777" w:rsidR="007E1FC6" w:rsidRPr="00BA39A9" w:rsidRDefault="005334A5" w:rsidP="007E1FC6">
      <w:pPr>
        <w:autoSpaceDE w:val="0"/>
        <w:autoSpaceDN w:val="0"/>
        <w:adjustRightInd w:val="0"/>
        <w:spacing w:after="0" w:line="240" w:lineRule="auto"/>
        <w:jc w:val="both"/>
        <w:rPr>
          <w:rFonts w:ascii="Times New Roman" w:hAnsi="Times New Roman" w:cs="Times New Roman"/>
        </w:rPr>
      </w:pPr>
      <w:r w:rsidRPr="002C18D8">
        <w:rPr>
          <w:rStyle w:val="Nmerodepgina"/>
          <w:rFonts w:ascii="Times New Roman" w:hAnsi="Times New Roman" w:cs="Times New Roman"/>
          <w:b/>
          <w:bCs/>
          <w:lang w:val="es-ES_tradnl"/>
        </w:rPr>
        <w:t>Segundo</w:t>
      </w:r>
      <w:r>
        <w:rPr>
          <w:rStyle w:val="Nmerodepgina"/>
          <w:b/>
          <w:bCs/>
          <w:lang w:val="es-ES_tradnl"/>
        </w:rPr>
        <w:t xml:space="preserve">. </w:t>
      </w:r>
      <w:r w:rsidR="007E1FC6">
        <w:rPr>
          <w:rFonts w:ascii="Times New Roman" w:hAnsi="Times New Roman" w:cs="Times New Roman"/>
        </w:rPr>
        <w:t>Por su parte, l</w:t>
      </w:r>
      <w:r w:rsidR="007E1FC6" w:rsidRPr="00BA39A9">
        <w:rPr>
          <w:rFonts w:ascii="Times New Roman" w:hAnsi="Times New Roman" w:cs="Times New Roman"/>
        </w:rPr>
        <w:t xml:space="preserve">a jurisprudencia ha entendido que la decisión de acumular es discrecional y que el órgano que disponga la acumulación debe tener competencia para decidir sobre las materias a las que se refieren los procedimientos acumulados, hablando a tal efecto de </w:t>
      </w:r>
      <w:r w:rsidR="007E1FC6">
        <w:rPr>
          <w:rFonts w:ascii="Times New Roman" w:hAnsi="Times New Roman" w:cs="Times New Roman"/>
        </w:rPr>
        <w:t>“</w:t>
      </w:r>
      <w:r w:rsidR="007E1FC6" w:rsidRPr="00BA39A9">
        <w:rPr>
          <w:rFonts w:ascii="Times New Roman" w:hAnsi="Times New Roman" w:cs="Times New Roman"/>
        </w:rPr>
        <w:t>órgano con competencia más específica</w:t>
      </w:r>
      <w:r w:rsidR="007E1FC6">
        <w:rPr>
          <w:rFonts w:ascii="Times New Roman" w:hAnsi="Times New Roman" w:cs="Times New Roman"/>
        </w:rPr>
        <w:t>”</w:t>
      </w:r>
      <w:r w:rsidR="007E1FC6" w:rsidRPr="00BA39A9">
        <w:rPr>
          <w:rFonts w:ascii="Times New Roman" w:hAnsi="Times New Roman" w:cs="Times New Roman"/>
        </w:rPr>
        <w:t xml:space="preserve"> (</w:t>
      </w:r>
      <w:r w:rsidR="007E1FC6">
        <w:rPr>
          <w:rFonts w:ascii="Times New Roman" w:hAnsi="Times New Roman" w:cs="Times New Roman"/>
        </w:rPr>
        <w:t>S</w:t>
      </w:r>
      <w:r w:rsidR="007E1FC6" w:rsidRPr="00BA39A9">
        <w:rPr>
          <w:rFonts w:ascii="Times New Roman" w:hAnsi="Times New Roman" w:cs="Times New Roman"/>
        </w:rPr>
        <w:t>entencia del Tribunal Supremo de 26 de diciembre de 1989).</w:t>
      </w:r>
    </w:p>
    <w:p w14:paraId="3E651014" w14:textId="77777777" w:rsidR="007E1FC6" w:rsidRDefault="007E1FC6" w:rsidP="007E1FC6">
      <w:pPr>
        <w:autoSpaceDE w:val="0"/>
        <w:autoSpaceDN w:val="0"/>
        <w:adjustRightInd w:val="0"/>
        <w:spacing w:after="0" w:line="240" w:lineRule="auto"/>
        <w:jc w:val="both"/>
        <w:rPr>
          <w:rFonts w:ascii="Times New Roman" w:hAnsi="Times New Roman" w:cs="Times New Roman"/>
        </w:rPr>
      </w:pPr>
    </w:p>
    <w:p w14:paraId="2B1CA0C9" w14:textId="7DB3132F" w:rsidR="00095409" w:rsidRPr="00165287" w:rsidRDefault="007E1FC6" w:rsidP="0057509C">
      <w:pPr>
        <w:autoSpaceDE w:val="0"/>
        <w:autoSpaceDN w:val="0"/>
        <w:adjustRightInd w:val="0"/>
        <w:spacing w:after="0" w:line="240" w:lineRule="auto"/>
        <w:jc w:val="both"/>
        <w:rPr>
          <w:rFonts w:ascii="Times New Roman" w:hAnsi="Times New Roman" w:cs="Times New Roman"/>
        </w:rPr>
      </w:pPr>
      <w:r w:rsidRPr="001E55E3">
        <w:rPr>
          <w:rFonts w:ascii="Times New Roman" w:hAnsi="Times New Roman" w:cs="Times New Roman"/>
        </w:rPr>
        <w:t>Por ello y como quiera que en los dos recursos especiales en materia de contratación se aprecia identidad en</w:t>
      </w:r>
      <w:r w:rsidR="001E55E3" w:rsidRPr="001E55E3">
        <w:rPr>
          <w:rFonts w:ascii="Times New Roman" w:hAnsi="Times New Roman" w:cs="Times New Roman"/>
        </w:rPr>
        <w:t xml:space="preserve"> el recurrente, </w:t>
      </w:r>
      <w:r w:rsidR="001E55E3">
        <w:rPr>
          <w:rFonts w:ascii="Times New Roman" w:hAnsi="Times New Roman" w:cs="Times New Roman"/>
        </w:rPr>
        <w:t xml:space="preserve">en el </w:t>
      </w:r>
      <w:r w:rsidR="001E55E3" w:rsidRPr="001E55E3">
        <w:rPr>
          <w:rFonts w:ascii="Times New Roman" w:hAnsi="Times New Roman" w:cs="Times New Roman"/>
        </w:rPr>
        <w:t xml:space="preserve">órgano de contratación y </w:t>
      </w:r>
      <w:r w:rsidR="001E55E3">
        <w:rPr>
          <w:rFonts w:ascii="Times New Roman" w:hAnsi="Times New Roman" w:cs="Times New Roman"/>
        </w:rPr>
        <w:t>en el</w:t>
      </w:r>
      <w:r w:rsidR="001E55E3" w:rsidRPr="001E55E3">
        <w:rPr>
          <w:rFonts w:ascii="Times New Roman" w:hAnsi="Times New Roman" w:cs="Times New Roman"/>
        </w:rPr>
        <w:t xml:space="preserve"> órgano que debe tramitar y resolver</w:t>
      </w:r>
      <w:r w:rsidR="001E55E3">
        <w:rPr>
          <w:rFonts w:ascii="Times New Roman" w:hAnsi="Times New Roman" w:cs="Times New Roman"/>
        </w:rPr>
        <w:t>los</w:t>
      </w:r>
      <w:r w:rsidR="001E55E3" w:rsidRPr="001E55E3">
        <w:rPr>
          <w:rFonts w:ascii="Times New Roman" w:hAnsi="Times New Roman" w:cs="Times New Roman"/>
        </w:rPr>
        <w:t>, aunque se trata de distintos</w:t>
      </w:r>
      <w:r w:rsidRPr="001E55E3">
        <w:rPr>
          <w:rFonts w:ascii="Times New Roman" w:hAnsi="Times New Roman" w:cs="Times New Roman"/>
        </w:rPr>
        <w:t xml:space="preserve"> expediente</w:t>
      </w:r>
      <w:r w:rsidR="001E55E3" w:rsidRPr="001E55E3">
        <w:rPr>
          <w:rFonts w:ascii="Times New Roman" w:hAnsi="Times New Roman" w:cs="Times New Roman"/>
        </w:rPr>
        <w:t>s</w:t>
      </w:r>
      <w:r w:rsidRPr="001E55E3">
        <w:rPr>
          <w:rFonts w:ascii="Times New Roman" w:hAnsi="Times New Roman" w:cs="Times New Roman"/>
        </w:rPr>
        <w:t xml:space="preserve"> de contratación</w:t>
      </w:r>
      <w:r w:rsidR="001E55E3" w:rsidRPr="001E55E3">
        <w:rPr>
          <w:rFonts w:ascii="Times New Roman" w:hAnsi="Times New Roman" w:cs="Times New Roman"/>
        </w:rPr>
        <w:t>, existe entre ellos una íntima conexión</w:t>
      </w:r>
      <w:r w:rsidRPr="001E55E3">
        <w:rPr>
          <w:rFonts w:ascii="Times New Roman" w:hAnsi="Times New Roman" w:cs="Times New Roman"/>
        </w:rPr>
        <w:t>,</w:t>
      </w:r>
      <w:r w:rsidR="001E55E3" w:rsidRPr="001E55E3">
        <w:rPr>
          <w:rFonts w:ascii="Times New Roman" w:hAnsi="Times New Roman" w:cs="Times New Roman"/>
        </w:rPr>
        <w:t xml:space="preserve"> en virtud de los fundamentos utilizados por la recurrente en sus recursos, de tal forma que este órgano </w:t>
      </w:r>
      <w:r w:rsidR="001E55E3">
        <w:rPr>
          <w:rFonts w:ascii="Times New Roman" w:hAnsi="Times New Roman" w:cs="Times New Roman"/>
        </w:rPr>
        <w:t xml:space="preserve">se ve obligado a </w:t>
      </w:r>
      <w:r w:rsidR="001E55E3" w:rsidRPr="001E55E3">
        <w:rPr>
          <w:rFonts w:ascii="Times New Roman" w:hAnsi="Times New Roman" w:cs="Times New Roman"/>
        </w:rPr>
        <w:t>aplicar una única razón de decidir para ambos recursos</w:t>
      </w:r>
      <w:r w:rsidR="001E55E3">
        <w:rPr>
          <w:rFonts w:ascii="Times New Roman" w:hAnsi="Times New Roman" w:cs="Times New Roman"/>
        </w:rPr>
        <w:t xml:space="preserve">, lo que conduce a una necesaria </w:t>
      </w:r>
      <w:r w:rsidR="001E55E3" w:rsidRPr="00165287">
        <w:rPr>
          <w:rFonts w:ascii="Times New Roman" w:hAnsi="Times New Roman" w:cs="Times New Roman"/>
        </w:rPr>
        <w:t>acumulación de ambos recursos para que</w:t>
      </w:r>
      <w:r w:rsidR="001E55E3" w:rsidRPr="000E6FE6">
        <w:rPr>
          <w:rFonts w:ascii="Times New Roman" w:hAnsi="Times New Roman" w:cs="Times New Roman"/>
        </w:rPr>
        <w:t xml:space="preserve"> las cuestiones suscitadas sean objeto de una única resolución</w:t>
      </w:r>
      <w:r w:rsidR="001E55E3">
        <w:rPr>
          <w:rFonts w:ascii="Times New Roman" w:hAnsi="Times New Roman" w:cs="Times New Roman"/>
        </w:rPr>
        <w:t>.</w:t>
      </w:r>
    </w:p>
    <w:p w14:paraId="76770B83" w14:textId="77777777" w:rsidR="00EC5D3E" w:rsidRDefault="00EC5D3E" w:rsidP="0057509C">
      <w:pPr>
        <w:pStyle w:val="Cuerpo"/>
        <w:spacing w:before="120" w:after="120"/>
        <w:jc w:val="both"/>
        <w:rPr>
          <w:rStyle w:val="Nmerodepgina"/>
          <w:sz w:val="22"/>
          <w:szCs w:val="22"/>
        </w:rPr>
      </w:pPr>
    </w:p>
    <w:p w14:paraId="045119B0" w14:textId="5001A24A" w:rsidR="00C44175" w:rsidRPr="00165287" w:rsidRDefault="00B01D13" w:rsidP="0057509C">
      <w:pPr>
        <w:pStyle w:val="Cuerpo"/>
        <w:spacing w:before="120" w:after="120"/>
        <w:jc w:val="both"/>
        <w:rPr>
          <w:rStyle w:val="Nmerodepgina"/>
          <w:sz w:val="22"/>
          <w:szCs w:val="22"/>
        </w:rPr>
      </w:pPr>
      <w:r>
        <w:rPr>
          <w:rStyle w:val="Nmerodepgina"/>
          <w:sz w:val="22"/>
          <w:szCs w:val="22"/>
        </w:rPr>
        <w:lastRenderedPageBreak/>
        <w:t>Por lo anteriormente</w:t>
      </w:r>
      <w:r w:rsidR="00C44175" w:rsidRPr="00165287">
        <w:rPr>
          <w:rStyle w:val="Nmerodepgina"/>
          <w:sz w:val="22"/>
          <w:szCs w:val="22"/>
          <w:lang w:val="es-ES_tradnl"/>
        </w:rPr>
        <w:t xml:space="preserve"> expuesto</w:t>
      </w:r>
      <w:r w:rsidR="00C44175" w:rsidRPr="00165287">
        <w:rPr>
          <w:rStyle w:val="Nmerodepgina"/>
          <w:sz w:val="22"/>
          <w:szCs w:val="22"/>
        </w:rPr>
        <w:t>, este Órgano Administrativo Foral de Recursos Contractuales emite la siguiente</w:t>
      </w:r>
    </w:p>
    <w:p w14:paraId="3653202C" w14:textId="77777777" w:rsidR="00C44175" w:rsidRDefault="00C44175" w:rsidP="0057509C">
      <w:pPr>
        <w:pStyle w:val="Textoindependiente"/>
        <w:spacing w:before="120"/>
        <w:rPr>
          <w:rStyle w:val="Nmerodepgina"/>
          <w:rFonts w:ascii="Times New Roman" w:eastAsia="Times New Roman" w:hAnsi="Times New Roman" w:cs="Times New Roman"/>
          <w:sz w:val="22"/>
          <w:szCs w:val="22"/>
          <w:lang w:val="es-ES"/>
        </w:rPr>
      </w:pPr>
    </w:p>
    <w:p w14:paraId="59009449" w14:textId="77777777" w:rsidR="00EC5D3E" w:rsidRPr="00B01D13" w:rsidRDefault="00EC5D3E" w:rsidP="0057509C">
      <w:pPr>
        <w:pStyle w:val="Textoindependiente"/>
        <w:spacing w:before="120"/>
        <w:rPr>
          <w:rStyle w:val="Nmerodepgina"/>
          <w:rFonts w:ascii="Times New Roman" w:eastAsia="Times New Roman" w:hAnsi="Times New Roman" w:cs="Times New Roman"/>
          <w:sz w:val="22"/>
          <w:szCs w:val="22"/>
          <w:lang w:val="es-ES"/>
        </w:rPr>
      </w:pPr>
    </w:p>
    <w:p w14:paraId="2E060A68" w14:textId="77777777" w:rsidR="003C7F2B" w:rsidRDefault="003C7F2B" w:rsidP="003C7F2B">
      <w:pPr>
        <w:pStyle w:val="Textoindependiente"/>
        <w:spacing w:before="120"/>
        <w:jc w:val="center"/>
        <w:rPr>
          <w:rStyle w:val="Nmerodepgina"/>
          <w:rFonts w:ascii="Times New Roman" w:eastAsia="Times New Roman" w:hAnsi="Times New Roman" w:cs="Times New Roman"/>
          <w:b/>
          <w:bCs/>
          <w:sz w:val="24"/>
          <w:szCs w:val="24"/>
          <w:u w:val="single"/>
        </w:rPr>
      </w:pPr>
      <w:r>
        <w:rPr>
          <w:rStyle w:val="Nmerodepgina"/>
          <w:rFonts w:ascii="Times New Roman" w:hAnsi="Times New Roman"/>
          <w:b/>
          <w:bCs/>
          <w:sz w:val="24"/>
          <w:szCs w:val="24"/>
          <w:u w:val="single"/>
        </w:rPr>
        <w:t>RESOLUCIÓN</w:t>
      </w:r>
    </w:p>
    <w:p w14:paraId="38CA0A21" w14:textId="77777777" w:rsidR="00C44175" w:rsidRPr="00165287" w:rsidRDefault="00C44175" w:rsidP="0057509C">
      <w:pPr>
        <w:pStyle w:val="Textoindependiente"/>
        <w:spacing w:before="120"/>
        <w:rPr>
          <w:rStyle w:val="Nmerodepgina"/>
          <w:rFonts w:ascii="Times New Roman" w:eastAsia="Times New Roman" w:hAnsi="Times New Roman" w:cs="Times New Roman"/>
          <w:b/>
          <w:bCs/>
          <w:sz w:val="22"/>
          <w:szCs w:val="22"/>
          <w:u w:val="single"/>
        </w:rPr>
      </w:pPr>
    </w:p>
    <w:p w14:paraId="50982CED" w14:textId="77777777" w:rsidR="00312B7D" w:rsidRDefault="0057509C" w:rsidP="00312B7D">
      <w:pPr>
        <w:tabs>
          <w:tab w:val="left" w:pos="3261"/>
        </w:tabs>
        <w:spacing w:after="120" w:line="240" w:lineRule="auto"/>
        <w:jc w:val="both"/>
        <w:rPr>
          <w:rStyle w:val="Nmerodepgina"/>
          <w:rFonts w:ascii="Times New Roman" w:hAnsi="Times New Roman" w:cs="Times New Roman"/>
          <w:lang w:val="es-ES_tradnl"/>
        </w:rPr>
      </w:pPr>
      <w:r w:rsidRPr="007E1FC6">
        <w:rPr>
          <w:rStyle w:val="Nmerodepgina"/>
          <w:rFonts w:ascii="Times New Roman" w:hAnsi="Times New Roman" w:cs="Times New Roman"/>
          <w:b/>
          <w:bCs/>
          <w:lang w:val="de-DE"/>
        </w:rPr>
        <w:t>Primero</w:t>
      </w:r>
      <w:r w:rsidR="00C44175" w:rsidRPr="007E1FC6">
        <w:rPr>
          <w:rStyle w:val="Nmerodepgina"/>
          <w:rFonts w:ascii="Times New Roman" w:hAnsi="Times New Roman" w:cs="Times New Roman"/>
          <w:b/>
          <w:bCs/>
          <w:lang w:val="de-DE"/>
        </w:rPr>
        <w:t>.</w:t>
      </w:r>
      <w:r w:rsidR="005334A5" w:rsidRPr="007E1FC6">
        <w:rPr>
          <w:rStyle w:val="Nmerodepgina"/>
          <w:rFonts w:ascii="Times New Roman" w:hAnsi="Times New Roman" w:cs="Times New Roman"/>
          <w:b/>
          <w:bCs/>
          <w:lang w:val="de-DE"/>
        </w:rPr>
        <w:t xml:space="preserve"> </w:t>
      </w:r>
      <w:r w:rsidRPr="00D03FF5">
        <w:rPr>
          <w:rStyle w:val="Nmerodepgina"/>
          <w:rFonts w:ascii="Times New Roman" w:hAnsi="Times New Roman" w:cs="Times New Roman"/>
          <w:bCs/>
          <w:lang w:val="de-DE"/>
        </w:rPr>
        <w:t xml:space="preserve">Acumular </w:t>
      </w:r>
      <w:r w:rsidR="00165287" w:rsidRPr="00D03FF5">
        <w:rPr>
          <w:rStyle w:val="Nmerodepgina"/>
          <w:rFonts w:ascii="Times New Roman" w:hAnsi="Times New Roman" w:cs="Times New Roman"/>
          <w:bCs/>
          <w:lang w:val="de-DE"/>
        </w:rPr>
        <w:t xml:space="preserve">los recursos especiales en materia de contratación </w:t>
      </w:r>
      <w:r w:rsidR="003725F8" w:rsidRPr="00D03FF5">
        <w:rPr>
          <w:rStyle w:val="Nmerodepgina"/>
          <w:rFonts w:ascii="Times New Roman" w:hAnsi="Times New Roman" w:cs="Times New Roman"/>
          <w:lang w:val="es-ES_tradnl"/>
        </w:rPr>
        <w:t xml:space="preserve">interpuestos </w:t>
      </w:r>
      <w:r w:rsidR="00D03FF5" w:rsidRPr="00D03FF5">
        <w:rPr>
          <w:rStyle w:val="Nmerodepgina"/>
          <w:rFonts w:ascii="Times New Roman" w:hAnsi="Times New Roman" w:cs="Times New Roman"/>
          <w:lang w:val="es-ES_tradnl"/>
        </w:rPr>
        <w:t xml:space="preserve">por </w:t>
      </w:r>
      <w:r w:rsidR="00312B7D" w:rsidRPr="00312B7D">
        <w:rPr>
          <w:rStyle w:val="Nmerodepgina"/>
          <w:rFonts w:ascii="Times New Roman" w:hAnsi="Times New Roman" w:cs="Times New Roman"/>
          <w:lang w:val="es-ES_tradnl"/>
        </w:rPr>
        <w:t>Sindicato LANGILE ABERTZALEEN BATZORDEAK (L.A.B.) contra los pliegos de condiciones para la licitación del contrato denominado “Programa de transición a la vida autónoma “</w:t>
      </w:r>
      <w:proofErr w:type="spellStart"/>
      <w:r w:rsidR="00312B7D" w:rsidRPr="002C18D8">
        <w:rPr>
          <w:rStyle w:val="Nmerodepgina"/>
          <w:rFonts w:ascii="Times New Roman" w:hAnsi="Times New Roman" w:cs="Times New Roman"/>
          <w:b/>
          <w:bCs/>
          <w:lang w:val="es-ES_tradnl"/>
        </w:rPr>
        <w:t>Abiatuz</w:t>
      </w:r>
      <w:proofErr w:type="spellEnd"/>
      <w:r w:rsidR="00312B7D" w:rsidRPr="00312B7D">
        <w:rPr>
          <w:rStyle w:val="Nmerodepgina"/>
          <w:rFonts w:ascii="Times New Roman" w:hAnsi="Times New Roman" w:cs="Times New Roman"/>
          <w:lang w:val="es-ES_tradnl"/>
        </w:rPr>
        <w:t>”” (</w:t>
      </w:r>
      <w:proofErr w:type="spellStart"/>
      <w:r w:rsidR="00312B7D" w:rsidRPr="00312B7D">
        <w:rPr>
          <w:rStyle w:val="Nmerodepgina"/>
          <w:rFonts w:ascii="Times New Roman" w:hAnsi="Times New Roman" w:cs="Times New Roman"/>
          <w:lang w:val="es-ES_tradnl"/>
        </w:rPr>
        <w:t>Expte</w:t>
      </w:r>
      <w:proofErr w:type="spellEnd"/>
      <w:r w:rsidR="00312B7D" w:rsidRPr="00312B7D">
        <w:rPr>
          <w:rStyle w:val="Nmerodepgina"/>
          <w:rFonts w:ascii="Times New Roman" w:hAnsi="Times New Roman" w:cs="Times New Roman"/>
          <w:lang w:val="es-ES_tradnl"/>
        </w:rPr>
        <w:t>. 04/25) y contra los pliegos de condiciones para la licitación del contrato denominado “Programa “</w:t>
      </w:r>
      <w:r w:rsidR="00312B7D" w:rsidRPr="002C18D8">
        <w:rPr>
          <w:rStyle w:val="Nmerodepgina"/>
          <w:rFonts w:ascii="Times New Roman" w:hAnsi="Times New Roman" w:cs="Times New Roman"/>
          <w:b/>
          <w:bCs/>
          <w:lang w:val="es-ES_tradnl"/>
        </w:rPr>
        <w:t>Ondoan</w:t>
      </w:r>
      <w:r w:rsidR="00312B7D" w:rsidRPr="00312B7D">
        <w:rPr>
          <w:rStyle w:val="Nmerodepgina"/>
          <w:rFonts w:ascii="Times New Roman" w:hAnsi="Times New Roman" w:cs="Times New Roman"/>
          <w:lang w:val="es-ES_tradnl"/>
        </w:rPr>
        <w:t>” de acogimiento residencial a personas menores de edad en situación de desamparo o de riesgo grave de desamparo junto a la atención residencial de uno de sus progenitores, de acogimiento residencial a adolescentes embarazadas en situación de desamparo o de riesgo grave de desamparo y de atención residencial a mujeres en estado de gestación en las que se ha detectado una situación de maltrato prenatal” (Expte. 48/25).</w:t>
      </w:r>
    </w:p>
    <w:p w14:paraId="667EE68F" w14:textId="048A818A" w:rsidR="00C44175" w:rsidRDefault="00BA39A9" w:rsidP="00312B7D">
      <w:pPr>
        <w:tabs>
          <w:tab w:val="left" w:pos="3261"/>
        </w:tabs>
        <w:spacing w:after="120" w:line="240" w:lineRule="auto"/>
        <w:jc w:val="both"/>
        <w:rPr>
          <w:rStyle w:val="Nmerodepgina"/>
          <w:rFonts w:ascii="Times New Roman" w:eastAsia="Times New Roman" w:hAnsi="Times New Roman" w:cs="Times New Roman"/>
        </w:rPr>
      </w:pPr>
      <w:r>
        <w:rPr>
          <w:rStyle w:val="Nmerodepgina"/>
          <w:rFonts w:ascii="Times New Roman" w:hAnsi="Times New Roman" w:cs="Times New Roman"/>
        </w:rPr>
        <w:t>C</w:t>
      </w:r>
      <w:r w:rsidR="00C44175" w:rsidRPr="00165287">
        <w:rPr>
          <w:rStyle w:val="Nmerodepgina"/>
          <w:rFonts w:ascii="Times New Roman" w:hAnsi="Times New Roman" w:cs="Times New Roman"/>
        </w:rPr>
        <w:t xml:space="preserve">ontra </w:t>
      </w:r>
      <w:r>
        <w:rPr>
          <w:rStyle w:val="Nmerodepgina"/>
          <w:rFonts w:ascii="Times New Roman" w:hAnsi="Times New Roman" w:cs="Times New Roman"/>
        </w:rPr>
        <w:t>esta resolución no cabe recurso alguno</w:t>
      </w:r>
      <w:r w:rsidR="00D0750E">
        <w:rPr>
          <w:rStyle w:val="Nmerodepgina"/>
          <w:rFonts w:ascii="Times New Roman" w:hAnsi="Times New Roman" w:cs="Times New Roman"/>
        </w:rPr>
        <w:t>, p</w:t>
      </w:r>
      <w:r w:rsidR="00E458AC">
        <w:rPr>
          <w:rStyle w:val="Nmerodepgina"/>
          <w:rFonts w:ascii="Times New Roman" w:hAnsi="Times New Roman" w:cs="Times New Roman"/>
        </w:rPr>
        <w:t>udiendo</w:t>
      </w:r>
      <w:r w:rsidR="00D0750E">
        <w:rPr>
          <w:rStyle w:val="Nmerodepgina"/>
          <w:rFonts w:ascii="Times New Roman" w:hAnsi="Times New Roman" w:cs="Times New Roman"/>
        </w:rPr>
        <w:t xml:space="preserve"> oponerse </w:t>
      </w:r>
      <w:r w:rsidR="00E458AC">
        <w:rPr>
          <w:rStyle w:val="Nmerodepgina"/>
          <w:rFonts w:ascii="Times New Roman" w:hAnsi="Times New Roman" w:cs="Times New Roman"/>
        </w:rPr>
        <w:t xml:space="preserve">a la misma </w:t>
      </w:r>
      <w:r w:rsidR="00D0750E">
        <w:rPr>
          <w:rStyle w:val="Nmerodepgina"/>
          <w:rFonts w:ascii="Times New Roman" w:hAnsi="Times New Roman" w:cs="Times New Roman"/>
        </w:rPr>
        <w:t>en la resolución que ponga fin al procedimiento</w:t>
      </w:r>
      <w:r w:rsidR="00165287" w:rsidRPr="00165287">
        <w:rPr>
          <w:rStyle w:val="Nmerodepgina"/>
          <w:rFonts w:ascii="Times New Roman" w:hAnsi="Times New Roman" w:cs="Times New Roman"/>
        </w:rPr>
        <w:t xml:space="preserve"> </w:t>
      </w:r>
      <w:r w:rsidR="00C44175" w:rsidRPr="00165287">
        <w:rPr>
          <w:rStyle w:val="Nmerodepgina"/>
          <w:rFonts w:ascii="Times New Roman" w:hAnsi="Times New Roman" w:cs="Times New Roman"/>
        </w:rPr>
        <w:t xml:space="preserve">de acuerdo con lo previsto en </w:t>
      </w:r>
      <w:r w:rsidR="00A64023">
        <w:rPr>
          <w:rStyle w:val="Nmerodepgina"/>
          <w:rFonts w:ascii="Times New Roman" w:hAnsi="Times New Roman" w:cs="Times New Roman"/>
        </w:rPr>
        <w:t>los</w:t>
      </w:r>
      <w:r w:rsidR="00C44175" w:rsidRPr="00165287">
        <w:rPr>
          <w:rStyle w:val="Nmerodepgina"/>
          <w:rFonts w:ascii="Times New Roman" w:hAnsi="Times New Roman" w:cs="Times New Roman"/>
        </w:rPr>
        <w:t xml:space="preserve"> artículo</w:t>
      </w:r>
      <w:r w:rsidR="00A64023">
        <w:rPr>
          <w:rStyle w:val="Nmerodepgina"/>
          <w:rFonts w:ascii="Times New Roman" w:hAnsi="Times New Roman" w:cs="Times New Roman"/>
        </w:rPr>
        <w:t>s</w:t>
      </w:r>
      <w:r w:rsidR="00165287" w:rsidRPr="00165287">
        <w:rPr>
          <w:rStyle w:val="Nmerodepgina"/>
          <w:rFonts w:ascii="Times New Roman" w:hAnsi="Times New Roman" w:cs="Times New Roman"/>
        </w:rPr>
        <w:t xml:space="preserve"> </w:t>
      </w:r>
      <w:r w:rsidR="003725F8">
        <w:rPr>
          <w:rStyle w:val="Nmerodepgina"/>
          <w:rFonts w:ascii="Times New Roman" w:hAnsi="Times New Roman" w:cs="Times New Roman"/>
        </w:rPr>
        <w:t>57</w:t>
      </w:r>
      <w:r w:rsidR="000E6FE6">
        <w:rPr>
          <w:rStyle w:val="Nmerodepgina"/>
          <w:rFonts w:ascii="Times New Roman" w:hAnsi="Times New Roman" w:cs="Times New Roman"/>
        </w:rPr>
        <w:t xml:space="preserve"> </w:t>
      </w:r>
      <w:r w:rsidR="00D0750E">
        <w:rPr>
          <w:rStyle w:val="Nmerodepgina"/>
          <w:rFonts w:ascii="Times New Roman" w:hAnsi="Times New Roman" w:cs="Times New Roman"/>
        </w:rPr>
        <w:t xml:space="preserve">y </w:t>
      </w:r>
      <w:r w:rsidR="003725F8">
        <w:rPr>
          <w:rStyle w:val="Nmerodepgina"/>
          <w:rFonts w:ascii="Times New Roman" w:hAnsi="Times New Roman" w:cs="Times New Roman"/>
        </w:rPr>
        <w:t>112</w:t>
      </w:r>
      <w:r w:rsidR="00D0750E">
        <w:rPr>
          <w:rStyle w:val="Nmerodepgina"/>
          <w:rFonts w:ascii="Times New Roman" w:hAnsi="Times New Roman" w:cs="Times New Roman"/>
        </w:rPr>
        <w:t xml:space="preserve">.1 </w:t>
      </w:r>
      <w:r w:rsidR="00C44175" w:rsidRPr="00165287">
        <w:rPr>
          <w:rStyle w:val="Nmerodepgina"/>
          <w:rFonts w:ascii="Times New Roman" w:hAnsi="Times New Roman" w:cs="Times New Roman"/>
        </w:rPr>
        <w:t xml:space="preserve">de la </w:t>
      </w:r>
      <w:r w:rsidR="003725F8" w:rsidRPr="008153B5">
        <w:rPr>
          <w:rStyle w:val="Nmerodepgina"/>
          <w:rFonts w:ascii="Times New Roman" w:eastAsia="Times New Roman" w:hAnsi="Times New Roman" w:cs="Times New Roman"/>
        </w:rPr>
        <w:t xml:space="preserve">Ley 39/2015, de 1 de </w:t>
      </w:r>
      <w:r w:rsidR="003725F8">
        <w:rPr>
          <w:rStyle w:val="Nmerodepgina"/>
        </w:rPr>
        <w:t>o</w:t>
      </w:r>
      <w:r w:rsidR="003725F8" w:rsidRPr="008153B5">
        <w:rPr>
          <w:rStyle w:val="Nmerodepgina"/>
          <w:rFonts w:ascii="Times New Roman" w:eastAsia="Times New Roman" w:hAnsi="Times New Roman" w:cs="Times New Roman"/>
        </w:rPr>
        <w:t>ctubre, del Procedimiento Administrativo Com</w:t>
      </w:r>
      <w:r w:rsidR="003725F8" w:rsidRPr="008153B5">
        <w:rPr>
          <w:rStyle w:val="Nmerodepgina"/>
          <w:rFonts w:ascii="Times New Roman" w:eastAsia="Times New Roman" w:hAnsi="Times New Roman" w:cs="Times New Roman" w:hint="eastAsia"/>
        </w:rPr>
        <w:t>ú</w:t>
      </w:r>
      <w:r w:rsidR="003725F8" w:rsidRPr="008153B5">
        <w:rPr>
          <w:rStyle w:val="Nmerodepgina"/>
          <w:rFonts w:ascii="Times New Roman" w:eastAsia="Times New Roman" w:hAnsi="Times New Roman" w:cs="Times New Roman"/>
        </w:rPr>
        <w:t>n de las Administraciones P</w:t>
      </w:r>
      <w:r w:rsidR="003725F8" w:rsidRPr="008153B5">
        <w:rPr>
          <w:rStyle w:val="Nmerodepgina"/>
          <w:rFonts w:ascii="Times New Roman" w:eastAsia="Times New Roman" w:hAnsi="Times New Roman" w:cs="Times New Roman" w:hint="eastAsia"/>
        </w:rPr>
        <w:t>ú</w:t>
      </w:r>
      <w:r w:rsidR="003725F8" w:rsidRPr="008153B5">
        <w:rPr>
          <w:rStyle w:val="Nmerodepgina"/>
          <w:rFonts w:ascii="Times New Roman" w:eastAsia="Times New Roman" w:hAnsi="Times New Roman" w:cs="Times New Roman"/>
        </w:rPr>
        <w:t>blicas</w:t>
      </w:r>
      <w:r w:rsidR="003725F8">
        <w:rPr>
          <w:rStyle w:val="Nmerodepgina"/>
          <w:rFonts w:ascii="Times New Roman" w:eastAsia="Times New Roman" w:hAnsi="Times New Roman" w:cs="Times New Roman"/>
        </w:rPr>
        <w:t>.</w:t>
      </w:r>
    </w:p>
    <w:p w14:paraId="14B48CB3" w14:textId="77777777" w:rsidR="00BF2FF2" w:rsidRDefault="00BF2FF2" w:rsidP="0037545B">
      <w:pPr>
        <w:pStyle w:val="Textoindependiente"/>
        <w:spacing w:before="120"/>
        <w:rPr>
          <w:rStyle w:val="Nmerodepgina"/>
          <w:rFonts w:ascii="Times New Roman" w:eastAsia="Times New Roman" w:hAnsi="Times New Roman" w:cs="Times New Roman"/>
          <w:sz w:val="22"/>
          <w:szCs w:val="22"/>
        </w:rPr>
      </w:pPr>
    </w:p>
    <w:p w14:paraId="1BC0F809" w14:textId="79FDB278" w:rsidR="003967A7" w:rsidRDefault="0037545B" w:rsidP="0037545B">
      <w:pPr>
        <w:pStyle w:val="Textoindependiente"/>
        <w:spacing w:before="120"/>
        <w:rPr>
          <w:rStyle w:val="Nmerodepgina"/>
          <w:rFonts w:ascii="Times New Roman" w:eastAsia="Times New Roman" w:hAnsi="Times New Roman" w:cs="Times New Roman"/>
          <w:sz w:val="22"/>
          <w:szCs w:val="22"/>
        </w:rPr>
      </w:pPr>
      <w:r>
        <w:rPr>
          <w:rStyle w:val="Nmerodepgina"/>
          <w:rFonts w:ascii="Times New Roman" w:eastAsia="Times New Roman" w:hAnsi="Times New Roman" w:cs="Times New Roman"/>
          <w:sz w:val="22"/>
          <w:szCs w:val="22"/>
        </w:rPr>
        <w:tab/>
      </w:r>
    </w:p>
    <w:p w14:paraId="7BB776FC" w14:textId="77777777" w:rsidR="0037545B" w:rsidRDefault="0037545B" w:rsidP="0037545B">
      <w:pPr>
        <w:pStyle w:val="Textoindependiente"/>
        <w:spacing w:before="120"/>
        <w:rPr>
          <w:rStyle w:val="Nmerodepgina"/>
          <w:rFonts w:ascii="Times New Roman" w:eastAsia="Times New Roman" w:hAnsi="Times New Roman" w:cs="Times New Roman"/>
          <w:sz w:val="22"/>
          <w:szCs w:val="22"/>
        </w:rPr>
      </w:pPr>
    </w:p>
    <w:p w14:paraId="4DB7F427" w14:textId="608E767B" w:rsidR="0037545B" w:rsidRPr="000052FB" w:rsidRDefault="0037545B" w:rsidP="00284DA2">
      <w:pPr>
        <w:tabs>
          <w:tab w:val="left" w:pos="851"/>
        </w:tabs>
        <w:spacing w:after="480" w:line="240" w:lineRule="auto"/>
        <w:jc w:val="both"/>
        <w:rPr>
          <w:rStyle w:val="Nmerodepgina"/>
          <w:rFonts w:ascii="Times New Roman" w:eastAsia="Times New Roman" w:hAnsi="Times New Roman" w:cs="Times New Roman"/>
          <w:color w:val="FF0000"/>
          <w:lang w:val="es-ES_tradnl"/>
        </w:rPr>
      </w:pPr>
    </w:p>
    <w:sectPr w:rsidR="0037545B" w:rsidRPr="000052FB" w:rsidSect="00EC5D3E">
      <w:headerReference w:type="default" r:id="rId6"/>
      <w:footerReference w:type="default" r:id="rId7"/>
      <w:pgSz w:w="11906" w:h="16838"/>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0BE6A" w14:textId="77777777" w:rsidR="00E977CB" w:rsidRDefault="00E977CB" w:rsidP="00E977CB">
      <w:pPr>
        <w:spacing w:after="0" w:line="240" w:lineRule="auto"/>
      </w:pPr>
      <w:r>
        <w:separator/>
      </w:r>
    </w:p>
  </w:endnote>
  <w:endnote w:type="continuationSeparator" w:id="0">
    <w:p w14:paraId="0A7B3E84" w14:textId="77777777" w:rsidR="00E977CB" w:rsidRDefault="00E977CB" w:rsidP="00E97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803643"/>
      <w:docPartObj>
        <w:docPartGallery w:val="Page Numbers (Bottom of Page)"/>
        <w:docPartUnique/>
      </w:docPartObj>
    </w:sdtPr>
    <w:sdtEndPr/>
    <w:sdtContent>
      <w:p w14:paraId="386477FE" w14:textId="484A8CB9" w:rsidR="00EC5D3E" w:rsidRDefault="00EC5D3E">
        <w:pPr>
          <w:pStyle w:val="Piedepgina"/>
          <w:jc w:val="right"/>
        </w:pPr>
        <w:r>
          <w:fldChar w:fldCharType="begin"/>
        </w:r>
        <w:r>
          <w:instrText>PAGE   \* MERGEFORMAT</w:instrText>
        </w:r>
        <w:r>
          <w:fldChar w:fldCharType="separate"/>
        </w:r>
        <w:r>
          <w:t>2</w:t>
        </w:r>
        <w:r>
          <w:fldChar w:fldCharType="end"/>
        </w:r>
      </w:p>
    </w:sdtContent>
  </w:sdt>
  <w:p w14:paraId="6A552958" w14:textId="77777777" w:rsidR="00EC5D3E" w:rsidRDefault="00EC5D3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AA8A5" w14:textId="77777777" w:rsidR="00E977CB" w:rsidRDefault="00E977CB" w:rsidP="00E977CB">
      <w:pPr>
        <w:spacing w:after="0" w:line="240" w:lineRule="auto"/>
      </w:pPr>
      <w:r>
        <w:separator/>
      </w:r>
    </w:p>
  </w:footnote>
  <w:footnote w:type="continuationSeparator" w:id="0">
    <w:p w14:paraId="3E393449" w14:textId="77777777" w:rsidR="00E977CB" w:rsidRDefault="00E977CB" w:rsidP="00E977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1" w:type="dxa"/>
      <w:tblLayout w:type="fixed"/>
      <w:tblCellMar>
        <w:left w:w="70" w:type="dxa"/>
        <w:right w:w="70" w:type="dxa"/>
      </w:tblCellMar>
      <w:tblLook w:val="0000" w:firstRow="0" w:lastRow="0" w:firstColumn="0" w:lastColumn="0" w:noHBand="0" w:noVBand="0"/>
    </w:tblPr>
    <w:tblGrid>
      <w:gridCol w:w="4890"/>
      <w:gridCol w:w="4961"/>
    </w:tblGrid>
    <w:tr w:rsidR="00E977CB" w:rsidRPr="00754401" w14:paraId="4244A2F8" w14:textId="77777777" w:rsidTr="004C2040">
      <w:tc>
        <w:tcPr>
          <w:tcW w:w="4890" w:type="dxa"/>
        </w:tcPr>
        <w:p w14:paraId="423704D0" w14:textId="77777777" w:rsidR="00E977CB" w:rsidRDefault="00E977CB" w:rsidP="006F71AA">
          <w:pPr>
            <w:pStyle w:val="Encabezado"/>
            <w:spacing w:after="720"/>
            <w:ind w:left="74" w:right="360"/>
            <w:rPr>
              <w:noProof/>
              <w:sz w:val="16"/>
            </w:rPr>
          </w:pPr>
          <w:r>
            <w:rPr>
              <w:noProof/>
              <w:sz w:val="20"/>
              <w:lang w:eastAsia="es-ES"/>
            </w:rPr>
            <w:drawing>
              <wp:inline distT="0" distB="0" distL="0" distR="0" wp14:anchorId="1FAFDDAE" wp14:editId="38D8124F">
                <wp:extent cx="2076450" cy="704850"/>
                <wp:effectExtent l="0" t="0" r="0" b="0"/>
                <wp:docPr id="603789377" name="Imagen 603789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53C07F52" w14:textId="77777777" w:rsidR="00E977CB" w:rsidRDefault="00E977CB" w:rsidP="006F71AA">
          <w:pPr>
            <w:pStyle w:val="Encabezado"/>
            <w:ind w:left="1064"/>
            <w:rPr>
              <w:noProof/>
              <w:sz w:val="16"/>
            </w:rPr>
          </w:pPr>
        </w:p>
      </w:tc>
      <w:tc>
        <w:tcPr>
          <w:tcW w:w="4961" w:type="dxa"/>
        </w:tcPr>
        <w:p w14:paraId="1AE14BE0" w14:textId="77777777" w:rsidR="00E977CB" w:rsidRDefault="00E977CB" w:rsidP="006F71AA">
          <w:pPr>
            <w:pStyle w:val="Encabezado"/>
            <w:spacing w:after="60" w:line="190" w:lineRule="exact"/>
            <w:ind w:left="-70"/>
            <w:rPr>
              <w:b/>
              <w:noProof/>
              <w:sz w:val="18"/>
            </w:rPr>
          </w:pPr>
        </w:p>
        <w:p w14:paraId="5028971B" w14:textId="77777777" w:rsidR="00E977CB" w:rsidRDefault="00E977CB" w:rsidP="006F71AA">
          <w:pPr>
            <w:pStyle w:val="Encabezado"/>
            <w:spacing w:after="60" w:line="190" w:lineRule="exact"/>
            <w:ind w:left="-70"/>
            <w:rPr>
              <w:b/>
              <w:noProof/>
              <w:sz w:val="18"/>
            </w:rPr>
          </w:pPr>
        </w:p>
        <w:p w14:paraId="4039D2A1" w14:textId="77777777" w:rsidR="00E977CB" w:rsidRDefault="00E977CB" w:rsidP="006F71AA">
          <w:pPr>
            <w:pStyle w:val="Encabezado"/>
            <w:spacing w:after="60" w:line="190" w:lineRule="exact"/>
            <w:ind w:left="-70"/>
            <w:rPr>
              <w:noProof/>
              <w:sz w:val="18"/>
            </w:rPr>
          </w:pPr>
          <w:r>
            <w:rPr>
              <w:b/>
              <w:noProof/>
              <w:sz w:val="18"/>
            </w:rPr>
            <w:t>Kontratu Errekurtsoen Foru Organo Administriboa</w:t>
          </w:r>
        </w:p>
        <w:p w14:paraId="055252F1" w14:textId="77777777" w:rsidR="00E977CB" w:rsidRDefault="00E977CB" w:rsidP="006F71AA">
          <w:pPr>
            <w:pStyle w:val="Encabezado"/>
            <w:spacing w:after="60" w:line="190" w:lineRule="exact"/>
            <w:ind w:left="-70"/>
            <w:rPr>
              <w:b/>
              <w:noProof/>
              <w:sz w:val="18"/>
            </w:rPr>
          </w:pPr>
          <w:r>
            <w:rPr>
              <w:b/>
              <w:noProof/>
              <w:sz w:val="18"/>
            </w:rPr>
            <w:t xml:space="preserve">Organo Administrativo Foral de Recursos Contractuales </w:t>
          </w:r>
        </w:p>
      </w:tc>
    </w:tr>
  </w:tbl>
  <w:p w14:paraId="5E2CDF81" w14:textId="77777777" w:rsidR="00E977CB" w:rsidRDefault="00E977C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5F6"/>
    <w:rsid w:val="000052FB"/>
    <w:rsid w:val="0005126E"/>
    <w:rsid w:val="00075D20"/>
    <w:rsid w:val="00095409"/>
    <w:rsid w:val="000D693F"/>
    <w:rsid w:val="000E6FE6"/>
    <w:rsid w:val="00135F73"/>
    <w:rsid w:val="001616F3"/>
    <w:rsid w:val="00165287"/>
    <w:rsid w:val="0016622A"/>
    <w:rsid w:val="00184596"/>
    <w:rsid w:val="001B768B"/>
    <w:rsid w:val="001C5FE9"/>
    <w:rsid w:val="001E55E3"/>
    <w:rsid w:val="001F78A1"/>
    <w:rsid w:val="0024365A"/>
    <w:rsid w:val="00256958"/>
    <w:rsid w:val="00271D43"/>
    <w:rsid w:val="00284DA2"/>
    <w:rsid w:val="00285294"/>
    <w:rsid w:val="002A34FE"/>
    <w:rsid w:val="002C18D8"/>
    <w:rsid w:val="00312B7D"/>
    <w:rsid w:val="003166A4"/>
    <w:rsid w:val="003725F8"/>
    <w:rsid w:val="0037545B"/>
    <w:rsid w:val="00382570"/>
    <w:rsid w:val="003967A7"/>
    <w:rsid w:val="003C6CDF"/>
    <w:rsid w:val="003C7F2B"/>
    <w:rsid w:val="004379F4"/>
    <w:rsid w:val="004C2040"/>
    <w:rsid w:val="004E7DDF"/>
    <w:rsid w:val="0051656F"/>
    <w:rsid w:val="00520B9C"/>
    <w:rsid w:val="005334A5"/>
    <w:rsid w:val="00571F3A"/>
    <w:rsid w:val="0057509C"/>
    <w:rsid w:val="0058425E"/>
    <w:rsid w:val="005F2D7D"/>
    <w:rsid w:val="00646EE6"/>
    <w:rsid w:val="00661FD6"/>
    <w:rsid w:val="00694541"/>
    <w:rsid w:val="006977CA"/>
    <w:rsid w:val="006E254E"/>
    <w:rsid w:val="00707EA4"/>
    <w:rsid w:val="0075040D"/>
    <w:rsid w:val="00754F58"/>
    <w:rsid w:val="00764A9B"/>
    <w:rsid w:val="00790AFE"/>
    <w:rsid w:val="007E09AE"/>
    <w:rsid w:val="007E1FC6"/>
    <w:rsid w:val="007E2383"/>
    <w:rsid w:val="00804D13"/>
    <w:rsid w:val="008153B5"/>
    <w:rsid w:val="008200B9"/>
    <w:rsid w:val="00821D84"/>
    <w:rsid w:val="00880930"/>
    <w:rsid w:val="00916ABC"/>
    <w:rsid w:val="0097490D"/>
    <w:rsid w:val="00992EA5"/>
    <w:rsid w:val="009C7430"/>
    <w:rsid w:val="00A07254"/>
    <w:rsid w:val="00A64023"/>
    <w:rsid w:val="00A66D77"/>
    <w:rsid w:val="00A76FE0"/>
    <w:rsid w:val="00AA5FA0"/>
    <w:rsid w:val="00B01D13"/>
    <w:rsid w:val="00B306C3"/>
    <w:rsid w:val="00B329CE"/>
    <w:rsid w:val="00B345F6"/>
    <w:rsid w:val="00B57082"/>
    <w:rsid w:val="00B7514D"/>
    <w:rsid w:val="00B90A0E"/>
    <w:rsid w:val="00BA2835"/>
    <w:rsid w:val="00BA39A9"/>
    <w:rsid w:val="00BA4279"/>
    <w:rsid w:val="00BD3DBC"/>
    <w:rsid w:val="00BE025D"/>
    <w:rsid w:val="00BF19E0"/>
    <w:rsid w:val="00BF2FF2"/>
    <w:rsid w:val="00C01E17"/>
    <w:rsid w:val="00C12A91"/>
    <w:rsid w:val="00C44175"/>
    <w:rsid w:val="00C57C01"/>
    <w:rsid w:val="00C73ACF"/>
    <w:rsid w:val="00CA3844"/>
    <w:rsid w:val="00CA4540"/>
    <w:rsid w:val="00CC240E"/>
    <w:rsid w:val="00CF43C2"/>
    <w:rsid w:val="00D03FF5"/>
    <w:rsid w:val="00D0750E"/>
    <w:rsid w:val="00D211D5"/>
    <w:rsid w:val="00D25549"/>
    <w:rsid w:val="00D414C3"/>
    <w:rsid w:val="00D55B41"/>
    <w:rsid w:val="00D82931"/>
    <w:rsid w:val="00DA01FB"/>
    <w:rsid w:val="00DA2FA9"/>
    <w:rsid w:val="00DF76F3"/>
    <w:rsid w:val="00E369CE"/>
    <w:rsid w:val="00E458AC"/>
    <w:rsid w:val="00E6349C"/>
    <w:rsid w:val="00E65B98"/>
    <w:rsid w:val="00E93160"/>
    <w:rsid w:val="00E977CB"/>
    <w:rsid w:val="00EC5D3E"/>
    <w:rsid w:val="00F07BA4"/>
    <w:rsid w:val="00F07F0D"/>
    <w:rsid w:val="00F47B34"/>
    <w:rsid w:val="00F524A9"/>
    <w:rsid w:val="00F8711F"/>
    <w:rsid w:val="00FB069B"/>
    <w:rsid w:val="00FC7F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E483C"/>
  <w15:docId w15:val="{33F534AC-CFC2-4D90-9503-D1D3D5E3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A07254"/>
    <w:pPr>
      <w:spacing w:before="240" w:after="0" w:line="240" w:lineRule="auto"/>
      <w:outlineLvl w:val="0"/>
    </w:pPr>
    <w:rPr>
      <w:rFonts w:ascii="Arial" w:eastAsia="Times New Roman" w:hAnsi="Arial" w:cs="Times New Roman"/>
      <w:b/>
      <w:sz w:val="24"/>
      <w:szCs w:val="20"/>
      <w:u w:val="single"/>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M8">
    <w:name w:val="CM8"/>
    <w:basedOn w:val="Normal"/>
    <w:next w:val="Normal"/>
    <w:uiPriority w:val="99"/>
    <w:rsid w:val="00095409"/>
    <w:pPr>
      <w:autoSpaceDE w:val="0"/>
      <w:autoSpaceDN w:val="0"/>
      <w:adjustRightInd w:val="0"/>
      <w:spacing w:after="0" w:line="240" w:lineRule="auto"/>
    </w:pPr>
    <w:rPr>
      <w:rFonts w:ascii="Arial" w:hAnsi="Arial" w:cs="Arial"/>
      <w:sz w:val="24"/>
      <w:szCs w:val="24"/>
    </w:rPr>
  </w:style>
  <w:style w:type="character" w:styleId="Nmerodepgina">
    <w:name w:val="page number"/>
    <w:rsid w:val="00FB069B"/>
  </w:style>
  <w:style w:type="paragraph" w:customStyle="1" w:styleId="Cuerpo">
    <w:name w:val="Cuerpo"/>
    <w:rsid w:val="00FB069B"/>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es-ES"/>
    </w:rPr>
  </w:style>
  <w:style w:type="paragraph" w:styleId="Textoindependiente">
    <w:name w:val="Body Text"/>
    <w:link w:val="TextoindependienteCar"/>
    <w:rsid w:val="00FB069B"/>
    <w:pPr>
      <w:pBdr>
        <w:top w:val="nil"/>
        <w:left w:val="nil"/>
        <w:bottom w:val="nil"/>
        <w:right w:val="nil"/>
        <w:between w:val="nil"/>
        <w:bar w:val="nil"/>
      </w:pBdr>
      <w:tabs>
        <w:tab w:val="left" w:pos="851"/>
      </w:tabs>
      <w:spacing w:after="120" w:line="240" w:lineRule="auto"/>
      <w:jc w:val="both"/>
    </w:pPr>
    <w:rPr>
      <w:rFonts w:ascii="Arial" w:eastAsia="Arial" w:hAnsi="Arial" w:cs="Arial"/>
      <w:color w:val="000000"/>
      <w:sz w:val="26"/>
      <w:szCs w:val="26"/>
      <w:u w:color="000000"/>
      <w:bdr w:val="nil"/>
      <w:lang w:val="es-ES_tradnl" w:eastAsia="es-ES"/>
    </w:rPr>
  </w:style>
  <w:style w:type="character" w:customStyle="1" w:styleId="TextoindependienteCar">
    <w:name w:val="Texto independiente Car"/>
    <w:basedOn w:val="Fuentedeprrafopredeter"/>
    <w:link w:val="Textoindependiente"/>
    <w:rsid w:val="00FB069B"/>
    <w:rPr>
      <w:rFonts w:ascii="Arial" w:eastAsia="Arial" w:hAnsi="Arial" w:cs="Arial"/>
      <w:color w:val="000000"/>
      <w:sz w:val="26"/>
      <w:szCs w:val="26"/>
      <w:u w:color="000000"/>
      <w:bdr w:val="nil"/>
      <w:lang w:val="es-ES_tradnl" w:eastAsia="es-ES"/>
    </w:rPr>
  </w:style>
  <w:style w:type="table" w:styleId="Tablaconcuadrcula">
    <w:name w:val="Table Grid"/>
    <w:basedOn w:val="Tablanormal"/>
    <w:uiPriority w:val="59"/>
    <w:rsid w:val="00FB06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C4417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styleId="Encabezado">
    <w:name w:val="header"/>
    <w:basedOn w:val="Normal"/>
    <w:link w:val="EncabezadoCar"/>
    <w:unhideWhenUsed/>
    <w:rsid w:val="00E977CB"/>
    <w:pPr>
      <w:tabs>
        <w:tab w:val="center" w:pos="4252"/>
        <w:tab w:val="right" w:pos="8504"/>
      </w:tabs>
      <w:spacing w:after="0" w:line="240" w:lineRule="auto"/>
    </w:pPr>
  </w:style>
  <w:style w:type="character" w:customStyle="1" w:styleId="EncabezadoCar">
    <w:name w:val="Encabezado Car"/>
    <w:basedOn w:val="Fuentedeprrafopredeter"/>
    <w:link w:val="Encabezado"/>
    <w:rsid w:val="00E977CB"/>
  </w:style>
  <w:style w:type="paragraph" w:styleId="Piedepgina">
    <w:name w:val="footer"/>
    <w:basedOn w:val="Normal"/>
    <w:link w:val="PiedepginaCar"/>
    <w:uiPriority w:val="99"/>
    <w:unhideWhenUsed/>
    <w:rsid w:val="00E977C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977CB"/>
  </w:style>
  <w:style w:type="paragraph" w:styleId="Textodeglobo">
    <w:name w:val="Balloon Text"/>
    <w:basedOn w:val="Normal"/>
    <w:link w:val="TextodegloboCar"/>
    <w:uiPriority w:val="99"/>
    <w:semiHidden/>
    <w:unhideWhenUsed/>
    <w:rsid w:val="00E977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77CB"/>
    <w:rPr>
      <w:rFonts w:ascii="Tahoma" w:hAnsi="Tahoma" w:cs="Tahoma"/>
      <w:sz w:val="16"/>
      <w:szCs w:val="16"/>
    </w:rPr>
  </w:style>
  <w:style w:type="character" w:customStyle="1" w:styleId="Ttulo1Car">
    <w:name w:val="Título 1 Car"/>
    <w:basedOn w:val="Fuentedeprrafopredeter"/>
    <w:link w:val="Ttulo1"/>
    <w:rsid w:val="00A07254"/>
    <w:rPr>
      <w:rFonts w:ascii="Arial" w:eastAsia="Times New Roman" w:hAnsi="Arial" w:cs="Times New Roman"/>
      <w:b/>
      <w:sz w:val="24"/>
      <w:szCs w:val="20"/>
      <w:u w:val="single"/>
      <w:lang w:val="es-ES_tradnl" w:eastAsia="es-ES"/>
    </w:rPr>
  </w:style>
  <w:style w:type="paragraph" w:customStyle="1" w:styleId="Default">
    <w:name w:val="Default"/>
    <w:rsid w:val="008153B5"/>
    <w:pPr>
      <w:autoSpaceDE w:val="0"/>
      <w:autoSpaceDN w:val="0"/>
      <w:adjustRightInd w:val="0"/>
      <w:spacing w:after="0" w:line="240" w:lineRule="auto"/>
    </w:pPr>
    <w:rPr>
      <w:rFonts w:ascii="Arial Unicode MS" w:eastAsia="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397507">
      <w:bodyDiv w:val="1"/>
      <w:marLeft w:val="0"/>
      <w:marRight w:val="0"/>
      <w:marTop w:val="0"/>
      <w:marBottom w:val="0"/>
      <w:divBdr>
        <w:top w:val="none" w:sz="0" w:space="0" w:color="auto"/>
        <w:left w:val="none" w:sz="0" w:space="0" w:color="auto"/>
        <w:bottom w:val="none" w:sz="0" w:space="0" w:color="auto"/>
        <w:right w:val="none" w:sz="0" w:space="0" w:color="auto"/>
      </w:divBdr>
    </w:div>
    <w:div w:id="148747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1514</Words>
  <Characters>8253</Characters>
  <Application>Microsoft Office Word</Application>
  <DocSecurity>0</DocSecurity>
  <Lines>143</Lines>
  <Paragraphs>24</Paragraphs>
  <ScaleCrop>false</ScaleCrop>
  <HeadingPairs>
    <vt:vector size="2" baseType="variant">
      <vt:variant>
        <vt:lpstr>Título</vt:lpstr>
      </vt:variant>
      <vt:variant>
        <vt:i4>1</vt:i4>
      </vt:variant>
    </vt:vector>
  </HeadingPairs>
  <TitlesOfParts>
    <vt:vector size="1" baseType="lpstr">
      <vt:lpstr/>
    </vt:vector>
  </TitlesOfParts>
  <Company>DFA</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Achotegui Martinez de Arenaza, Fernando</cp:lastModifiedBy>
  <cp:revision>4</cp:revision>
  <cp:lastPrinted>2025-11-03T08:28:00Z</cp:lastPrinted>
  <dcterms:created xsi:type="dcterms:W3CDTF">2025-11-03T08:27:00Z</dcterms:created>
  <dcterms:modified xsi:type="dcterms:W3CDTF">2025-11-03T08:28:00Z</dcterms:modified>
</cp:coreProperties>
</file>