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375"/>
        <w:gridCol w:w="20"/>
        <w:gridCol w:w="4677"/>
      </w:tblGrid>
      <w:tr w:rsidR="00020C36" w:rsidRPr="0010018F" w14:paraId="6EE5C813" w14:textId="77777777">
        <w:trPr>
          <w:trHeight w:val="2093"/>
        </w:trPr>
        <w:tc>
          <w:tcPr>
            <w:tcW w:w="4375" w:type="dxa"/>
          </w:tcPr>
          <w:p w14:paraId="73804CC3" w14:textId="168053A3" w:rsidR="00763CF5" w:rsidRPr="00763CF5" w:rsidRDefault="00763CF5" w:rsidP="00763CF5">
            <w:pPr>
              <w:pStyle w:val="Ttulo1"/>
              <w:spacing w:after="240"/>
              <w:jc w:val="both"/>
              <w:rPr>
                <w:rFonts w:ascii="Times New Roman" w:hAnsi="Times New Roman"/>
                <w:b w:val="0"/>
                <w:bCs/>
                <w:sz w:val="22"/>
                <w:szCs w:val="22"/>
                <w:u w:val="none"/>
              </w:rPr>
            </w:pPr>
            <w:proofErr w:type="spellStart"/>
            <w:r w:rsidRPr="00763CF5">
              <w:rPr>
                <w:rFonts w:ascii="Times New Roman" w:hAnsi="Times New Roman"/>
                <w:sz w:val="22"/>
                <w:szCs w:val="22"/>
              </w:rPr>
              <w:t>Erref</w:t>
            </w:r>
            <w:proofErr w:type="spellEnd"/>
            <w:r w:rsidRPr="00763CF5">
              <w:rPr>
                <w:rFonts w:ascii="Times New Roman" w:hAnsi="Times New Roman"/>
                <w:sz w:val="22"/>
                <w:szCs w:val="22"/>
              </w:rPr>
              <w:t>/</w:t>
            </w:r>
            <w:proofErr w:type="spellStart"/>
            <w:r w:rsidRPr="00763CF5">
              <w:rPr>
                <w:rFonts w:ascii="Times New Roman" w:hAnsi="Times New Roman"/>
                <w:sz w:val="22"/>
                <w:szCs w:val="22"/>
              </w:rPr>
              <w:t>Ref</w:t>
            </w:r>
            <w:proofErr w:type="spellEnd"/>
            <w:r w:rsidRPr="00763CF5">
              <w:rPr>
                <w:rFonts w:ascii="Times New Roman" w:hAnsi="Times New Roman"/>
                <w:sz w:val="22"/>
                <w:szCs w:val="22"/>
              </w:rPr>
              <w:t>:</w:t>
            </w:r>
            <w:r>
              <w:rPr>
                <w:rFonts w:ascii="Times New Roman" w:hAnsi="Times New Roman"/>
                <w:sz w:val="22"/>
                <w:szCs w:val="22"/>
                <w:u w:val="none"/>
              </w:rPr>
              <w:t xml:space="preserve"> </w:t>
            </w:r>
            <w:bookmarkStart w:id="0" w:name="_Hlk195391120"/>
            <w:bookmarkStart w:id="1" w:name="_Hlk207360911"/>
            <w:r w:rsidR="00882765" w:rsidRPr="00882765">
              <w:rPr>
                <w:rFonts w:ascii="Times New Roman" w:hAnsi="Times New Roman"/>
                <w:b w:val="0"/>
                <w:bCs/>
                <w:sz w:val="22"/>
                <w:szCs w:val="22"/>
                <w:u w:val="none"/>
              </w:rPr>
              <w:t>Recursos Especiales de CYBERTIX SIMULATION TECHNOLOGIES, S.L. contra su exclusión y la posterior declaración de desierto del procedimiento de contratación “Formación en ciberseguridad para Diputación Foral de Álava y el Sector Público Foral” (</w:t>
            </w:r>
            <w:proofErr w:type="spellStart"/>
            <w:r w:rsidR="00882765" w:rsidRPr="00882765">
              <w:rPr>
                <w:rFonts w:ascii="Times New Roman" w:hAnsi="Times New Roman"/>
                <w:b w:val="0"/>
                <w:bCs/>
                <w:sz w:val="22"/>
                <w:szCs w:val="22"/>
                <w:u w:val="none"/>
              </w:rPr>
              <w:t>expte</w:t>
            </w:r>
            <w:proofErr w:type="spellEnd"/>
            <w:r w:rsidR="00882765" w:rsidRPr="00882765">
              <w:rPr>
                <w:rFonts w:ascii="Times New Roman" w:hAnsi="Times New Roman"/>
                <w:b w:val="0"/>
                <w:bCs/>
                <w:sz w:val="22"/>
                <w:szCs w:val="22"/>
                <w:u w:val="none"/>
              </w:rPr>
              <w:t xml:space="preserve"> 2025006)</w:t>
            </w:r>
            <w:bookmarkEnd w:id="0"/>
            <w:r w:rsidRPr="00763CF5">
              <w:rPr>
                <w:rFonts w:ascii="Times New Roman" w:hAnsi="Times New Roman"/>
                <w:b w:val="0"/>
                <w:bCs/>
                <w:sz w:val="22"/>
                <w:szCs w:val="22"/>
                <w:u w:val="none"/>
              </w:rPr>
              <w:t>.</w:t>
            </w:r>
            <w:bookmarkEnd w:id="1"/>
          </w:p>
          <w:p w14:paraId="1C0DBBA5" w14:textId="181F7CD7" w:rsidR="00200F29" w:rsidRPr="0010018F" w:rsidRDefault="00763CF5" w:rsidP="00763CF5">
            <w:pPr>
              <w:rPr>
                <w:sz w:val="22"/>
                <w:szCs w:val="22"/>
                <w:lang w:val="es-ES_tradnl"/>
              </w:rPr>
            </w:pPr>
            <w:proofErr w:type="spellStart"/>
            <w:r w:rsidRPr="00763CF5">
              <w:rPr>
                <w:sz w:val="22"/>
                <w:szCs w:val="22"/>
              </w:rPr>
              <w:t>Esp</w:t>
            </w:r>
            <w:proofErr w:type="spellEnd"/>
            <w:r w:rsidRPr="00763CF5">
              <w:rPr>
                <w:sz w:val="22"/>
                <w:szCs w:val="22"/>
              </w:rPr>
              <w:t xml:space="preserve"> </w:t>
            </w:r>
            <w:proofErr w:type="spellStart"/>
            <w:r w:rsidRPr="00763CF5">
              <w:rPr>
                <w:sz w:val="22"/>
                <w:szCs w:val="22"/>
              </w:rPr>
              <w:t>Zenb</w:t>
            </w:r>
            <w:proofErr w:type="spellEnd"/>
            <w:r w:rsidRPr="00763CF5">
              <w:rPr>
                <w:sz w:val="22"/>
                <w:szCs w:val="22"/>
              </w:rPr>
              <w:t>/</w:t>
            </w:r>
            <w:proofErr w:type="spellStart"/>
            <w:r w:rsidRPr="00763CF5">
              <w:rPr>
                <w:sz w:val="22"/>
                <w:szCs w:val="22"/>
              </w:rPr>
              <w:t>Nº</w:t>
            </w:r>
            <w:proofErr w:type="spellEnd"/>
            <w:r w:rsidRPr="00763CF5">
              <w:rPr>
                <w:sz w:val="22"/>
                <w:szCs w:val="22"/>
              </w:rPr>
              <w:t xml:space="preserve"> </w:t>
            </w:r>
            <w:proofErr w:type="spellStart"/>
            <w:r w:rsidRPr="00763CF5">
              <w:rPr>
                <w:sz w:val="22"/>
                <w:szCs w:val="22"/>
              </w:rPr>
              <w:t>exp</w:t>
            </w:r>
            <w:proofErr w:type="spellEnd"/>
            <w:r w:rsidRPr="00322C07">
              <w:rPr>
                <w:sz w:val="22"/>
                <w:szCs w:val="22"/>
              </w:rPr>
              <w:t xml:space="preserve">: </w:t>
            </w:r>
            <w:r w:rsidR="00882765" w:rsidRPr="00882765">
              <w:rPr>
                <w:sz w:val="22"/>
                <w:szCs w:val="22"/>
              </w:rPr>
              <w:t>16/25 y acumulado 17/25 - RE</w:t>
            </w:r>
          </w:p>
        </w:tc>
        <w:tc>
          <w:tcPr>
            <w:tcW w:w="20" w:type="dxa"/>
          </w:tcPr>
          <w:p w14:paraId="55E46482" w14:textId="77777777" w:rsidR="00020C36" w:rsidRPr="0010018F" w:rsidRDefault="00020C36">
            <w:pPr>
              <w:rPr>
                <w:sz w:val="22"/>
                <w:szCs w:val="22"/>
              </w:rPr>
            </w:pPr>
            <w:r w:rsidRPr="0010018F">
              <w:rPr>
                <w:sz w:val="22"/>
                <w:szCs w:val="22"/>
              </w:rPr>
              <w:t xml:space="preserve"> </w:t>
            </w:r>
          </w:p>
        </w:tc>
        <w:tc>
          <w:tcPr>
            <w:tcW w:w="4677" w:type="dxa"/>
          </w:tcPr>
          <w:p w14:paraId="35F0B894" w14:textId="77777777" w:rsidR="00020C36" w:rsidRPr="0010018F" w:rsidRDefault="00020C36">
            <w:pPr>
              <w:pStyle w:val="Piedepgina"/>
              <w:tabs>
                <w:tab w:val="clear" w:pos="4252"/>
                <w:tab w:val="clear" w:pos="8504"/>
                <w:tab w:val="right" w:pos="4677"/>
              </w:tabs>
              <w:spacing w:after="240"/>
              <w:rPr>
                <w:sz w:val="22"/>
                <w:szCs w:val="22"/>
              </w:rPr>
            </w:pPr>
          </w:p>
        </w:tc>
      </w:tr>
    </w:tbl>
    <w:p w14:paraId="00397798" w14:textId="77777777" w:rsidR="00763CF5" w:rsidRDefault="00763CF5">
      <w:pPr>
        <w:pStyle w:val="Textoindependiente"/>
        <w:spacing w:after="480"/>
        <w:jc w:val="center"/>
        <w:rPr>
          <w:rFonts w:ascii="Times New Roman" w:hAnsi="Times New Roman"/>
          <w:b/>
          <w:sz w:val="22"/>
          <w:szCs w:val="22"/>
          <w:u w:val="single"/>
        </w:rPr>
      </w:pPr>
    </w:p>
    <w:p w14:paraId="37ADAAE8" w14:textId="5B0A3483" w:rsidR="00020C36" w:rsidRPr="0010018F" w:rsidRDefault="00020C36">
      <w:pPr>
        <w:pStyle w:val="Textoindependiente"/>
        <w:spacing w:after="480"/>
        <w:jc w:val="center"/>
        <w:rPr>
          <w:rFonts w:ascii="Times New Roman" w:hAnsi="Times New Roman"/>
          <w:b/>
          <w:sz w:val="22"/>
          <w:szCs w:val="22"/>
          <w:u w:val="single"/>
        </w:rPr>
      </w:pPr>
      <w:r w:rsidRPr="0010018F">
        <w:rPr>
          <w:rFonts w:ascii="Times New Roman" w:hAnsi="Times New Roman"/>
          <w:b/>
          <w:sz w:val="22"/>
          <w:szCs w:val="22"/>
          <w:u w:val="single"/>
        </w:rPr>
        <w:t xml:space="preserve">RESOLUCIÓN </w:t>
      </w:r>
      <w:proofErr w:type="spellStart"/>
      <w:r w:rsidRPr="0010018F">
        <w:rPr>
          <w:rFonts w:ascii="Times New Roman" w:hAnsi="Times New Roman"/>
          <w:b/>
          <w:sz w:val="22"/>
          <w:szCs w:val="22"/>
          <w:u w:val="single"/>
        </w:rPr>
        <w:t>Nº</w:t>
      </w:r>
      <w:proofErr w:type="spellEnd"/>
      <w:r w:rsidR="002C5D0E">
        <w:rPr>
          <w:rFonts w:ascii="Times New Roman" w:hAnsi="Times New Roman"/>
          <w:b/>
          <w:sz w:val="22"/>
          <w:szCs w:val="22"/>
          <w:u w:val="single"/>
        </w:rPr>
        <w:t xml:space="preserve"> </w:t>
      </w:r>
      <w:r w:rsidR="008915D6">
        <w:rPr>
          <w:rFonts w:ascii="Times New Roman" w:hAnsi="Times New Roman"/>
          <w:b/>
          <w:sz w:val="22"/>
          <w:szCs w:val="22"/>
          <w:u w:val="single"/>
        </w:rPr>
        <w:t>3</w:t>
      </w:r>
      <w:r w:rsidR="002735C5">
        <w:rPr>
          <w:rFonts w:ascii="Times New Roman" w:hAnsi="Times New Roman"/>
          <w:b/>
          <w:sz w:val="22"/>
          <w:szCs w:val="22"/>
          <w:u w:val="single"/>
        </w:rPr>
        <w:t>6</w:t>
      </w:r>
      <w:r w:rsidR="00763CF5">
        <w:rPr>
          <w:rFonts w:ascii="Times New Roman" w:hAnsi="Times New Roman"/>
          <w:b/>
          <w:sz w:val="22"/>
          <w:szCs w:val="22"/>
          <w:u w:val="single"/>
        </w:rPr>
        <w:t>/</w:t>
      </w:r>
      <w:r w:rsidR="0075652B">
        <w:rPr>
          <w:rFonts w:ascii="Times New Roman" w:hAnsi="Times New Roman"/>
          <w:b/>
          <w:sz w:val="22"/>
          <w:szCs w:val="22"/>
          <w:u w:val="single"/>
        </w:rPr>
        <w:t>20</w:t>
      </w:r>
      <w:r w:rsidR="00E95CFC" w:rsidRPr="0010018F">
        <w:rPr>
          <w:rFonts w:ascii="Times New Roman" w:hAnsi="Times New Roman"/>
          <w:b/>
          <w:sz w:val="22"/>
          <w:szCs w:val="22"/>
          <w:u w:val="single"/>
        </w:rPr>
        <w:t>2</w:t>
      </w:r>
      <w:r w:rsidR="00763CF5">
        <w:rPr>
          <w:rFonts w:ascii="Times New Roman" w:hAnsi="Times New Roman"/>
          <w:b/>
          <w:sz w:val="22"/>
          <w:szCs w:val="22"/>
          <w:u w:val="single"/>
        </w:rPr>
        <w:t>5</w:t>
      </w:r>
    </w:p>
    <w:p w14:paraId="1C8251F6" w14:textId="287EA9FC" w:rsidR="00020C36" w:rsidRPr="0010018F" w:rsidRDefault="00020C36" w:rsidP="0016554C">
      <w:pPr>
        <w:tabs>
          <w:tab w:val="left" w:pos="3261"/>
        </w:tabs>
        <w:spacing w:after="240"/>
        <w:jc w:val="both"/>
        <w:rPr>
          <w:sz w:val="22"/>
          <w:szCs w:val="22"/>
        </w:rPr>
      </w:pPr>
      <w:r w:rsidRPr="0010018F">
        <w:rPr>
          <w:sz w:val="22"/>
          <w:szCs w:val="22"/>
        </w:rPr>
        <w:t>En Vitoria-Gasteiz, a</w:t>
      </w:r>
      <w:r w:rsidR="006E6663">
        <w:rPr>
          <w:sz w:val="22"/>
          <w:szCs w:val="22"/>
        </w:rPr>
        <w:t xml:space="preserve"> </w:t>
      </w:r>
      <w:r w:rsidR="002735C5">
        <w:rPr>
          <w:sz w:val="22"/>
          <w:szCs w:val="22"/>
        </w:rPr>
        <w:t>24</w:t>
      </w:r>
      <w:r w:rsidR="00513D34">
        <w:rPr>
          <w:sz w:val="22"/>
          <w:szCs w:val="22"/>
        </w:rPr>
        <w:t xml:space="preserve"> de </w:t>
      </w:r>
      <w:r w:rsidR="00CC4759">
        <w:rPr>
          <w:sz w:val="22"/>
          <w:szCs w:val="22"/>
        </w:rPr>
        <w:t>octubre</w:t>
      </w:r>
      <w:r w:rsidR="00513D34">
        <w:rPr>
          <w:sz w:val="22"/>
          <w:szCs w:val="22"/>
        </w:rPr>
        <w:t xml:space="preserve"> de 2025</w:t>
      </w:r>
      <w:r w:rsidR="00200F29" w:rsidRPr="0010018F">
        <w:rPr>
          <w:sz w:val="22"/>
          <w:szCs w:val="22"/>
        </w:rPr>
        <w:t>.</w:t>
      </w:r>
    </w:p>
    <w:p w14:paraId="4E8F1DC3" w14:textId="31D1989C" w:rsidR="00763CF5" w:rsidRPr="00763CF5" w:rsidRDefault="00763CF5" w:rsidP="0016554C">
      <w:pPr>
        <w:tabs>
          <w:tab w:val="left" w:pos="3261"/>
        </w:tabs>
        <w:spacing w:after="240"/>
        <w:jc w:val="both"/>
        <w:rPr>
          <w:bCs/>
          <w:sz w:val="22"/>
          <w:lang w:val="es-ES_tradnl"/>
        </w:rPr>
      </w:pPr>
      <w:r w:rsidRPr="005661F7">
        <w:rPr>
          <w:sz w:val="22"/>
        </w:rPr>
        <w:t xml:space="preserve">El </w:t>
      </w:r>
      <w:r w:rsidRPr="006F2661">
        <w:rPr>
          <w:sz w:val="22"/>
        </w:rPr>
        <w:t>Órgano Administrativo</w:t>
      </w:r>
      <w:r w:rsidRPr="005661F7">
        <w:rPr>
          <w:sz w:val="22"/>
        </w:rPr>
        <w:t xml:space="preserve"> Foral de Recursos Contractuales de la Diputación Foral de Álava ha dictado la siguiente RESOLUCIÓN en l</w:t>
      </w:r>
      <w:r w:rsidR="00FF203E">
        <w:rPr>
          <w:sz w:val="22"/>
        </w:rPr>
        <w:t>os</w:t>
      </w:r>
      <w:r w:rsidRPr="005661F7">
        <w:rPr>
          <w:sz w:val="22"/>
        </w:rPr>
        <w:t xml:space="preserve"> </w:t>
      </w:r>
      <w:bookmarkStart w:id="2" w:name="_Hlk191369236"/>
      <w:r w:rsidR="00882765" w:rsidRPr="00882765">
        <w:rPr>
          <w:sz w:val="22"/>
        </w:rPr>
        <w:t>Recursos Especiales en materia de contratación 16/25 y 17/25-RE interpuestos por CYBERTIX SIMULATION TECHNOLOGIES, S.L. contra su exclusión y posterior declaración de desierta de la licitación del contrato “Formación en ciberseguridad para Diputación Foral de Álava y el Sector Público Foral” (</w:t>
      </w:r>
      <w:proofErr w:type="spellStart"/>
      <w:r w:rsidR="00882765" w:rsidRPr="00882765">
        <w:rPr>
          <w:sz w:val="22"/>
        </w:rPr>
        <w:t>expte</w:t>
      </w:r>
      <w:proofErr w:type="spellEnd"/>
      <w:r w:rsidR="00882765" w:rsidRPr="00882765">
        <w:rPr>
          <w:sz w:val="22"/>
        </w:rPr>
        <w:t xml:space="preserve"> 2025006)</w:t>
      </w:r>
      <w:r w:rsidR="00882765">
        <w:rPr>
          <w:sz w:val="22"/>
        </w:rPr>
        <w:t>.</w:t>
      </w:r>
    </w:p>
    <w:bookmarkEnd w:id="2"/>
    <w:p w14:paraId="6375A20C" w14:textId="20F6F8C4" w:rsidR="00763CF5" w:rsidRPr="004C0B12" w:rsidRDefault="00882765" w:rsidP="0016554C">
      <w:pPr>
        <w:spacing w:after="240"/>
        <w:jc w:val="both"/>
        <w:rPr>
          <w:sz w:val="24"/>
          <w:szCs w:val="24"/>
        </w:rPr>
      </w:pPr>
      <w:r w:rsidRPr="00882765">
        <w:rPr>
          <w:sz w:val="22"/>
          <w:szCs w:val="22"/>
        </w:rPr>
        <w:t>Son partes en dicho recurso: como recurrente, CYBERTIX SIMULATION TECHNOLOGIES, S.L.; y como parte demandada la Sociedad Pública Foral Centro de Cálculo de Álava, en adelante CCASA, siendo el órgano de contratación el Consejo de Administración del CCASA (en adelante OC) y el tramitador del expediente el área de Administración corporativa y RRHH del CCASA (</w:t>
      </w:r>
      <w:proofErr w:type="spellStart"/>
      <w:r w:rsidRPr="00882765">
        <w:rPr>
          <w:sz w:val="22"/>
          <w:szCs w:val="22"/>
        </w:rPr>
        <w:t>expte</w:t>
      </w:r>
      <w:proofErr w:type="spellEnd"/>
      <w:r w:rsidRPr="00882765">
        <w:rPr>
          <w:sz w:val="22"/>
          <w:szCs w:val="22"/>
        </w:rPr>
        <w:t xml:space="preserve"> 2025006)</w:t>
      </w:r>
      <w:r w:rsidR="00322C07">
        <w:rPr>
          <w:sz w:val="22"/>
          <w:szCs w:val="22"/>
        </w:rPr>
        <w:t>.</w:t>
      </w:r>
    </w:p>
    <w:p w14:paraId="32D688E4" w14:textId="77777777" w:rsidR="00822F42" w:rsidRPr="0010018F" w:rsidRDefault="00822F42" w:rsidP="0016554C">
      <w:pPr>
        <w:spacing w:after="240"/>
        <w:jc w:val="both"/>
        <w:rPr>
          <w:sz w:val="22"/>
          <w:szCs w:val="22"/>
        </w:rPr>
      </w:pPr>
    </w:p>
    <w:p w14:paraId="6B4E6732" w14:textId="77777777" w:rsidR="00822F42" w:rsidRPr="0010018F" w:rsidRDefault="00822F42" w:rsidP="0016554C">
      <w:pPr>
        <w:spacing w:after="240"/>
        <w:jc w:val="center"/>
        <w:rPr>
          <w:b/>
          <w:sz w:val="22"/>
          <w:szCs w:val="22"/>
        </w:rPr>
      </w:pPr>
      <w:r w:rsidRPr="0010018F">
        <w:rPr>
          <w:b/>
          <w:sz w:val="22"/>
          <w:szCs w:val="22"/>
        </w:rPr>
        <w:t>ANTECEDENTES DE HECHO</w:t>
      </w:r>
    </w:p>
    <w:p w14:paraId="2473482E" w14:textId="77777777" w:rsidR="002C5D0E" w:rsidRPr="005754C1" w:rsidRDefault="002C5D0E" w:rsidP="002C5D0E">
      <w:pPr>
        <w:spacing w:after="240"/>
        <w:jc w:val="both"/>
        <w:rPr>
          <w:bCs/>
          <w:sz w:val="22"/>
        </w:rPr>
      </w:pPr>
      <w:r w:rsidRPr="005754C1">
        <w:rPr>
          <w:b/>
          <w:sz w:val="22"/>
        </w:rPr>
        <w:t xml:space="preserve">1º - </w:t>
      </w:r>
      <w:r w:rsidRPr="005754C1">
        <w:rPr>
          <w:bCs/>
          <w:sz w:val="22"/>
        </w:rPr>
        <w:t>Mediante Acuerdo del Consejo de Administración del CCASA (en adelante OC), de fecha 5 de mayo de 2025, se aprobó la contratación de la “Formación en ciberseguridad para Diputación Foral de Álava y el Sector Público Foral”, con un valor estimado de 190.000,00 € (IVA excluido), con número de expediente 2025006. El plazo de ejecución se estableció desde el 01-09-2025 (o fecha de firma del contrato en caso de ser posterior) hasta el 31-12-2027.</w:t>
      </w:r>
    </w:p>
    <w:p w14:paraId="2F586978" w14:textId="266F6FDC" w:rsidR="00CC4759" w:rsidRPr="005754C1" w:rsidRDefault="002C5D0E" w:rsidP="002C5D0E">
      <w:pPr>
        <w:spacing w:after="240"/>
        <w:jc w:val="both"/>
        <w:rPr>
          <w:bCs/>
          <w:sz w:val="22"/>
        </w:rPr>
      </w:pPr>
      <w:r w:rsidRPr="005754C1">
        <w:rPr>
          <w:b/>
          <w:sz w:val="22"/>
        </w:rPr>
        <w:t xml:space="preserve">2º.- </w:t>
      </w:r>
      <w:r w:rsidRPr="005754C1">
        <w:rPr>
          <w:bCs/>
          <w:sz w:val="22"/>
        </w:rPr>
        <w:t xml:space="preserve">El expediente </w:t>
      </w:r>
      <w:r w:rsidRPr="000A10BD">
        <w:rPr>
          <w:bCs/>
          <w:sz w:val="22"/>
        </w:rPr>
        <w:t>fue instruido por tramitación anticipada y procedimiento abierto, según lo dispuesto en la LCSP. Con posterioridad a la presentación</w:t>
      </w:r>
      <w:r w:rsidRPr="005754C1">
        <w:rPr>
          <w:bCs/>
          <w:sz w:val="22"/>
        </w:rPr>
        <w:t xml:space="preserve"> de ofertas y a su apertura, el OC, mediante Acuerdo de 14 de julio, declaró desierta dicha licitación, al ser excluidas todas las empresas que se presentaron a la misma: CYBERTIX SIMULATION TECHNOLOGIES S.L. y S2 GRUPO SOLUCIONES DE SEGURIDAD, S.L. La razón de la exclusión estriba</w:t>
      </w:r>
      <w:r w:rsidR="00CC4759">
        <w:rPr>
          <w:bCs/>
          <w:sz w:val="22"/>
        </w:rPr>
        <w:t xml:space="preserve"> en el caso de CYBERTIX </w:t>
      </w:r>
      <w:r w:rsidR="00637A2A">
        <w:rPr>
          <w:bCs/>
          <w:sz w:val="22"/>
        </w:rPr>
        <w:t>resulta de</w:t>
      </w:r>
      <w:r w:rsidR="00CC4759">
        <w:rPr>
          <w:bCs/>
          <w:sz w:val="22"/>
        </w:rPr>
        <w:t xml:space="preserve"> no alcanzar </w:t>
      </w:r>
      <w:r w:rsidR="00637A2A">
        <w:rPr>
          <w:bCs/>
          <w:sz w:val="22"/>
        </w:rPr>
        <w:t xml:space="preserve">el número de sesiones presenciales </w:t>
      </w:r>
      <w:r w:rsidR="00A32396">
        <w:rPr>
          <w:bCs/>
          <w:sz w:val="22"/>
        </w:rPr>
        <w:t xml:space="preserve">de formación </w:t>
      </w:r>
      <w:r w:rsidR="00637A2A">
        <w:rPr>
          <w:bCs/>
          <w:sz w:val="22"/>
        </w:rPr>
        <w:t>mínimas establecidas en el pliego (41), habiéndose ofrecido 33</w:t>
      </w:r>
      <w:r w:rsidR="00A32396">
        <w:rPr>
          <w:bCs/>
          <w:sz w:val="22"/>
        </w:rPr>
        <w:t xml:space="preserve"> por parte de la licitadora</w:t>
      </w:r>
      <w:r w:rsidR="00637A2A">
        <w:rPr>
          <w:bCs/>
          <w:sz w:val="22"/>
        </w:rPr>
        <w:t>.</w:t>
      </w:r>
    </w:p>
    <w:p w14:paraId="4C7F0255" w14:textId="77777777" w:rsidR="002C5D0E" w:rsidRPr="005754C1" w:rsidRDefault="002C5D0E" w:rsidP="002C5D0E">
      <w:pPr>
        <w:spacing w:after="240"/>
        <w:jc w:val="both"/>
        <w:rPr>
          <w:bCs/>
          <w:sz w:val="22"/>
        </w:rPr>
      </w:pPr>
      <w:r w:rsidRPr="005754C1">
        <w:rPr>
          <w:b/>
          <w:sz w:val="22"/>
        </w:rPr>
        <w:t xml:space="preserve">3º. – </w:t>
      </w:r>
      <w:r w:rsidRPr="005754C1">
        <w:rPr>
          <w:bCs/>
          <w:sz w:val="22"/>
        </w:rPr>
        <w:t xml:space="preserve">El 21 de julio de 2025 tuvo entrada en el Registro Electrónico Común de la Diputación Foral de Álava un Recurso Especial en materia de contratación ante el Órgano Administrativo Foral de </w:t>
      </w:r>
      <w:r w:rsidRPr="005754C1">
        <w:rPr>
          <w:bCs/>
          <w:sz w:val="22"/>
        </w:rPr>
        <w:lastRenderedPageBreak/>
        <w:t>Recursos Contractuales de la Diputación Foral de Álava presentado por la empresa CYBERTIX SIMULATION TECHNOLOGIES S.L. contra la exclusión de la empresa del procedimiento citado en el antecedente primero (16/25-RE).</w:t>
      </w:r>
    </w:p>
    <w:p w14:paraId="3F895DE8" w14:textId="77777777" w:rsidR="002C5D0E" w:rsidRPr="005754C1" w:rsidRDefault="002C5D0E" w:rsidP="002C5D0E">
      <w:pPr>
        <w:spacing w:after="240"/>
        <w:jc w:val="both"/>
        <w:rPr>
          <w:bCs/>
          <w:sz w:val="22"/>
        </w:rPr>
      </w:pPr>
      <w:r w:rsidRPr="005754C1">
        <w:rPr>
          <w:b/>
          <w:sz w:val="22"/>
        </w:rPr>
        <w:t xml:space="preserve">4º. – </w:t>
      </w:r>
      <w:r w:rsidRPr="005754C1">
        <w:rPr>
          <w:bCs/>
          <w:sz w:val="22"/>
        </w:rPr>
        <w:t>La recurrente, con la misma fecha y hora posterior, interpone un nuevo Recurso Especial en materia de contratación contra la declaración de desierto del procedimiento denominado “Formación en ciberseguridad para Diputación Foral de Álava y el Sector Público Foral” (</w:t>
      </w:r>
      <w:proofErr w:type="spellStart"/>
      <w:r w:rsidRPr="005754C1">
        <w:rPr>
          <w:bCs/>
          <w:sz w:val="22"/>
        </w:rPr>
        <w:t>expte</w:t>
      </w:r>
      <w:proofErr w:type="spellEnd"/>
      <w:r w:rsidRPr="005754C1">
        <w:rPr>
          <w:bCs/>
          <w:sz w:val="22"/>
        </w:rPr>
        <w:t>. 2005006), con la referencia de recurso especial de este OAFRC número 17/25-RE.</w:t>
      </w:r>
    </w:p>
    <w:p w14:paraId="13E45DC2" w14:textId="0788E995" w:rsidR="002C5D0E" w:rsidRPr="005754C1" w:rsidRDefault="002C5D0E" w:rsidP="002C5D0E">
      <w:pPr>
        <w:spacing w:after="240"/>
        <w:jc w:val="both"/>
        <w:rPr>
          <w:bCs/>
          <w:sz w:val="22"/>
        </w:rPr>
      </w:pPr>
      <w:r w:rsidRPr="005754C1">
        <w:rPr>
          <w:bCs/>
          <w:sz w:val="22"/>
        </w:rPr>
        <w:t>Los motivos esgrimidos por la recurrente en este recurso guarda</w:t>
      </w:r>
      <w:r w:rsidR="00A32396">
        <w:rPr>
          <w:bCs/>
          <w:sz w:val="22"/>
        </w:rPr>
        <w:t>ba</w:t>
      </w:r>
      <w:r w:rsidRPr="005754C1">
        <w:rPr>
          <w:bCs/>
          <w:sz w:val="22"/>
        </w:rPr>
        <w:t>n una identidad total con el presentado anteriormente; la pretensión de CYBERTIX SIMULATION TECHNOLOGIES S.L.  no es otra que la anulación de su exclusión y la continuación del procedimiento.</w:t>
      </w:r>
    </w:p>
    <w:p w14:paraId="3AED921A" w14:textId="7E09F7E2" w:rsidR="002C5D0E" w:rsidRPr="005754C1" w:rsidRDefault="002C5D0E" w:rsidP="002C5D0E">
      <w:pPr>
        <w:spacing w:after="240"/>
        <w:jc w:val="both"/>
        <w:rPr>
          <w:bCs/>
          <w:sz w:val="22"/>
        </w:rPr>
      </w:pPr>
      <w:r w:rsidRPr="005754C1">
        <w:rPr>
          <w:bCs/>
          <w:sz w:val="22"/>
        </w:rPr>
        <w:t>En ambos RE-16/25 y 17/25, se solicita</w:t>
      </w:r>
      <w:r w:rsidR="00A32396">
        <w:rPr>
          <w:bCs/>
          <w:sz w:val="22"/>
        </w:rPr>
        <w:t>ba</w:t>
      </w:r>
      <w:r w:rsidRPr="005754C1">
        <w:rPr>
          <w:bCs/>
          <w:sz w:val="22"/>
        </w:rPr>
        <w:t xml:space="preserve"> la suspensión de los actos recurridos, para que no se acuerde por el OC la apertura nuevamente el procedimiento, hasta que se resuelvan ambos RE, habida cuenta los perjuicios de imposible o difícil reparación que podrían ocasionarse ante una eventual estimación de </w:t>
      </w:r>
      <w:proofErr w:type="gramStart"/>
      <w:r w:rsidRPr="005754C1">
        <w:rPr>
          <w:bCs/>
          <w:sz w:val="22"/>
        </w:rPr>
        <w:t>los mismos</w:t>
      </w:r>
      <w:proofErr w:type="gramEnd"/>
      <w:r w:rsidRPr="005754C1">
        <w:rPr>
          <w:bCs/>
          <w:sz w:val="22"/>
        </w:rPr>
        <w:t>.</w:t>
      </w:r>
    </w:p>
    <w:p w14:paraId="470AB2E1" w14:textId="7FD26A8B" w:rsidR="002C5D0E" w:rsidRDefault="002C5D0E" w:rsidP="002C5D0E">
      <w:pPr>
        <w:spacing w:after="240"/>
        <w:jc w:val="both"/>
        <w:rPr>
          <w:bCs/>
          <w:sz w:val="22"/>
        </w:rPr>
      </w:pPr>
      <w:r w:rsidRPr="005754C1">
        <w:rPr>
          <w:b/>
          <w:sz w:val="22"/>
        </w:rPr>
        <w:t xml:space="preserve">5º. – </w:t>
      </w:r>
      <w:r w:rsidRPr="005754C1">
        <w:rPr>
          <w:bCs/>
          <w:sz w:val="22"/>
        </w:rPr>
        <w:t xml:space="preserve">Adicionalmente, la empresa </w:t>
      </w:r>
      <w:r w:rsidR="00A32396">
        <w:rPr>
          <w:bCs/>
          <w:sz w:val="22"/>
        </w:rPr>
        <w:t>pedía</w:t>
      </w:r>
      <w:r w:rsidRPr="005754C1">
        <w:rPr>
          <w:bCs/>
          <w:sz w:val="22"/>
        </w:rPr>
        <w:t xml:space="preserve"> que el OAFRC </w:t>
      </w:r>
      <w:r w:rsidR="00A32396">
        <w:rPr>
          <w:bCs/>
          <w:sz w:val="22"/>
        </w:rPr>
        <w:t>resolviera</w:t>
      </w:r>
      <w:r w:rsidRPr="005754C1">
        <w:rPr>
          <w:bCs/>
          <w:sz w:val="22"/>
        </w:rPr>
        <w:t xml:space="preserve"> ambos recursos de forma conjunta, conforme a lo dispuesto en el artículo 57 de la Ley 39/2015, de 1 de octubre, del Procedimiento Administrativo Común de las Administraciones Públicas o que, en su defecto, resuelva en primer lugar el recurso interpuesto frente al Acta de exclusión (16/25-RE).</w:t>
      </w:r>
    </w:p>
    <w:p w14:paraId="007D4DDD" w14:textId="582E250A" w:rsidR="002C5D0E" w:rsidRDefault="002C5D0E" w:rsidP="002C5D0E">
      <w:pPr>
        <w:spacing w:after="240"/>
        <w:jc w:val="both"/>
        <w:rPr>
          <w:sz w:val="22"/>
        </w:rPr>
      </w:pPr>
      <w:r>
        <w:rPr>
          <w:b/>
          <w:sz w:val="22"/>
        </w:rPr>
        <w:t>6</w:t>
      </w:r>
      <w:r w:rsidRPr="00750DA7">
        <w:rPr>
          <w:b/>
          <w:sz w:val="22"/>
        </w:rPr>
        <w:t>º. –</w:t>
      </w:r>
      <w:r>
        <w:rPr>
          <w:sz w:val="22"/>
        </w:rPr>
        <w:t xml:space="preserve"> </w:t>
      </w:r>
      <w:r w:rsidR="00A32396">
        <w:rPr>
          <w:sz w:val="22"/>
        </w:rPr>
        <w:t>Así, m</w:t>
      </w:r>
      <w:r>
        <w:rPr>
          <w:sz w:val="22"/>
        </w:rPr>
        <w:t>ediante Resolución 23/25, de 24 de julio, del OAFRC, fueron acumulados ambos Recursos Especiales.</w:t>
      </w:r>
    </w:p>
    <w:p w14:paraId="44C43A34" w14:textId="401405D2" w:rsidR="002C5D0E" w:rsidRPr="002C5D0E" w:rsidRDefault="002C5D0E" w:rsidP="002C5D0E">
      <w:pPr>
        <w:spacing w:after="240"/>
        <w:jc w:val="both"/>
        <w:rPr>
          <w:bCs/>
          <w:sz w:val="22"/>
        </w:rPr>
      </w:pPr>
      <w:r>
        <w:rPr>
          <w:b/>
          <w:sz w:val="22"/>
        </w:rPr>
        <w:t xml:space="preserve">7º. – </w:t>
      </w:r>
      <w:r w:rsidRPr="002C5D0E">
        <w:rPr>
          <w:bCs/>
          <w:sz w:val="22"/>
        </w:rPr>
        <w:t xml:space="preserve">Posteriormente, </w:t>
      </w:r>
      <w:r>
        <w:rPr>
          <w:bCs/>
          <w:sz w:val="22"/>
        </w:rPr>
        <w:t>el OAFRC procedió a dictar la Resolución 24/25, de 30 de julio, en la que se estimó</w:t>
      </w:r>
      <w:r w:rsidRPr="002C5D0E">
        <w:rPr>
          <w:bCs/>
          <w:sz w:val="22"/>
        </w:rPr>
        <w:t xml:space="preserve"> la medida provisional de suspensión de la exclusión de recurrente y de la declaración de desierto del contrato “Formación en ciberseguridad para Diputación Foral de Álava y el Sector Público Foral” (</w:t>
      </w:r>
      <w:proofErr w:type="spellStart"/>
      <w:r w:rsidRPr="002C5D0E">
        <w:rPr>
          <w:bCs/>
          <w:sz w:val="22"/>
        </w:rPr>
        <w:t>expte</w:t>
      </w:r>
      <w:proofErr w:type="spellEnd"/>
      <w:r w:rsidRPr="002C5D0E">
        <w:rPr>
          <w:bCs/>
          <w:sz w:val="22"/>
        </w:rPr>
        <w:t xml:space="preserve"> 2025006)</w:t>
      </w:r>
      <w:r>
        <w:rPr>
          <w:bCs/>
          <w:sz w:val="22"/>
        </w:rPr>
        <w:t xml:space="preserve">. </w:t>
      </w:r>
    </w:p>
    <w:p w14:paraId="6220CEE1" w14:textId="487DBF10" w:rsidR="002C5D0E" w:rsidRPr="002735C5" w:rsidRDefault="00B008EF" w:rsidP="002C5D0E">
      <w:pPr>
        <w:spacing w:after="240"/>
        <w:jc w:val="both"/>
        <w:rPr>
          <w:sz w:val="22"/>
        </w:rPr>
      </w:pPr>
      <w:r>
        <w:rPr>
          <w:b/>
          <w:sz w:val="22"/>
        </w:rPr>
        <w:t>8</w:t>
      </w:r>
      <w:r w:rsidR="002C5D0E">
        <w:rPr>
          <w:b/>
          <w:sz w:val="22"/>
        </w:rPr>
        <w:t>º. -</w:t>
      </w:r>
      <w:r w:rsidR="002C5D0E">
        <w:rPr>
          <w:sz w:val="22"/>
        </w:rPr>
        <w:t xml:space="preserve"> </w:t>
      </w:r>
      <w:r w:rsidR="001036FF" w:rsidRPr="002735C5">
        <w:rPr>
          <w:sz w:val="22"/>
        </w:rPr>
        <w:t>En cumplimiento de lo previsto en el artículo 56.2 de la LCSP, se solicitó al OC el expediente administrativo y su informe sobre el RE en el que sostiene que haber permitido en su momento una subsanación de la oferta podría haber derivado en una modificación de la misma, lo que sería contrario a los principios de igualdad, inalterabilidad de las ofertas y transparencia, siendo admisible la postura de la recurrente</w:t>
      </w:r>
      <w:r w:rsidR="002735C5" w:rsidRPr="002735C5">
        <w:rPr>
          <w:sz w:val="22"/>
        </w:rPr>
        <w:t xml:space="preserve"> solamente</w:t>
      </w:r>
      <w:r w:rsidR="001036FF" w:rsidRPr="002735C5">
        <w:rPr>
          <w:sz w:val="22"/>
        </w:rPr>
        <w:t xml:space="preserve"> en el caso de que pudiera considerarse  el incumplimiento detectado un erro</w:t>
      </w:r>
      <w:r w:rsidR="002735C5" w:rsidRPr="002735C5">
        <w:rPr>
          <w:sz w:val="22"/>
        </w:rPr>
        <w:t>r</w:t>
      </w:r>
      <w:r w:rsidR="001036FF" w:rsidRPr="002735C5">
        <w:rPr>
          <w:sz w:val="22"/>
        </w:rPr>
        <w:t xml:space="preserve"> material que pudiera ser aclarado sin afectar a los principios generales de la contratación.</w:t>
      </w:r>
    </w:p>
    <w:p w14:paraId="63D0A658" w14:textId="3C4C9BF6" w:rsidR="00B008EF" w:rsidRDefault="00B008EF" w:rsidP="002C5D0E">
      <w:pPr>
        <w:spacing w:after="240"/>
        <w:jc w:val="both"/>
        <w:rPr>
          <w:sz w:val="22"/>
        </w:rPr>
      </w:pPr>
      <w:r w:rsidRPr="00B008EF">
        <w:rPr>
          <w:b/>
          <w:bCs/>
          <w:sz w:val="22"/>
        </w:rPr>
        <w:t>9º. –</w:t>
      </w:r>
      <w:r w:rsidRPr="00B008EF">
        <w:rPr>
          <w:sz w:val="22"/>
        </w:rPr>
        <w:t xml:space="preserve"> </w:t>
      </w:r>
      <w:r>
        <w:rPr>
          <w:sz w:val="22"/>
        </w:rPr>
        <w:t xml:space="preserve">El 29 de julio de 2025 se dio traslado de ambos recursos a la otra empresa participante en el procedimiento, </w:t>
      </w:r>
      <w:r w:rsidRPr="00B008EF">
        <w:rPr>
          <w:sz w:val="22"/>
        </w:rPr>
        <w:t>S2 GRUPO SOLUCIONES DE SEGURIDAD, S.L.U.</w:t>
      </w:r>
      <w:r>
        <w:rPr>
          <w:sz w:val="22"/>
        </w:rPr>
        <w:t>, otorgándosele cinco días hábiles para presentar alegaciones, hecho este que no ha sido completado por la citada mercantil.</w:t>
      </w:r>
    </w:p>
    <w:p w14:paraId="2437D7DE" w14:textId="77777777" w:rsidR="002C5D0E" w:rsidRDefault="002C5D0E" w:rsidP="0016554C">
      <w:pPr>
        <w:spacing w:after="240"/>
        <w:jc w:val="center"/>
        <w:rPr>
          <w:b/>
          <w:sz w:val="22"/>
          <w:szCs w:val="22"/>
        </w:rPr>
      </w:pPr>
    </w:p>
    <w:p w14:paraId="74EDD52D" w14:textId="5BB0AF09" w:rsidR="00DA56FC" w:rsidRDefault="00DA56FC" w:rsidP="0016554C">
      <w:pPr>
        <w:spacing w:after="240"/>
        <w:jc w:val="center"/>
        <w:rPr>
          <w:b/>
          <w:sz w:val="22"/>
          <w:szCs w:val="22"/>
        </w:rPr>
      </w:pPr>
      <w:r w:rsidRPr="0010018F">
        <w:rPr>
          <w:b/>
          <w:sz w:val="22"/>
          <w:szCs w:val="22"/>
        </w:rPr>
        <w:t>FUNDAMENTOS DE DERECHO</w:t>
      </w:r>
    </w:p>
    <w:p w14:paraId="631823E5" w14:textId="77777777" w:rsidR="0016554C" w:rsidRPr="0010018F" w:rsidRDefault="0016554C" w:rsidP="0016554C">
      <w:pPr>
        <w:spacing w:after="240"/>
        <w:jc w:val="center"/>
        <w:rPr>
          <w:b/>
          <w:sz w:val="22"/>
          <w:szCs w:val="22"/>
        </w:rPr>
      </w:pPr>
    </w:p>
    <w:p w14:paraId="3025EE78" w14:textId="0F00F25F" w:rsidR="00783AEC" w:rsidRDefault="001803B3" w:rsidP="00783AEC">
      <w:pPr>
        <w:spacing w:after="240"/>
        <w:jc w:val="both"/>
        <w:rPr>
          <w:sz w:val="22"/>
        </w:rPr>
      </w:pPr>
      <w:r w:rsidRPr="00783AEC">
        <w:rPr>
          <w:b/>
          <w:sz w:val="22"/>
          <w:szCs w:val="22"/>
        </w:rPr>
        <w:t>PRIMERO. -</w:t>
      </w:r>
      <w:r w:rsidR="00020C36" w:rsidRPr="00783AEC">
        <w:rPr>
          <w:b/>
          <w:sz w:val="22"/>
          <w:szCs w:val="22"/>
        </w:rPr>
        <w:t xml:space="preserve"> </w:t>
      </w:r>
      <w:r w:rsidR="00783AEC" w:rsidRPr="00783AEC">
        <w:rPr>
          <w:sz w:val="22"/>
        </w:rPr>
        <w:t xml:space="preserve">Tratándose de un contrato de servicios cuyo valor estimado (precio del contrato más posibles prórrogas previstas) asciende a </w:t>
      </w:r>
      <w:r w:rsidR="002C5D0E">
        <w:rPr>
          <w:b/>
          <w:bCs/>
          <w:sz w:val="22"/>
        </w:rPr>
        <w:t>190.000,00</w:t>
      </w:r>
      <w:r w:rsidR="00783AEC" w:rsidRPr="00783AEC">
        <w:rPr>
          <w:b/>
          <w:bCs/>
          <w:sz w:val="22"/>
        </w:rPr>
        <w:t xml:space="preserve"> euros (IVA excluido),</w:t>
      </w:r>
      <w:r w:rsidR="00783AEC" w:rsidRPr="00783AEC">
        <w:rPr>
          <w:sz w:val="22"/>
        </w:rPr>
        <w:t xml:space="preserve"> se cumplen los requisitos exigidos en el artículo 44 de la LCSP para poder considerar el acto impugnado susceptible de recurso especial en materia de contratación. En concreto, son susceptibles de recurso especial los actos y decisiones relacionados en el apartado 2 del citado artículo— como los actos de trámite adoptados en el procedimiento de adjudicación, siempre que estos decidan </w:t>
      </w:r>
      <w:r w:rsidR="00783AEC" w:rsidRPr="00783AEC">
        <w:rPr>
          <w:sz w:val="22"/>
        </w:rPr>
        <w:lastRenderedPageBreak/>
        <w:t>directa o indirectamente sobre la adjudicación, determinen la imposibilidad de continuar el procedimiento o produzcan indefensión o perjuicio irreparable a derechos o intereses legítimos— cuando se refieran, entre otros tipos contractuales, a los contratos de servicios cuyo valor estimado sea superior a cien mil euros (art. 44.2. a).</w:t>
      </w:r>
    </w:p>
    <w:p w14:paraId="3A3A491C" w14:textId="0A8DCC56" w:rsidR="00311C6E" w:rsidRPr="00783AEC" w:rsidRDefault="00311C6E" w:rsidP="00783AEC">
      <w:pPr>
        <w:spacing w:after="240"/>
        <w:jc w:val="both"/>
        <w:rPr>
          <w:sz w:val="22"/>
        </w:rPr>
      </w:pPr>
      <w:r>
        <w:rPr>
          <w:sz w:val="22"/>
        </w:rPr>
        <w:t>En este sentido, el acto de exclusión del procedimiento de la recurrente se incardina plenamente en la tipología de acto de trámite que imposibilita la continuidad en el procedimiento, por lo que en este sentido el recurso es admisible.</w:t>
      </w:r>
    </w:p>
    <w:p w14:paraId="69139701" w14:textId="77777777" w:rsidR="00583268" w:rsidRPr="00783AEC" w:rsidRDefault="00345B6D" w:rsidP="00783AEC">
      <w:pPr>
        <w:spacing w:after="240"/>
        <w:jc w:val="both"/>
        <w:rPr>
          <w:sz w:val="22"/>
          <w:szCs w:val="22"/>
          <w:lang w:val="es-ES_tradnl"/>
        </w:rPr>
      </w:pPr>
      <w:r w:rsidRPr="00783AEC">
        <w:rPr>
          <w:b/>
          <w:sz w:val="22"/>
          <w:szCs w:val="22"/>
        </w:rPr>
        <w:t xml:space="preserve">SEGUNDO. </w:t>
      </w:r>
      <w:r w:rsidR="00FE432D" w:rsidRPr="00783AEC">
        <w:rPr>
          <w:b/>
          <w:sz w:val="22"/>
          <w:szCs w:val="22"/>
        </w:rPr>
        <w:t>–</w:t>
      </w:r>
      <w:r w:rsidR="00E16D4D" w:rsidRPr="00783AEC">
        <w:rPr>
          <w:sz w:val="22"/>
          <w:szCs w:val="22"/>
        </w:rPr>
        <w:t xml:space="preserve"> </w:t>
      </w:r>
      <w:r w:rsidR="00583268" w:rsidRPr="00783AEC">
        <w:rPr>
          <w:sz w:val="22"/>
          <w:szCs w:val="22"/>
          <w:lang w:val="es-ES_tradnl"/>
        </w:rPr>
        <w:t xml:space="preserve">La competencia para resolver </w:t>
      </w:r>
      <w:r w:rsidR="00783AEC">
        <w:rPr>
          <w:sz w:val="22"/>
          <w:szCs w:val="22"/>
          <w:lang w:val="es-ES_tradnl"/>
        </w:rPr>
        <w:t>el</w:t>
      </w:r>
      <w:r w:rsidR="00583268" w:rsidRPr="00783AEC">
        <w:rPr>
          <w:sz w:val="22"/>
          <w:szCs w:val="22"/>
          <w:lang w:val="es-ES_tradnl"/>
        </w:rPr>
        <w:t xml:space="preserve"> presente recurso especial corresponde a este Órgano conforme a lo establecido en el art. 46.5 LCSP, y en el Decreto Foral del Consejo de Diputados 44/2010, de 28 de septiembre, cuyo apartado 2.1, relativo a las competencias, establece que “</w:t>
      </w:r>
      <w:r w:rsidR="00583268" w:rsidRPr="00783AEC">
        <w:rPr>
          <w:i/>
          <w:iCs/>
          <w:sz w:val="22"/>
          <w:szCs w:val="22"/>
          <w:lang w:val="es-ES_tradnl"/>
        </w:rPr>
        <w:t xml:space="preserve">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w:t>
      </w:r>
      <w:r w:rsidR="00583268" w:rsidRPr="002C5D0E">
        <w:rPr>
          <w:i/>
          <w:iCs/>
          <w:sz w:val="22"/>
          <w:szCs w:val="22"/>
          <w:lang w:val="es-ES_tradnl"/>
        </w:rPr>
        <w:t>Forales</w:t>
      </w:r>
      <w:r w:rsidR="00583268" w:rsidRPr="002C5D0E">
        <w:rPr>
          <w:b/>
          <w:bCs/>
          <w:i/>
          <w:iCs/>
          <w:sz w:val="22"/>
          <w:szCs w:val="22"/>
          <w:lang w:val="es-ES_tradnl"/>
        </w:rPr>
        <w:t>, las Sociedades Públicas Forales</w:t>
      </w:r>
      <w:r w:rsidR="00583268" w:rsidRPr="00783AEC">
        <w:rPr>
          <w:i/>
          <w:iCs/>
          <w:sz w:val="22"/>
          <w:szCs w:val="22"/>
          <w:lang w:val="es-ES_tradnl"/>
        </w:rPr>
        <w:t xml:space="preserve"> y todos aquellos poderes adjudicadores que estén bajo su control</w:t>
      </w:r>
      <w:r w:rsidR="00583268" w:rsidRPr="00783AEC">
        <w:rPr>
          <w:sz w:val="22"/>
          <w:szCs w:val="22"/>
          <w:lang w:val="es-ES_tradnl"/>
        </w:rPr>
        <w:t xml:space="preserve">.” </w:t>
      </w:r>
    </w:p>
    <w:p w14:paraId="6560C55A" w14:textId="682FE082" w:rsidR="004C279C" w:rsidRDefault="00345B6D" w:rsidP="0016554C">
      <w:pPr>
        <w:spacing w:after="240"/>
        <w:jc w:val="both"/>
        <w:rPr>
          <w:sz w:val="22"/>
          <w:szCs w:val="22"/>
          <w:lang w:val="es-ES_tradnl"/>
        </w:rPr>
      </w:pPr>
      <w:r w:rsidRPr="00783AEC">
        <w:rPr>
          <w:b/>
          <w:sz w:val="22"/>
          <w:szCs w:val="22"/>
        </w:rPr>
        <w:t>TERCERO. -</w:t>
      </w:r>
      <w:r w:rsidR="004C30C3" w:rsidRPr="00783AEC">
        <w:rPr>
          <w:b/>
          <w:sz w:val="22"/>
          <w:szCs w:val="22"/>
        </w:rPr>
        <w:t xml:space="preserve"> </w:t>
      </w:r>
      <w:r w:rsidR="004C279C" w:rsidRPr="004C279C">
        <w:rPr>
          <w:bCs/>
          <w:sz w:val="22"/>
          <w:szCs w:val="22"/>
        </w:rPr>
        <w:t>E</w:t>
      </w:r>
      <w:r w:rsidR="00583268" w:rsidRPr="00783AEC">
        <w:rPr>
          <w:sz w:val="22"/>
          <w:szCs w:val="22"/>
          <w:lang w:val="es-ES_tradnl"/>
        </w:rPr>
        <w:t xml:space="preserve">l artículo 50 de la LCSP, establece que </w:t>
      </w:r>
      <w:r w:rsidR="004C279C">
        <w:rPr>
          <w:sz w:val="22"/>
          <w:szCs w:val="22"/>
          <w:lang w:val="es-ES_tradnl"/>
        </w:rPr>
        <w:t>e</w:t>
      </w:r>
      <w:r w:rsidR="004C279C" w:rsidRPr="004C279C">
        <w:rPr>
          <w:sz w:val="22"/>
          <w:szCs w:val="22"/>
          <w:lang w:val="es-ES_tradnl"/>
        </w:rPr>
        <w:t>l procedimiento de recurso se iniciará mediante escrito que deberá presentarse en el plazo de quince días hábiles</w:t>
      </w:r>
      <w:r w:rsidR="004C279C">
        <w:rPr>
          <w:sz w:val="22"/>
          <w:szCs w:val="22"/>
          <w:lang w:val="es-ES_tradnl"/>
        </w:rPr>
        <w:t>. En cuanto al inicio del citado plazo, se está al apartado 1 de este mismo artículo:</w:t>
      </w:r>
    </w:p>
    <w:p w14:paraId="1EB0DC5F" w14:textId="06A8242D" w:rsidR="004C279C" w:rsidRDefault="00583268" w:rsidP="0016554C">
      <w:pPr>
        <w:spacing w:after="240"/>
        <w:jc w:val="both"/>
        <w:rPr>
          <w:i/>
          <w:iCs/>
          <w:sz w:val="22"/>
          <w:szCs w:val="22"/>
          <w:lang w:val="es-ES_tradnl"/>
        </w:rPr>
      </w:pPr>
      <w:r w:rsidRPr="00783AEC">
        <w:rPr>
          <w:i/>
          <w:iCs/>
          <w:sz w:val="22"/>
          <w:szCs w:val="22"/>
          <w:lang w:val="es-ES_tradnl"/>
        </w:rPr>
        <w:t>“</w:t>
      </w:r>
      <w:r w:rsidR="004C279C">
        <w:rPr>
          <w:i/>
          <w:iCs/>
          <w:sz w:val="22"/>
          <w:szCs w:val="22"/>
          <w:lang w:val="es-ES_tradnl"/>
        </w:rPr>
        <w:t xml:space="preserve">c) </w:t>
      </w:r>
      <w:r w:rsidR="00F57DF4" w:rsidRPr="00F57DF4">
        <w:rPr>
          <w:i/>
          <w:iCs/>
          <w:sz w:val="22"/>
          <w:szCs w:val="22"/>
          <w:lang w:val="es-ES_tradnl"/>
        </w:rPr>
        <w:t>Cuando se interponga contra actos de trámite adoptados en el procedimiento de adjudicación (...), el cómputo se iniciará a partir del día siguiente a aquel en que se haya tenido conocimiento de la posible infracción</w:t>
      </w:r>
      <w:r w:rsidR="004C279C">
        <w:rPr>
          <w:i/>
          <w:iCs/>
          <w:sz w:val="22"/>
          <w:szCs w:val="22"/>
          <w:lang w:val="es-ES_tradnl"/>
        </w:rPr>
        <w:t>. (...)</w:t>
      </w:r>
    </w:p>
    <w:p w14:paraId="2F94E76B" w14:textId="1BC75728" w:rsidR="004D5137" w:rsidRDefault="004C279C" w:rsidP="0016554C">
      <w:pPr>
        <w:spacing w:after="240"/>
        <w:jc w:val="both"/>
        <w:rPr>
          <w:i/>
          <w:iCs/>
          <w:sz w:val="22"/>
          <w:szCs w:val="22"/>
        </w:rPr>
      </w:pPr>
      <w:r w:rsidRPr="004C279C">
        <w:rPr>
          <w:i/>
          <w:iCs/>
          <w:sz w:val="22"/>
          <w:szCs w:val="22"/>
        </w:rPr>
        <w:t>g) En todos los demás casos, el plazo comenzará a contar desde el día siguiente al de la notificación realizada de conformidad con lo dispuesto en la Disposición adicional decimoquinta</w:t>
      </w:r>
      <w:r w:rsidR="00432752" w:rsidRPr="00F57DF4">
        <w:rPr>
          <w:i/>
          <w:iCs/>
          <w:sz w:val="22"/>
          <w:szCs w:val="22"/>
        </w:rPr>
        <w:t>”</w:t>
      </w:r>
      <w:r w:rsidR="00583268" w:rsidRPr="00F57DF4">
        <w:rPr>
          <w:i/>
          <w:iCs/>
          <w:sz w:val="22"/>
          <w:szCs w:val="22"/>
        </w:rPr>
        <w:t>.</w:t>
      </w:r>
    </w:p>
    <w:p w14:paraId="20D45001" w14:textId="699DE8C1" w:rsidR="00F87D35" w:rsidRPr="00F87D35" w:rsidRDefault="00F87D35" w:rsidP="00F87D35">
      <w:pPr>
        <w:pStyle w:val="Cuerpo"/>
        <w:spacing w:after="240"/>
        <w:jc w:val="both"/>
        <w:rPr>
          <w:color w:val="auto"/>
          <w:sz w:val="22"/>
          <w:szCs w:val="22"/>
        </w:rPr>
      </w:pPr>
      <w:r w:rsidRPr="00F87D35">
        <w:rPr>
          <w:color w:val="auto"/>
          <w:sz w:val="22"/>
          <w:szCs w:val="22"/>
        </w:rPr>
        <w:t>Con fecha 6 de junio de 2025 se proced</w:t>
      </w:r>
      <w:r>
        <w:rPr>
          <w:color w:val="auto"/>
          <w:sz w:val="22"/>
          <w:szCs w:val="22"/>
        </w:rPr>
        <w:t>ió</w:t>
      </w:r>
      <w:r w:rsidRPr="00F87D35">
        <w:rPr>
          <w:color w:val="auto"/>
          <w:sz w:val="22"/>
          <w:szCs w:val="22"/>
        </w:rPr>
        <w:t xml:space="preserve"> a la apertura del sobre relativo a los criterios sometidos a juicio de valor</w:t>
      </w:r>
      <w:r>
        <w:rPr>
          <w:color w:val="auto"/>
          <w:sz w:val="22"/>
          <w:szCs w:val="22"/>
        </w:rPr>
        <w:t xml:space="preserve">. Posteriormente, la exclusión de la oferta de la recurrente </w:t>
      </w:r>
      <w:r w:rsidRPr="00F87D35">
        <w:rPr>
          <w:color w:val="auto"/>
          <w:sz w:val="22"/>
          <w:szCs w:val="22"/>
        </w:rPr>
        <w:t xml:space="preserve">fue adoptada por la mesa de contratación </w:t>
      </w:r>
      <w:r>
        <w:rPr>
          <w:color w:val="auto"/>
          <w:sz w:val="22"/>
          <w:szCs w:val="22"/>
        </w:rPr>
        <w:t>el</w:t>
      </w:r>
      <w:r w:rsidRPr="00F87D35">
        <w:rPr>
          <w:color w:val="auto"/>
          <w:sz w:val="22"/>
          <w:szCs w:val="22"/>
        </w:rPr>
        <w:t xml:space="preserve"> 8 de julio, </w:t>
      </w:r>
      <w:r>
        <w:rPr>
          <w:color w:val="auto"/>
          <w:sz w:val="22"/>
          <w:szCs w:val="22"/>
        </w:rPr>
        <w:t xml:space="preserve">siendo </w:t>
      </w:r>
      <w:r w:rsidRPr="00F87D35">
        <w:rPr>
          <w:color w:val="auto"/>
          <w:sz w:val="22"/>
          <w:szCs w:val="22"/>
        </w:rPr>
        <w:t>notificada el 10</w:t>
      </w:r>
      <w:r>
        <w:rPr>
          <w:color w:val="auto"/>
          <w:sz w:val="22"/>
          <w:szCs w:val="22"/>
        </w:rPr>
        <w:t xml:space="preserve"> del mismo mes.</w:t>
      </w:r>
      <w:r w:rsidRPr="00F87D35">
        <w:rPr>
          <w:color w:val="auto"/>
          <w:sz w:val="22"/>
          <w:szCs w:val="22"/>
        </w:rPr>
        <w:t xml:space="preserve"> </w:t>
      </w:r>
      <w:r>
        <w:rPr>
          <w:color w:val="auto"/>
          <w:sz w:val="22"/>
          <w:szCs w:val="22"/>
        </w:rPr>
        <w:t xml:space="preserve">Consecuentemente con esta decisión de la mesa, </w:t>
      </w:r>
      <w:r w:rsidRPr="00F87D35">
        <w:rPr>
          <w:color w:val="auto"/>
          <w:sz w:val="22"/>
          <w:szCs w:val="22"/>
        </w:rPr>
        <w:t>la resolución de desierto</w:t>
      </w:r>
      <w:r>
        <w:rPr>
          <w:color w:val="auto"/>
          <w:sz w:val="22"/>
          <w:szCs w:val="22"/>
        </w:rPr>
        <w:t xml:space="preserve"> del procedimiento</w:t>
      </w:r>
      <w:r w:rsidRPr="00F87D35">
        <w:rPr>
          <w:color w:val="auto"/>
          <w:sz w:val="22"/>
          <w:szCs w:val="22"/>
        </w:rPr>
        <w:t xml:space="preserve"> fue</w:t>
      </w:r>
      <w:r>
        <w:rPr>
          <w:color w:val="auto"/>
          <w:sz w:val="22"/>
          <w:szCs w:val="22"/>
        </w:rPr>
        <w:t xml:space="preserve"> adoptada por parte</w:t>
      </w:r>
      <w:r w:rsidRPr="00F87D35">
        <w:rPr>
          <w:color w:val="auto"/>
          <w:sz w:val="22"/>
          <w:szCs w:val="22"/>
        </w:rPr>
        <w:t xml:space="preserve"> del órgano de contratación </w:t>
      </w:r>
      <w:r>
        <w:rPr>
          <w:color w:val="auto"/>
          <w:sz w:val="22"/>
          <w:szCs w:val="22"/>
        </w:rPr>
        <w:t>el 14 de julio y</w:t>
      </w:r>
      <w:r w:rsidRPr="00F87D35">
        <w:rPr>
          <w:color w:val="auto"/>
          <w:sz w:val="22"/>
          <w:szCs w:val="22"/>
        </w:rPr>
        <w:t xml:space="preserve"> notificada el mismo día. </w:t>
      </w:r>
      <w:r>
        <w:rPr>
          <w:color w:val="auto"/>
          <w:sz w:val="22"/>
          <w:szCs w:val="22"/>
        </w:rPr>
        <w:t>Por lo tanto, e</w:t>
      </w:r>
      <w:r w:rsidRPr="00F87D35">
        <w:rPr>
          <w:color w:val="auto"/>
          <w:sz w:val="22"/>
          <w:szCs w:val="22"/>
        </w:rPr>
        <w:t xml:space="preserve">n ambos casos, </w:t>
      </w:r>
      <w:r>
        <w:rPr>
          <w:color w:val="auto"/>
          <w:sz w:val="22"/>
          <w:szCs w:val="22"/>
        </w:rPr>
        <w:t xml:space="preserve">los recursos se encuentran </w:t>
      </w:r>
      <w:r w:rsidR="000900DE">
        <w:rPr>
          <w:color w:val="auto"/>
          <w:sz w:val="22"/>
          <w:szCs w:val="22"/>
        </w:rPr>
        <w:t xml:space="preserve">presentados </w:t>
      </w:r>
      <w:r w:rsidRPr="00F87D35">
        <w:rPr>
          <w:color w:val="auto"/>
          <w:sz w:val="22"/>
          <w:szCs w:val="22"/>
        </w:rPr>
        <w:t>dentro del plazo de 15 días</w:t>
      </w:r>
      <w:r>
        <w:rPr>
          <w:color w:val="auto"/>
          <w:sz w:val="22"/>
          <w:szCs w:val="22"/>
        </w:rPr>
        <w:t xml:space="preserve"> legalmente establecido.</w:t>
      </w:r>
    </w:p>
    <w:p w14:paraId="7E7EB67B" w14:textId="77777777" w:rsidR="00B412DB" w:rsidRPr="00C00952" w:rsidRDefault="0010018F" w:rsidP="0016554C">
      <w:pPr>
        <w:pStyle w:val="Cuerpo"/>
        <w:spacing w:after="240"/>
        <w:jc w:val="both"/>
        <w:rPr>
          <w:color w:val="auto"/>
          <w:sz w:val="22"/>
          <w:szCs w:val="22"/>
        </w:rPr>
      </w:pPr>
      <w:r w:rsidRPr="00C00952">
        <w:rPr>
          <w:b/>
          <w:color w:val="auto"/>
          <w:sz w:val="22"/>
          <w:szCs w:val="22"/>
        </w:rPr>
        <w:t>CUARTO. -</w:t>
      </w:r>
      <w:r w:rsidR="00B83425" w:rsidRPr="00C00952">
        <w:rPr>
          <w:b/>
          <w:color w:val="auto"/>
          <w:sz w:val="22"/>
          <w:szCs w:val="22"/>
        </w:rPr>
        <w:t xml:space="preserve"> </w:t>
      </w:r>
      <w:r w:rsidR="00B412DB" w:rsidRPr="00C00952">
        <w:rPr>
          <w:color w:val="auto"/>
          <w:sz w:val="22"/>
          <w:szCs w:val="22"/>
        </w:rPr>
        <w:t xml:space="preserve">En lo que respecta a la legitimación concurre en </w:t>
      </w:r>
      <w:r w:rsidR="00C00952" w:rsidRPr="00C00952">
        <w:rPr>
          <w:color w:val="auto"/>
          <w:sz w:val="22"/>
          <w:szCs w:val="22"/>
        </w:rPr>
        <w:t>el</w:t>
      </w:r>
      <w:r w:rsidR="00B412DB" w:rsidRPr="00C00952">
        <w:rPr>
          <w:color w:val="auto"/>
          <w:sz w:val="22"/>
          <w:szCs w:val="22"/>
        </w:rPr>
        <w:t xml:space="preserve"> recurrente el interés recogido en el artículo 48 de la LCSP, según el cual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5E2B78E1" w14:textId="03E9DE4A" w:rsidR="002D7C63" w:rsidRPr="00637A2A" w:rsidRDefault="00D51DC9" w:rsidP="0016554C">
      <w:pPr>
        <w:autoSpaceDE w:val="0"/>
        <w:autoSpaceDN w:val="0"/>
        <w:adjustRightInd w:val="0"/>
        <w:spacing w:after="240"/>
        <w:jc w:val="both"/>
        <w:rPr>
          <w:sz w:val="22"/>
          <w:szCs w:val="22"/>
        </w:rPr>
      </w:pPr>
      <w:r w:rsidRPr="00637A2A">
        <w:rPr>
          <w:b/>
          <w:bCs/>
          <w:sz w:val="22"/>
          <w:szCs w:val="22"/>
        </w:rPr>
        <w:t>QUINTO</w:t>
      </w:r>
      <w:r w:rsidRPr="00637A2A">
        <w:rPr>
          <w:sz w:val="22"/>
          <w:szCs w:val="22"/>
        </w:rPr>
        <w:t>.</w:t>
      </w:r>
      <w:r w:rsidR="00B513D6" w:rsidRPr="00637A2A">
        <w:rPr>
          <w:sz w:val="22"/>
          <w:szCs w:val="22"/>
        </w:rPr>
        <w:t xml:space="preserve"> – </w:t>
      </w:r>
      <w:r w:rsidR="00C00952" w:rsidRPr="00637A2A">
        <w:rPr>
          <w:sz w:val="22"/>
          <w:szCs w:val="22"/>
        </w:rPr>
        <w:t>La</w:t>
      </w:r>
      <w:r w:rsidR="00B513D6" w:rsidRPr="00637A2A">
        <w:rPr>
          <w:sz w:val="22"/>
          <w:szCs w:val="22"/>
        </w:rPr>
        <w:t xml:space="preserve"> recurrente</w:t>
      </w:r>
      <w:r w:rsidR="00A32396" w:rsidRPr="00A32396">
        <w:t xml:space="preserve"> </w:t>
      </w:r>
      <w:r w:rsidR="00A32396" w:rsidRPr="00A32396">
        <w:rPr>
          <w:sz w:val="22"/>
          <w:szCs w:val="22"/>
        </w:rPr>
        <w:t>CYBERTIX</w:t>
      </w:r>
      <w:r w:rsidR="00B513D6" w:rsidRPr="00637A2A">
        <w:rPr>
          <w:sz w:val="22"/>
          <w:szCs w:val="22"/>
        </w:rPr>
        <w:t xml:space="preserve">, </w:t>
      </w:r>
      <w:r w:rsidR="00C00952" w:rsidRPr="00637A2A">
        <w:rPr>
          <w:sz w:val="22"/>
          <w:szCs w:val="22"/>
        </w:rPr>
        <w:t>que ha participado en el procedimiento de contratación como licitadora</w:t>
      </w:r>
      <w:r w:rsidR="005625EC" w:rsidRPr="00637A2A">
        <w:rPr>
          <w:sz w:val="22"/>
          <w:szCs w:val="22"/>
        </w:rPr>
        <w:t>, alega que</w:t>
      </w:r>
      <w:r w:rsidR="002D7C63" w:rsidRPr="00637A2A">
        <w:rPr>
          <w:sz w:val="22"/>
          <w:szCs w:val="22"/>
        </w:rPr>
        <w:t>:</w:t>
      </w:r>
    </w:p>
    <w:p w14:paraId="6944E235" w14:textId="7A765E96" w:rsidR="00637A2A" w:rsidRPr="00637A2A" w:rsidRDefault="00637A2A" w:rsidP="00637A2A">
      <w:pPr>
        <w:numPr>
          <w:ilvl w:val="0"/>
          <w:numId w:val="22"/>
        </w:numPr>
        <w:autoSpaceDE w:val="0"/>
        <w:autoSpaceDN w:val="0"/>
        <w:adjustRightInd w:val="0"/>
        <w:spacing w:after="240"/>
        <w:jc w:val="both"/>
        <w:rPr>
          <w:sz w:val="22"/>
          <w:szCs w:val="22"/>
        </w:rPr>
      </w:pPr>
      <w:r w:rsidRPr="00637A2A">
        <w:rPr>
          <w:sz w:val="22"/>
          <w:szCs w:val="22"/>
        </w:rPr>
        <w:t>El número de sesiones</w:t>
      </w:r>
      <w:r w:rsidR="00A32396">
        <w:rPr>
          <w:sz w:val="22"/>
          <w:szCs w:val="22"/>
        </w:rPr>
        <w:t xml:space="preserve"> presenciales</w:t>
      </w:r>
      <w:r w:rsidRPr="00637A2A">
        <w:rPr>
          <w:sz w:val="22"/>
          <w:szCs w:val="22"/>
        </w:rPr>
        <w:t xml:space="preserve"> recogido en los planes de ejecución (páginas 32 y 33 de la oferta técnica) no es de treinta y tres, como señala el informe</w:t>
      </w:r>
      <w:r w:rsidR="00A32396">
        <w:rPr>
          <w:sz w:val="22"/>
          <w:szCs w:val="22"/>
        </w:rPr>
        <w:t xml:space="preserve"> que cuantifica los criterios no evaluables mediante fórmula</w:t>
      </w:r>
      <w:r w:rsidRPr="00637A2A">
        <w:rPr>
          <w:sz w:val="22"/>
          <w:szCs w:val="22"/>
        </w:rPr>
        <w:t>, sino de treinta y ocho, pues en cada anualidad se incluyen cinco sesiones extras de carácter presencial que se impartirían en su totalidad todos los años.</w:t>
      </w:r>
    </w:p>
    <w:p w14:paraId="44C934AB" w14:textId="073C6129" w:rsidR="002D7C63" w:rsidRDefault="00637A2A" w:rsidP="00637A2A">
      <w:pPr>
        <w:numPr>
          <w:ilvl w:val="0"/>
          <w:numId w:val="22"/>
        </w:numPr>
        <w:autoSpaceDE w:val="0"/>
        <w:autoSpaceDN w:val="0"/>
        <w:adjustRightInd w:val="0"/>
        <w:spacing w:after="240"/>
        <w:jc w:val="both"/>
        <w:rPr>
          <w:sz w:val="22"/>
          <w:szCs w:val="22"/>
        </w:rPr>
      </w:pPr>
      <w:r w:rsidRPr="00637A2A">
        <w:rPr>
          <w:sz w:val="22"/>
          <w:szCs w:val="22"/>
        </w:rPr>
        <w:t>Sin perjuicio de lo anterior, la exclusión acordada es improcedente, pues es claro que la oferta técnica contiene un error material, hasta este momento inadvertido, sin el cual se alcanzarían las 41 sesiones requeridas</w:t>
      </w:r>
      <w:r w:rsidR="00E8495C" w:rsidRPr="00637A2A">
        <w:rPr>
          <w:sz w:val="22"/>
          <w:szCs w:val="22"/>
        </w:rPr>
        <w:t>.</w:t>
      </w:r>
      <w:r w:rsidR="000F504C" w:rsidRPr="00637A2A">
        <w:rPr>
          <w:sz w:val="22"/>
          <w:szCs w:val="22"/>
        </w:rPr>
        <w:t xml:space="preserve"> </w:t>
      </w:r>
      <w:r w:rsidR="00314C63">
        <w:rPr>
          <w:sz w:val="22"/>
          <w:szCs w:val="22"/>
        </w:rPr>
        <w:t xml:space="preserve">Este error sería que en el </w:t>
      </w:r>
      <w:r w:rsidR="00314C63">
        <w:rPr>
          <w:sz w:val="22"/>
          <w:szCs w:val="22"/>
        </w:rPr>
        <w:lastRenderedPageBreak/>
        <w:t>grupo 3 reflejan 2 sesiones, frente a las 5 del grupo 4, cuyo contenido</w:t>
      </w:r>
      <w:r w:rsidR="00A32396">
        <w:rPr>
          <w:sz w:val="22"/>
          <w:szCs w:val="22"/>
        </w:rPr>
        <w:t xml:space="preserve"> formativo</w:t>
      </w:r>
      <w:r w:rsidR="00314C63">
        <w:rPr>
          <w:sz w:val="22"/>
          <w:szCs w:val="22"/>
        </w:rPr>
        <w:t xml:space="preserve"> es idéntico.</w:t>
      </w:r>
    </w:p>
    <w:p w14:paraId="214BE3A2" w14:textId="77777777" w:rsidR="00A32396" w:rsidRPr="00824657" w:rsidRDefault="00A32396" w:rsidP="00A32396">
      <w:pPr>
        <w:numPr>
          <w:ilvl w:val="0"/>
          <w:numId w:val="22"/>
        </w:numPr>
        <w:autoSpaceDE w:val="0"/>
        <w:autoSpaceDN w:val="0"/>
        <w:adjustRightInd w:val="0"/>
        <w:spacing w:after="240"/>
        <w:jc w:val="both"/>
        <w:rPr>
          <w:sz w:val="22"/>
          <w:szCs w:val="22"/>
        </w:rPr>
      </w:pPr>
      <w:r>
        <w:rPr>
          <w:sz w:val="22"/>
          <w:szCs w:val="22"/>
        </w:rPr>
        <w:t>R</w:t>
      </w:r>
      <w:r w:rsidRPr="006E5BCB">
        <w:rPr>
          <w:sz w:val="22"/>
          <w:szCs w:val="22"/>
        </w:rPr>
        <w:t>esulta evidente que el número de sesiones presenciales debía ser el mismo</w:t>
      </w:r>
      <w:r>
        <w:rPr>
          <w:sz w:val="22"/>
          <w:szCs w:val="22"/>
        </w:rPr>
        <w:t xml:space="preserve"> entre grupos</w:t>
      </w:r>
      <w:r w:rsidRPr="006E5BCB">
        <w:rPr>
          <w:sz w:val="22"/>
          <w:szCs w:val="22"/>
        </w:rPr>
        <w:t xml:space="preserve">, siendo ilógico y contrario a toda coherencia pedagógica que una formación idéntica se planifique con distinto número de sesiones presenciales. No existe ninguna razón técnica o formativa que justifique impartir tres sesiones </w:t>
      </w:r>
      <w:r w:rsidRPr="00824657">
        <w:rPr>
          <w:sz w:val="22"/>
          <w:szCs w:val="22"/>
        </w:rPr>
        <w:t>menos a un grupo que debe recibir la misma capacitación que otro.</w:t>
      </w:r>
    </w:p>
    <w:p w14:paraId="75F6514B" w14:textId="41922087" w:rsidR="00E32C38" w:rsidRDefault="00637A2A" w:rsidP="00E32C38">
      <w:pPr>
        <w:numPr>
          <w:ilvl w:val="0"/>
          <w:numId w:val="22"/>
        </w:numPr>
        <w:autoSpaceDE w:val="0"/>
        <w:autoSpaceDN w:val="0"/>
        <w:adjustRightInd w:val="0"/>
        <w:spacing w:after="240"/>
        <w:jc w:val="both"/>
        <w:rPr>
          <w:sz w:val="22"/>
          <w:szCs w:val="22"/>
        </w:rPr>
      </w:pPr>
      <w:r w:rsidRPr="00637A2A">
        <w:rPr>
          <w:sz w:val="22"/>
          <w:szCs w:val="22"/>
        </w:rPr>
        <w:t>La oferta técnica cumpliría sustancialmente con los requisitos objetivos del PPT, por lo que su exclusión, única y exclusivamente, por el supuesto incumplimiento del número mínimo de sesiones anuales presenciales, sería contrario a los principios de concurrencia, antiformalismo y proporcionalidad que rigen en materia administrativa</w:t>
      </w:r>
      <w:r w:rsidR="00E32C38" w:rsidRPr="00637A2A">
        <w:rPr>
          <w:sz w:val="22"/>
          <w:szCs w:val="22"/>
        </w:rPr>
        <w:t>.</w:t>
      </w:r>
    </w:p>
    <w:p w14:paraId="0599ADE6" w14:textId="77687DD6" w:rsidR="00473134" w:rsidRPr="00824657" w:rsidRDefault="0086101D" w:rsidP="00E32C38">
      <w:pPr>
        <w:autoSpaceDE w:val="0"/>
        <w:autoSpaceDN w:val="0"/>
        <w:adjustRightInd w:val="0"/>
        <w:spacing w:after="240"/>
        <w:jc w:val="both"/>
        <w:rPr>
          <w:sz w:val="22"/>
          <w:szCs w:val="22"/>
        </w:rPr>
      </w:pPr>
      <w:r w:rsidRPr="00824657">
        <w:rPr>
          <w:b/>
          <w:bCs/>
          <w:sz w:val="22"/>
          <w:szCs w:val="22"/>
        </w:rPr>
        <w:t>SEXTO</w:t>
      </w:r>
      <w:r w:rsidRPr="00824657">
        <w:rPr>
          <w:sz w:val="22"/>
          <w:szCs w:val="22"/>
        </w:rPr>
        <w:t xml:space="preserve">. </w:t>
      </w:r>
      <w:r w:rsidR="00823721" w:rsidRPr="00824657">
        <w:rPr>
          <w:sz w:val="22"/>
          <w:szCs w:val="22"/>
        </w:rPr>
        <w:t>–</w:t>
      </w:r>
      <w:r w:rsidR="00307307" w:rsidRPr="00824657">
        <w:rPr>
          <w:sz w:val="22"/>
          <w:szCs w:val="22"/>
        </w:rPr>
        <w:t xml:space="preserve"> En </w:t>
      </w:r>
      <w:r w:rsidR="00824657">
        <w:rPr>
          <w:sz w:val="22"/>
          <w:szCs w:val="22"/>
        </w:rPr>
        <w:t>el</w:t>
      </w:r>
      <w:r w:rsidR="00307307" w:rsidRPr="00824657">
        <w:rPr>
          <w:sz w:val="22"/>
          <w:szCs w:val="22"/>
        </w:rPr>
        <w:t xml:space="preserve"> informe elaborado al efecto, el órgano tramitador manifiesta que:</w:t>
      </w:r>
    </w:p>
    <w:p w14:paraId="73B10993" w14:textId="43300E98" w:rsidR="00473134" w:rsidRPr="00824657" w:rsidRDefault="00824657" w:rsidP="00473134">
      <w:pPr>
        <w:numPr>
          <w:ilvl w:val="0"/>
          <w:numId w:val="24"/>
        </w:numPr>
        <w:autoSpaceDE w:val="0"/>
        <w:autoSpaceDN w:val="0"/>
        <w:adjustRightInd w:val="0"/>
        <w:spacing w:after="240"/>
        <w:jc w:val="both"/>
        <w:rPr>
          <w:sz w:val="22"/>
          <w:szCs w:val="22"/>
        </w:rPr>
      </w:pPr>
      <w:r w:rsidRPr="00824657">
        <w:rPr>
          <w:sz w:val="22"/>
          <w:szCs w:val="22"/>
        </w:rPr>
        <w:t>Permitir una subsanación que derive en una modificación de la oferta técnica es contrario a los principios de igualdad, inalterabilidad de las ofertas y transparencia. Es el licitador quien debe soportar las consecuencias del incumplimiento de su deber de diligencia en la redacción de la oferta</w:t>
      </w:r>
      <w:r w:rsidR="00307307" w:rsidRPr="00824657">
        <w:rPr>
          <w:sz w:val="22"/>
          <w:szCs w:val="22"/>
        </w:rPr>
        <w:t xml:space="preserve">; </w:t>
      </w:r>
    </w:p>
    <w:p w14:paraId="69C92F01" w14:textId="74461956" w:rsidR="0016554C" w:rsidRPr="00314C63" w:rsidRDefault="00314C63" w:rsidP="00473134">
      <w:pPr>
        <w:numPr>
          <w:ilvl w:val="0"/>
          <w:numId w:val="24"/>
        </w:numPr>
        <w:autoSpaceDE w:val="0"/>
        <w:autoSpaceDN w:val="0"/>
        <w:adjustRightInd w:val="0"/>
        <w:spacing w:after="240"/>
        <w:jc w:val="both"/>
        <w:rPr>
          <w:sz w:val="22"/>
          <w:szCs w:val="22"/>
        </w:rPr>
      </w:pPr>
      <w:r w:rsidRPr="00314C63">
        <w:rPr>
          <w:sz w:val="22"/>
          <w:szCs w:val="22"/>
        </w:rPr>
        <w:t>Es admisible que, de la lectura global de la oferta técnica presentada por la recurrente, se pueda deducir que el número de sesiones a impartir para el grupo 3 y 4 deban ser las mismas.</w:t>
      </w:r>
      <w:r w:rsidR="00473134" w:rsidRPr="00314C63">
        <w:rPr>
          <w:sz w:val="22"/>
          <w:szCs w:val="22"/>
        </w:rPr>
        <w:t xml:space="preserve"> </w:t>
      </w:r>
      <w:r w:rsidR="003157F3" w:rsidRPr="00314C63">
        <w:rPr>
          <w:sz w:val="22"/>
          <w:szCs w:val="22"/>
        </w:rPr>
        <w:t xml:space="preserve"> </w:t>
      </w:r>
    </w:p>
    <w:p w14:paraId="548AB1C8" w14:textId="5D73F05B" w:rsidR="00967A70" w:rsidRDefault="008C5BC8" w:rsidP="00D63285">
      <w:pPr>
        <w:autoSpaceDE w:val="0"/>
        <w:autoSpaceDN w:val="0"/>
        <w:adjustRightInd w:val="0"/>
        <w:spacing w:after="120"/>
        <w:jc w:val="both"/>
        <w:rPr>
          <w:sz w:val="22"/>
          <w:szCs w:val="22"/>
        </w:rPr>
      </w:pPr>
      <w:r w:rsidRPr="00D63285">
        <w:rPr>
          <w:b/>
          <w:bCs/>
          <w:sz w:val="22"/>
          <w:szCs w:val="22"/>
        </w:rPr>
        <w:t>SÉPTIMO. –</w:t>
      </w:r>
      <w:r w:rsidR="005B791E" w:rsidRPr="00D63285">
        <w:rPr>
          <w:sz w:val="22"/>
          <w:szCs w:val="22"/>
        </w:rPr>
        <w:t xml:space="preserve"> </w:t>
      </w:r>
      <w:r w:rsidR="00307307" w:rsidRPr="00D63285">
        <w:rPr>
          <w:sz w:val="22"/>
          <w:szCs w:val="22"/>
        </w:rPr>
        <w:t>Expuestas las posturas de las partes, la cuestión se centra en dilucidar si</w:t>
      </w:r>
      <w:r w:rsidR="00D63285" w:rsidRPr="00D63285">
        <w:rPr>
          <w:sz w:val="22"/>
          <w:szCs w:val="22"/>
        </w:rPr>
        <w:t xml:space="preserve"> efectivamente nos encontramos ante un error material de la oferta</w:t>
      </w:r>
      <w:r w:rsidR="00E723A6">
        <w:rPr>
          <w:sz w:val="22"/>
          <w:szCs w:val="22"/>
        </w:rPr>
        <w:t xml:space="preserve"> y, en caso contrario, si el incumplimiento determina necesariamente la exclusión de la oferta</w:t>
      </w:r>
      <w:r w:rsidR="00307307" w:rsidRPr="00D63285">
        <w:rPr>
          <w:sz w:val="22"/>
          <w:szCs w:val="22"/>
        </w:rPr>
        <w:t>.</w:t>
      </w:r>
      <w:r w:rsidR="00F36638" w:rsidRPr="00D63285">
        <w:rPr>
          <w:sz w:val="22"/>
          <w:szCs w:val="22"/>
        </w:rPr>
        <w:t xml:space="preserve"> </w:t>
      </w:r>
    </w:p>
    <w:p w14:paraId="2AD36CA5" w14:textId="445BBF57" w:rsidR="00967A70" w:rsidRDefault="0083598D" w:rsidP="00D63285">
      <w:pPr>
        <w:autoSpaceDE w:val="0"/>
        <w:autoSpaceDN w:val="0"/>
        <w:adjustRightInd w:val="0"/>
        <w:spacing w:after="120"/>
        <w:jc w:val="both"/>
        <w:rPr>
          <w:sz w:val="22"/>
          <w:szCs w:val="22"/>
        </w:rPr>
      </w:pPr>
      <w:r>
        <w:rPr>
          <w:sz w:val="22"/>
          <w:szCs w:val="22"/>
        </w:rPr>
        <w:t>En la página 5 del PPT de la licitación encontramos la siguiente prescripción técnica para la ejecución del contrato:</w:t>
      </w:r>
    </w:p>
    <w:p w14:paraId="776EDAB9" w14:textId="07793231" w:rsidR="0083598D" w:rsidRPr="0083598D" w:rsidRDefault="0083598D" w:rsidP="0083598D">
      <w:pPr>
        <w:autoSpaceDE w:val="0"/>
        <w:autoSpaceDN w:val="0"/>
        <w:adjustRightInd w:val="0"/>
        <w:spacing w:after="120"/>
        <w:jc w:val="both"/>
        <w:rPr>
          <w:i/>
          <w:iCs/>
          <w:sz w:val="22"/>
          <w:szCs w:val="22"/>
        </w:rPr>
      </w:pPr>
      <w:r w:rsidRPr="0083598D">
        <w:rPr>
          <w:i/>
          <w:iCs/>
          <w:sz w:val="22"/>
          <w:szCs w:val="22"/>
        </w:rPr>
        <w:t>“Las actividades formativas se realizarán en formato presencial dentro del horario laboral de 09:00 a 14:00 de lunes a viernes. Para la realización de las sesiones presenciales la organización del proyecto pone a disposición de la empresa adjudicataria al menos las siguientes ubicaciones:</w:t>
      </w:r>
    </w:p>
    <w:p w14:paraId="44A14C30" w14:textId="1EF012B1" w:rsidR="0083598D" w:rsidRPr="0083598D" w:rsidRDefault="0083598D" w:rsidP="0083598D">
      <w:pPr>
        <w:autoSpaceDE w:val="0"/>
        <w:autoSpaceDN w:val="0"/>
        <w:adjustRightInd w:val="0"/>
        <w:spacing w:after="120"/>
        <w:jc w:val="both"/>
        <w:rPr>
          <w:i/>
          <w:iCs/>
          <w:sz w:val="22"/>
          <w:szCs w:val="22"/>
        </w:rPr>
      </w:pPr>
      <w:r w:rsidRPr="0083598D">
        <w:rPr>
          <w:i/>
          <w:iCs/>
          <w:sz w:val="22"/>
          <w:szCs w:val="22"/>
        </w:rPr>
        <w:t>a. Casa de la Cultura (aforo 180 personas),</w:t>
      </w:r>
    </w:p>
    <w:p w14:paraId="17B95558" w14:textId="442C327C" w:rsidR="0083598D" w:rsidRPr="0083598D" w:rsidRDefault="0083598D" w:rsidP="0083598D">
      <w:pPr>
        <w:autoSpaceDE w:val="0"/>
        <w:autoSpaceDN w:val="0"/>
        <w:adjustRightInd w:val="0"/>
        <w:spacing w:after="120"/>
        <w:jc w:val="both"/>
        <w:rPr>
          <w:i/>
          <w:iCs/>
          <w:sz w:val="22"/>
          <w:szCs w:val="22"/>
        </w:rPr>
      </w:pPr>
      <w:r w:rsidRPr="0083598D">
        <w:rPr>
          <w:i/>
          <w:iCs/>
          <w:sz w:val="22"/>
          <w:szCs w:val="22"/>
        </w:rPr>
        <w:t>b. Samaniego 14 7ª planta (aforo 50 personas)</w:t>
      </w:r>
    </w:p>
    <w:p w14:paraId="2ECBE96D" w14:textId="17A775D4" w:rsidR="0083598D" w:rsidRPr="0083598D" w:rsidRDefault="0083598D" w:rsidP="0083598D">
      <w:pPr>
        <w:autoSpaceDE w:val="0"/>
        <w:autoSpaceDN w:val="0"/>
        <w:adjustRightInd w:val="0"/>
        <w:spacing w:after="120"/>
        <w:jc w:val="both"/>
        <w:rPr>
          <w:i/>
          <w:iCs/>
          <w:sz w:val="22"/>
          <w:szCs w:val="22"/>
        </w:rPr>
      </w:pPr>
      <w:r w:rsidRPr="0083598D">
        <w:rPr>
          <w:i/>
          <w:iCs/>
          <w:sz w:val="22"/>
          <w:szCs w:val="22"/>
        </w:rPr>
        <w:t>c. Sala de Bomberos y Bomberas de Alava en Nanclares (aforo 25 personas del personal de Bomberos y Bomberas de Álava)</w:t>
      </w:r>
    </w:p>
    <w:p w14:paraId="684F6FB0" w14:textId="11C835E6" w:rsidR="0083598D" w:rsidRPr="0083598D" w:rsidRDefault="0083598D" w:rsidP="0083598D">
      <w:pPr>
        <w:autoSpaceDE w:val="0"/>
        <w:autoSpaceDN w:val="0"/>
        <w:adjustRightInd w:val="0"/>
        <w:spacing w:after="120"/>
        <w:jc w:val="both"/>
        <w:rPr>
          <w:i/>
          <w:iCs/>
          <w:sz w:val="22"/>
          <w:szCs w:val="22"/>
        </w:rPr>
      </w:pPr>
      <w:r w:rsidRPr="0083598D">
        <w:rPr>
          <w:i/>
          <w:iCs/>
          <w:sz w:val="22"/>
          <w:szCs w:val="22"/>
        </w:rPr>
        <w:t>d. Sala Consejo Gobierno 2ª planta Casa Palacio (para el Grupo 3)</w:t>
      </w:r>
    </w:p>
    <w:p w14:paraId="31A59338" w14:textId="146F46BE" w:rsidR="0083598D" w:rsidRPr="0083598D" w:rsidRDefault="0083598D" w:rsidP="0083598D">
      <w:pPr>
        <w:autoSpaceDE w:val="0"/>
        <w:autoSpaceDN w:val="0"/>
        <w:adjustRightInd w:val="0"/>
        <w:spacing w:after="120"/>
        <w:jc w:val="both"/>
        <w:rPr>
          <w:i/>
          <w:iCs/>
          <w:sz w:val="22"/>
          <w:szCs w:val="22"/>
        </w:rPr>
      </w:pPr>
      <w:r w:rsidRPr="0083598D">
        <w:rPr>
          <w:i/>
          <w:iCs/>
          <w:sz w:val="22"/>
          <w:szCs w:val="22"/>
        </w:rPr>
        <w:t>La empresa licitadora deberá especificar una propuesta de realización de sesiones en estas ubicaciones (Req-003), siendo el mínimo número de sesiones presenciales anuales de 41. Cada sesión presencial contará con un máximo de 70 personas”.</w:t>
      </w:r>
    </w:p>
    <w:p w14:paraId="3EC71759" w14:textId="00F36B33" w:rsidR="00F33D99" w:rsidRDefault="00967A70" w:rsidP="00D63285">
      <w:pPr>
        <w:autoSpaceDE w:val="0"/>
        <w:autoSpaceDN w:val="0"/>
        <w:adjustRightInd w:val="0"/>
        <w:spacing w:after="120"/>
        <w:jc w:val="both"/>
        <w:rPr>
          <w:sz w:val="22"/>
          <w:szCs w:val="22"/>
        </w:rPr>
      </w:pPr>
      <w:r>
        <w:rPr>
          <w:sz w:val="22"/>
          <w:szCs w:val="22"/>
        </w:rPr>
        <w:t>Por su parte, l</w:t>
      </w:r>
      <w:r w:rsidR="00D63285">
        <w:rPr>
          <w:sz w:val="22"/>
          <w:szCs w:val="22"/>
        </w:rPr>
        <w:t xml:space="preserve">a empresa, en </w:t>
      </w:r>
      <w:r>
        <w:rPr>
          <w:sz w:val="22"/>
          <w:szCs w:val="22"/>
        </w:rPr>
        <w:t xml:space="preserve">la </w:t>
      </w:r>
      <w:r w:rsidR="00D63285">
        <w:rPr>
          <w:sz w:val="22"/>
          <w:szCs w:val="22"/>
        </w:rPr>
        <w:t>página 5</w:t>
      </w:r>
      <w:r>
        <w:rPr>
          <w:sz w:val="22"/>
          <w:szCs w:val="22"/>
        </w:rPr>
        <w:t xml:space="preserve"> de su oferta técnica</w:t>
      </w:r>
      <w:r w:rsidR="00D63285">
        <w:rPr>
          <w:sz w:val="22"/>
          <w:szCs w:val="22"/>
        </w:rPr>
        <w:t>, señala que:</w:t>
      </w:r>
    </w:p>
    <w:p w14:paraId="4329E921" w14:textId="2269F93E" w:rsidR="00AD68D3" w:rsidRPr="00AD68D3" w:rsidRDefault="00AD68D3" w:rsidP="00AD68D3">
      <w:pPr>
        <w:autoSpaceDE w:val="0"/>
        <w:autoSpaceDN w:val="0"/>
        <w:adjustRightInd w:val="0"/>
        <w:spacing w:after="120"/>
        <w:jc w:val="both"/>
        <w:rPr>
          <w:i/>
          <w:iCs/>
          <w:sz w:val="22"/>
          <w:szCs w:val="22"/>
        </w:rPr>
      </w:pPr>
      <w:r w:rsidRPr="00AD68D3">
        <w:rPr>
          <w:i/>
          <w:iCs/>
          <w:sz w:val="22"/>
          <w:szCs w:val="22"/>
        </w:rPr>
        <w:t xml:space="preserve">“La licitadora </w:t>
      </w:r>
      <w:r w:rsidRPr="00AD68D3">
        <w:rPr>
          <w:b/>
          <w:bCs/>
          <w:i/>
          <w:iCs/>
          <w:sz w:val="22"/>
          <w:szCs w:val="22"/>
        </w:rPr>
        <w:t>impartirá 50 sesiones anuales</w:t>
      </w:r>
      <w:r w:rsidRPr="00AD68D3">
        <w:rPr>
          <w:i/>
          <w:iCs/>
          <w:sz w:val="22"/>
          <w:szCs w:val="22"/>
        </w:rPr>
        <w:t xml:space="preserve"> alineadas con los públicos objetivos del servicio. Estas sesiones tendrán una duración estimada de 90-120 minutos. Anualmente se definirán 5 temáticas, 1 por cada grupo (</w:t>
      </w:r>
      <w:r w:rsidRPr="00404CA0">
        <w:rPr>
          <w:b/>
          <w:bCs/>
          <w:i/>
          <w:iCs/>
          <w:sz w:val="22"/>
          <w:szCs w:val="22"/>
        </w:rPr>
        <w:t>teniendo en cuenta que los grupos 3 y 4 tendrán las mismas temáticas, aunque se realizarán en distintas sesiones para cada grupo</w:t>
      </w:r>
      <w:r w:rsidRPr="00AD68D3">
        <w:rPr>
          <w:i/>
          <w:iCs/>
          <w:sz w:val="22"/>
          <w:szCs w:val="22"/>
        </w:rPr>
        <w:t xml:space="preserve">), y se realizarán al menos 2 sesiones presenciales por temática y dos sesiones telemáticas (una en castellano y otra en euskera), las cuales serán grabadas en alta calidad para su posterior difusión a través de los canales que la DFA considere oportunos y su compartición con las personas que no puedan </w:t>
      </w:r>
      <w:r w:rsidRPr="00AD68D3">
        <w:rPr>
          <w:i/>
          <w:iCs/>
          <w:sz w:val="22"/>
          <w:szCs w:val="22"/>
        </w:rPr>
        <w:lastRenderedPageBreak/>
        <w:t xml:space="preserve">asistir. La licitadora solicitará las autorizaciones precisas para proceder a la grabación citada y posterior publicación / difusión, aportando el modelo necesario </w:t>
      </w:r>
      <w:proofErr w:type="gramStart"/>
      <w:r w:rsidRPr="00AD68D3">
        <w:rPr>
          <w:i/>
          <w:iCs/>
          <w:sz w:val="22"/>
          <w:szCs w:val="22"/>
        </w:rPr>
        <w:t>de acuerdo a</w:t>
      </w:r>
      <w:proofErr w:type="gramEnd"/>
      <w:r w:rsidRPr="00AD68D3">
        <w:rPr>
          <w:i/>
          <w:iCs/>
          <w:sz w:val="22"/>
          <w:szCs w:val="22"/>
        </w:rPr>
        <w:t xml:space="preserve"> la legislación vigente. Las 5 sesiones restantes se elegirán en base al grado de asistencia a las 45 sesiones previas. Por ejemplo, si del Grupo 1 no ha habido mucha participación y se considera necesario hacer 2 sesiones extras, pues se restarán de esas 5 sesiones que tenemos adicionales.</w:t>
      </w:r>
    </w:p>
    <w:p w14:paraId="0631FE44" w14:textId="7DB77986" w:rsidR="00D63285" w:rsidRDefault="00AD68D3" w:rsidP="00AD68D3">
      <w:pPr>
        <w:autoSpaceDE w:val="0"/>
        <w:autoSpaceDN w:val="0"/>
        <w:adjustRightInd w:val="0"/>
        <w:spacing w:after="120"/>
        <w:jc w:val="both"/>
        <w:rPr>
          <w:i/>
          <w:iCs/>
          <w:sz w:val="22"/>
          <w:szCs w:val="22"/>
        </w:rPr>
      </w:pPr>
      <w:r w:rsidRPr="00AD68D3">
        <w:rPr>
          <w:i/>
          <w:iCs/>
          <w:sz w:val="22"/>
          <w:szCs w:val="22"/>
        </w:rPr>
        <w:t xml:space="preserve">En el anexo 1 detallamos los contenidos a impartir en cada una de las sesiones (especificando temática, descripción, objetivos, estructura de contenidos y público objetivo) y en el anexo 2 presentamos un ejemplo de una unidad temática completa (presentación con contenidos desarrollados, mensajes fuerza, mensajes adaptados al público objetivo, etc.), </w:t>
      </w:r>
      <w:proofErr w:type="gramStart"/>
      <w:r w:rsidRPr="00AD68D3">
        <w:rPr>
          <w:i/>
          <w:iCs/>
          <w:sz w:val="22"/>
          <w:szCs w:val="22"/>
        </w:rPr>
        <w:t>de acuerdo a</w:t>
      </w:r>
      <w:proofErr w:type="gramEnd"/>
      <w:r w:rsidRPr="00AD68D3">
        <w:rPr>
          <w:i/>
          <w:iCs/>
          <w:sz w:val="22"/>
          <w:szCs w:val="22"/>
        </w:rPr>
        <w:t xml:space="preserve"> la propuesta de sesiones”.</w:t>
      </w:r>
    </w:p>
    <w:p w14:paraId="39D0BE98" w14:textId="6F616C31" w:rsidR="00AD68D3" w:rsidRDefault="00AD68D3" w:rsidP="00AD68D3">
      <w:pPr>
        <w:autoSpaceDE w:val="0"/>
        <w:autoSpaceDN w:val="0"/>
        <w:adjustRightInd w:val="0"/>
        <w:spacing w:after="120"/>
        <w:jc w:val="both"/>
        <w:rPr>
          <w:sz w:val="22"/>
          <w:szCs w:val="22"/>
        </w:rPr>
      </w:pPr>
      <w:r>
        <w:rPr>
          <w:sz w:val="22"/>
          <w:szCs w:val="22"/>
        </w:rPr>
        <w:t>Es</w:t>
      </w:r>
      <w:r w:rsidR="0083598D">
        <w:rPr>
          <w:sz w:val="22"/>
          <w:szCs w:val="22"/>
        </w:rPr>
        <w:t>t</w:t>
      </w:r>
      <w:r>
        <w:rPr>
          <w:sz w:val="22"/>
          <w:szCs w:val="22"/>
        </w:rPr>
        <w:t>as 50 sesiones pueden</w:t>
      </w:r>
      <w:r w:rsidR="00E723A6">
        <w:rPr>
          <w:sz w:val="22"/>
          <w:szCs w:val="22"/>
        </w:rPr>
        <w:t>,</w:t>
      </w:r>
      <w:r w:rsidR="0083598D">
        <w:rPr>
          <w:sz w:val="22"/>
          <w:szCs w:val="22"/>
        </w:rPr>
        <w:t xml:space="preserve"> según el PPT</w:t>
      </w:r>
      <w:r w:rsidR="00E723A6">
        <w:rPr>
          <w:sz w:val="22"/>
          <w:szCs w:val="22"/>
        </w:rPr>
        <w:t>,</w:t>
      </w:r>
      <w:r>
        <w:rPr>
          <w:sz w:val="22"/>
          <w:szCs w:val="22"/>
        </w:rPr>
        <w:t xml:space="preserve"> realizarse de manera presencial </w:t>
      </w:r>
      <w:r w:rsidR="00404CA0">
        <w:rPr>
          <w:sz w:val="22"/>
          <w:szCs w:val="22"/>
        </w:rPr>
        <w:t>o de forma</w:t>
      </w:r>
      <w:r>
        <w:rPr>
          <w:sz w:val="22"/>
          <w:szCs w:val="22"/>
        </w:rPr>
        <w:t xml:space="preserve"> </w:t>
      </w:r>
      <w:proofErr w:type="spellStart"/>
      <w:r w:rsidRPr="00AD68D3">
        <w:rPr>
          <w:i/>
          <w:iCs/>
          <w:sz w:val="22"/>
          <w:szCs w:val="22"/>
        </w:rPr>
        <w:t>on</w:t>
      </w:r>
      <w:proofErr w:type="spellEnd"/>
      <w:r w:rsidRPr="00AD68D3">
        <w:rPr>
          <w:i/>
          <w:iCs/>
          <w:sz w:val="22"/>
          <w:szCs w:val="22"/>
        </w:rPr>
        <w:t xml:space="preserve"> line</w:t>
      </w:r>
      <w:r w:rsidR="00404CA0">
        <w:rPr>
          <w:sz w:val="22"/>
          <w:szCs w:val="22"/>
        </w:rPr>
        <w:t xml:space="preserve">. Revisados los cuadros aportados por la licitadora en las páginas 32 y 33 de su oferta, se observa que en todos y cada uno de los años del contrato (de 2025 a 2027) </w:t>
      </w:r>
      <w:r w:rsidR="0083598D">
        <w:rPr>
          <w:sz w:val="22"/>
          <w:szCs w:val="22"/>
        </w:rPr>
        <w:t xml:space="preserve">la suma de sesiones que </w:t>
      </w:r>
      <w:r w:rsidR="00404CA0">
        <w:rPr>
          <w:sz w:val="22"/>
          <w:szCs w:val="22"/>
        </w:rPr>
        <w:t xml:space="preserve">se ofertan </w:t>
      </w:r>
      <w:r w:rsidR="0083598D">
        <w:rPr>
          <w:sz w:val="22"/>
          <w:szCs w:val="22"/>
        </w:rPr>
        <w:t xml:space="preserve">asciende a </w:t>
      </w:r>
      <w:r w:rsidR="00404CA0">
        <w:rPr>
          <w:sz w:val="22"/>
          <w:szCs w:val="22"/>
        </w:rPr>
        <w:t>50, de las cuales, 38 son presenciales y el resto, 12, telemáticas.</w:t>
      </w:r>
      <w:r w:rsidR="0083598D">
        <w:rPr>
          <w:sz w:val="22"/>
          <w:szCs w:val="22"/>
        </w:rPr>
        <w:t xml:space="preserve"> Por lo tanto, estas cifras son constantes en el tiempo de ejecución del contrato.</w:t>
      </w:r>
    </w:p>
    <w:p w14:paraId="57E8B1A1" w14:textId="14183421" w:rsidR="0083598D" w:rsidRDefault="002735C5" w:rsidP="00AD68D3">
      <w:pPr>
        <w:autoSpaceDE w:val="0"/>
        <w:autoSpaceDN w:val="0"/>
        <w:adjustRightInd w:val="0"/>
        <w:spacing w:after="120"/>
        <w:jc w:val="both"/>
        <w:rPr>
          <w:sz w:val="22"/>
          <w:szCs w:val="22"/>
        </w:rPr>
      </w:pPr>
      <w:r>
        <w:rPr>
          <w:noProof/>
          <w:sz w:val="22"/>
          <w:szCs w:val="22"/>
        </w:rPr>
        <w:drawing>
          <wp:inline distT="0" distB="0" distL="0" distR="0" wp14:anchorId="6362F0EB" wp14:editId="65FC1E03">
            <wp:extent cx="3209925" cy="2466975"/>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9925" cy="2466975"/>
                    </a:xfrm>
                    <a:prstGeom prst="rect">
                      <a:avLst/>
                    </a:prstGeom>
                    <a:noFill/>
                    <a:ln>
                      <a:noFill/>
                    </a:ln>
                  </pic:spPr>
                </pic:pic>
              </a:graphicData>
            </a:graphic>
          </wp:inline>
        </w:drawing>
      </w:r>
    </w:p>
    <w:p w14:paraId="355A2556" w14:textId="44293E39" w:rsidR="0083598D" w:rsidRDefault="002735C5" w:rsidP="00AD68D3">
      <w:pPr>
        <w:autoSpaceDE w:val="0"/>
        <w:autoSpaceDN w:val="0"/>
        <w:adjustRightInd w:val="0"/>
        <w:spacing w:after="120"/>
        <w:jc w:val="both"/>
        <w:rPr>
          <w:noProof/>
        </w:rPr>
      </w:pPr>
      <w:r>
        <w:rPr>
          <w:noProof/>
        </w:rPr>
        <w:drawing>
          <wp:inline distT="0" distB="0" distL="0" distR="0" wp14:anchorId="2F502440" wp14:editId="04E79AC6">
            <wp:extent cx="5400675" cy="1809750"/>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675" cy="1809750"/>
                    </a:xfrm>
                    <a:prstGeom prst="rect">
                      <a:avLst/>
                    </a:prstGeom>
                    <a:noFill/>
                    <a:ln>
                      <a:noFill/>
                    </a:ln>
                  </pic:spPr>
                </pic:pic>
              </a:graphicData>
            </a:graphic>
          </wp:inline>
        </w:drawing>
      </w:r>
    </w:p>
    <w:p w14:paraId="78B644F0" w14:textId="39D54BB0" w:rsidR="0083598D" w:rsidRDefault="002735C5" w:rsidP="00AD68D3">
      <w:pPr>
        <w:autoSpaceDE w:val="0"/>
        <w:autoSpaceDN w:val="0"/>
        <w:adjustRightInd w:val="0"/>
        <w:spacing w:after="120"/>
        <w:jc w:val="both"/>
        <w:rPr>
          <w:sz w:val="22"/>
          <w:szCs w:val="22"/>
        </w:rPr>
      </w:pPr>
      <w:r>
        <w:rPr>
          <w:noProof/>
        </w:rPr>
        <w:lastRenderedPageBreak/>
        <w:drawing>
          <wp:inline distT="0" distB="0" distL="0" distR="0" wp14:anchorId="27BD1728" wp14:editId="2D192CB8">
            <wp:extent cx="5400675" cy="17907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1790700"/>
                    </a:xfrm>
                    <a:prstGeom prst="rect">
                      <a:avLst/>
                    </a:prstGeom>
                    <a:noFill/>
                    <a:ln>
                      <a:noFill/>
                    </a:ln>
                  </pic:spPr>
                </pic:pic>
              </a:graphicData>
            </a:graphic>
          </wp:inline>
        </w:drawing>
      </w:r>
    </w:p>
    <w:p w14:paraId="6286AF4F" w14:textId="25353ADF" w:rsidR="00404CA0" w:rsidRDefault="00404CA0" w:rsidP="00AD68D3">
      <w:pPr>
        <w:autoSpaceDE w:val="0"/>
        <w:autoSpaceDN w:val="0"/>
        <w:adjustRightInd w:val="0"/>
        <w:spacing w:after="120"/>
        <w:jc w:val="both"/>
        <w:rPr>
          <w:sz w:val="22"/>
          <w:szCs w:val="22"/>
        </w:rPr>
      </w:pPr>
      <w:r>
        <w:rPr>
          <w:sz w:val="22"/>
          <w:szCs w:val="22"/>
        </w:rPr>
        <w:t>De esta manera, la oferta es coherente en sus propios términos; el total de sesiones a impartir cuadra perfectamente</w:t>
      </w:r>
      <w:r w:rsidR="0083598D">
        <w:rPr>
          <w:sz w:val="22"/>
          <w:szCs w:val="22"/>
        </w:rPr>
        <w:t xml:space="preserve"> entre el texto y el desglose</w:t>
      </w:r>
      <w:r>
        <w:rPr>
          <w:sz w:val="22"/>
          <w:szCs w:val="22"/>
        </w:rPr>
        <w:t>, sin que exista un</w:t>
      </w:r>
      <w:r w:rsidR="00E723A6">
        <w:rPr>
          <w:sz w:val="22"/>
          <w:szCs w:val="22"/>
        </w:rPr>
        <w:t>a</w:t>
      </w:r>
      <w:r>
        <w:rPr>
          <w:sz w:val="22"/>
          <w:szCs w:val="22"/>
        </w:rPr>
        <w:t xml:space="preserve"> </w:t>
      </w:r>
      <w:r w:rsidR="00E723A6">
        <w:rPr>
          <w:sz w:val="22"/>
          <w:szCs w:val="22"/>
        </w:rPr>
        <w:t>discrepancia que haga pensar que existen</w:t>
      </w:r>
      <w:r>
        <w:rPr>
          <w:sz w:val="22"/>
          <w:szCs w:val="22"/>
        </w:rPr>
        <w:t xml:space="preserve"> </w:t>
      </w:r>
      <w:r w:rsidR="0083598D">
        <w:rPr>
          <w:sz w:val="22"/>
          <w:szCs w:val="22"/>
        </w:rPr>
        <w:t>tres</w:t>
      </w:r>
      <w:r>
        <w:rPr>
          <w:sz w:val="22"/>
          <w:szCs w:val="22"/>
        </w:rPr>
        <w:t xml:space="preserve"> sesiones “olvidadas” del grupo </w:t>
      </w:r>
      <w:r w:rsidR="0083598D">
        <w:rPr>
          <w:sz w:val="22"/>
          <w:szCs w:val="22"/>
        </w:rPr>
        <w:t>3</w:t>
      </w:r>
      <w:r>
        <w:rPr>
          <w:sz w:val="22"/>
          <w:szCs w:val="22"/>
        </w:rPr>
        <w:t xml:space="preserve">. </w:t>
      </w:r>
    </w:p>
    <w:p w14:paraId="1602C201" w14:textId="71CA81C9" w:rsidR="00404CA0" w:rsidRDefault="00404CA0" w:rsidP="00AD68D3">
      <w:pPr>
        <w:autoSpaceDE w:val="0"/>
        <w:autoSpaceDN w:val="0"/>
        <w:adjustRightInd w:val="0"/>
        <w:spacing w:after="120"/>
        <w:jc w:val="both"/>
        <w:rPr>
          <w:sz w:val="22"/>
          <w:szCs w:val="22"/>
        </w:rPr>
      </w:pPr>
      <w:r>
        <w:rPr>
          <w:sz w:val="22"/>
          <w:szCs w:val="22"/>
        </w:rPr>
        <w:t>A este respecto, resulta relevante traer a colación los límites de las aclaraciones en las ofertas, resumida de manera acertada por el OARC en su resolución 184/2024:</w:t>
      </w:r>
    </w:p>
    <w:p w14:paraId="477A06A9" w14:textId="77777777" w:rsidR="002076BD" w:rsidRDefault="00404CA0" w:rsidP="00404CA0">
      <w:pPr>
        <w:autoSpaceDE w:val="0"/>
        <w:autoSpaceDN w:val="0"/>
        <w:adjustRightInd w:val="0"/>
        <w:spacing w:after="120"/>
        <w:jc w:val="both"/>
        <w:rPr>
          <w:i/>
          <w:iCs/>
          <w:sz w:val="22"/>
          <w:szCs w:val="22"/>
        </w:rPr>
      </w:pPr>
      <w:r>
        <w:rPr>
          <w:sz w:val="22"/>
          <w:szCs w:val="22"/>
        </w:rPr>
        <w:t>“</w:t>
      </w:r>
      <w:r w:rsidRPr="00404CA0">
        <w:rPr>
          <w:i/>
          <w:iCs/>
          <w:sz w:val="22"/>
          <w:szCs w:val="22"/>
        </w:rPr>
        <w:t>La finalidad de la aclaración es solventar una ambigüedad o error en la documentación presentada por el licitador que suscita dudas sobre el verdadero alcance de su voluntad contractual</w:t>
      </w:r>
      <w:r w:rsidR="002076BD">
        <w:rPr>
          <w:i/>
          <w:iCs/>
          <w:sz w:val="22"/>
          <w:szCs w:val="22"/>
        </w:rPr>
        <w:t xml:space="preserve"> (...)</w:t>
      </w:r>
    </w:p>
    <w:p w14:paraId="77009AC3" w14:textId="56D0E852" w:rsidR="00404CA0" w:rsidRDefault="002076BD" w:rsidP="002076BD">
      <w:pPr>
        <w:autoSpaceDE w:val="0"/>
        <w:autoSpaceDN w:val="0"/>
        <w:adjustRightInd w:val="0"/>
        <w:spacing w:after="120"/>
        <w:jc w:val="both"/>
        <w:rPr>
          <w:i/>
          <w:iCs/>
          <w:sz w:val="22"/>
          <w:szCs w:val="22"/>
        </w:rPr>
      </w:pPr>
      <w:r w:rsidRPr="002076BD">
        <w:rPr>
          <w:i/>
          <w:iCs/>
          <w:sz w:val="22"/>
          <w:szCs w:val="22"/>
        </w:rPr>
        <w:t>Autorizar una “subsanación” como la que pretenden los recurrentes equivaldría a aceptar una nueva manifestación de voluntad para modificar la oferta, lo cual está terminantemente vedado por infringir los principios de igualdad de trato y transparencia del artículo 1 de la LCSP, siendo tan solo los licitadores los responsables de los perjuicios derivados de la falta de diligencia en la elaboración de la proposición, sin que puedan demandar al poder adjudicador un trámite de aclaración para compensarla (ver la Resolución 109/2013 del OARC / KEAO y la STJUE de 29 de marzo de 2012, asunto C-599/10, ECLI:EU:C:2012:191)</w:t>
      </w:r>
      <w:r w:rsidR="00404CA0" w:rsidRPr="002076BD">
        <w:rPr>
          <w:i/>
          <w:iCs/>
          <w:sz w:val="22"/>
          <w:szCs w:val="22"/>
        </w:rPr>
        <w:t>”.</w:t>
      </w:r>
    </w:p>
    <w:p w14:paraId="1DD3E75C" w14:textId="019B345C" w:rsidR="00E723A6" w:rsidRPr="00E723A6" w:rsidRDefault="00E723A6" w:rsidP="002076BD">
      <w:pPr>
        <w:autoSpaceDE w:val="0"/>
        <w:autoSpaceDN w:val="0"/>
        <w:adjustRightInd w:val="0"/>
        <w:spacing w:after="120"/>
        <w:jc w:val="both"/>
        <w:rPr>
          <w:sz w:val="22"/>
          <w:szCs w:val="22"/>
        </w:rPr>
      </w:pPr>
      <w:r w:rsidRPr="00E723A6">
        <w:rPr>
          <w:sz w:val="22"/>
          <w:szCs w:val="22"/>
        </w:rPr>
        <w:t xml:space="preserve">Por lo tanto, la actuación del órgano de contratación </w:t>
      </w:r>
      <w:r>
        <w:rPr>
          <w:sz w:val="22"/>
          <w:szCs w:val="22"/>
        </w:rPr>
        <w:t xml:space="preserve">en </w:t>
      </w:r>
      <w:r w:rsidR="007B7BB4">
        <w:rPr>
          <w:sz w:val="22"/>
          <w:szCs w:val="22"/>
        </w:rPr>
        <w:t>lo relativo</w:t>
      </w:r>
      <w:r>
        <w:rPr>
          <w:sz w:val="22"/>
          <w:szCs w:val="22"/>
        </w:rPr>
        <w:t xml:space="preserve"> a no pedir aclaración a la oferta </w:t>
      </w:r>
      <w:r w:rsidRPr="00E723A6">
        <w:rPr>
          <w:sz w:val="22"/>
          <w:szCs w:val="22"/>
        </w:rPr>
        <w:t>resulta conforme a derecho</w:t>
      </w:r>
      <w:r w:rsidR="007B7BB4">
        <w:rPr>
          <w:sz w:val="22"/>
          <w:szCs w:val="22"/>
        </w:rPr>
        <w:t>,</w:t>
      </w:r>
      <w:r w:rsidRPr="00E723A6">
        <w:rPr>
          <w:sz w:val="22"/>
          <w:szCs w:val="22"/>
        </w:rPr>
        <w:t xml:space="preserve"> al no observarse incoherencia o falta</w:t>
      </w:r>
      <w:r w:rsidR="007B7BB4">
        <w:rPr>
          <w:sz w:val="22"/>
          <w:szCs w:val="22"/>
        </w:rPr>
        <w:t xml:space="preserve"> de datos</w:t>
      </w:r>
      <w:r w:rsidRPr="00E723A6">
        <w:rPr>
          <w:sz w:val="22"/>
          <w:szCs w:val="22"/>
        </w:rPr>
        <w:t xml:space="preserve"> de la que result</w:t>
      </w:r>
      <w:r>
        <w:rPr>
          <w:sz w:val="22"/>
          <w:szCs w:val="22"/>
        </w:rPr>
        <w:t>ase</w:t>
      </w:r>
      <w:r w:rsidRPr="00E723A6">
        <w:rPr>
          <w:sz w:val="22"/>
          <w:szCs w:val="22"/>
        </w:rPr>
        <w:t xml:space="preserve"> necesaria </w:t>
      </w:r>
      <w:r>
        <w:rPr>
          <w:sz w:val="22"/>
          <w:szCs w:val="22"/>
        </w:rPr>
        <w:t xml:space="preserve">solicitar </w:t>
      </w:r>
      <w:r w:rsidR="007B7BB4">
        <w:rPr>
          <w:sz w:val="22"/>
          <w:szCs w:val="22"/>
        </w:rPr>
        <w:t>la mencionada</w:t>
      </w:r>
      <w:r w:rsidRPr="00E723A6">
        <w:rPr>
          <w:sz w:val="22"/>
          <w:szCs w:val="22"/>
        </w:rPr>
        <w:t xml:space="preserve"> aclaración de la oferta.</w:t>
      </w:r>
    </w:p>
    <w:p w14:paraId="22A679FE" w14:textId="629B1ACD" w:rsidR="00D63285" w:rsidRDefault="002076BD" w:rsidP="002076BD">
      <w:pPr>
        <w:autoSpaceDE w:val="0"/>
        <w:autoSpaceDN w:val="0"/>
        <w:adjustRightInd w:val="0"/>
        <w:spacing w:after="120"/>
        <w:jc w:val="both"/>
        <w:rPr>
          <w:sz w:val="22"/>
          <w:szCs w:val="22"/>
        </w:rPr>
      </w:pPr>
      <w:r>
        <w:rPr>
          <w:b/>
          <w:bCs/>
          <w:sz w:val="22"/>
          <w:szCs w:val="22"/>
        </w:rPr>
        <w:t>OCTAVO</w:t>
      </w:r>
      <w:r w:rsidRPr="00D63285">
        <w:rPr>
          <w:b/>
          <w:bCs/>
          <w:sz w:val="22"/>
          <w:szCs w:val="22"/>
        </w:rPr>
        <w:t>. –</w:t>
      </w:r>
      <w:r>
        <w:rPr>
          <w:b/>
          <w:bCs/>
          <w:sz w:val="22"/>
          <w:szCs w:val="22"/>
        </w:rPr>
        <w:t xml:space="preserve"> </w:t>
      </w:r>
      <w:r>
        <w:rPr>
          <w:sz w:val="22"/>
          <w:szCs w:val="22"/>
        </w:rPr>
        <w:t xml:space="preserve">Llegados a este punto, lo procedente es examinar si es posible apreciar un error material en la oferta técnica. Siguiendo la misma argumentación que la reflejada para la posible subsanación, no existe una discrepancia </w:t>
      </w:r>
      <w:r w:rsidRPr="002076BD">
        <w:rPr>
          <w:sz w:val="22"/>
          <w:szCs w:val="22"/>
        </w:rPr>
        <w:t xml:space="preserve">entre </w:t>
      </w:r>
      <w:r>
        <w:rPr>
          <w:sz w:val="22"/>
          <w:szCs w:val="22"/>
        </w:rPr>
        <w:t xml:space="preserve">el desglose de las sesiones </w:t>
      </w:r>
      <w:r w:rsidRPr="002076BD">
        <w:rPr>
          <w:sz w:val="22"/>
          <w:szCs w:val="22"/>
        </w:rPr>
        <w:t xml:space="preserve">y </w:t>
      </w:r>
      <w:r>
        <w:rPr>
          <w:sz w:val="22"/>
          <w:szCs w:val="22"/>
        </w:rPr>
        <w:t xml:space="preserve">el número </w:t>
      </w:r>
      <w:r w:rsidRPr="002076BD">
        <w:rPr>
          <w:sz w:val="22"/>
          <w:szCs w:val="22"/>
        </w:rPr>
        <w:t>global</w:t>
      </w:r>
      <w:r>
        <w:rPr>
          <w:sz w:val="22"/>
          <w:szCs w:val="22"/>
        </w:rPr>
        <w:t xml:space="preserve"> </w:t>
      </w:r>
      <w:r w:rsidRPr="002076BD">
        <w:rPr>
          <w:sz w:val="22"/>
          <w:szCs w:val="22"/>
        </w:rPr>
        <w:t xml:space="preserve">que </w:t>
      </w:r>
      <w:r>
        <w:rPr>
          <w:sz w:val="22"/>
          <w:szCs w:val="22"/>
        </w:rPr>
        <w:t>haga</w:t>
      </w:r>
      <w:r w:rsidRPr="002076BD">
        <w:rPr>
          <w:sz w:val="22"/>
          <w:szCs w:val="22"/>
        </w:rPr>
        <w:t xml:space="preserve"> pensar que un error material evidente impedía conocer la intención de la</w:t>
      </w:r>
      <w:r>
        <w:rPr>
          <w:sz w:val="22"/>
          <w:szCs w:val="22"/>
        </w:rPr>
        <w:t xml:space="preserve"> </w:t>
      </w:r>
      <w:r w:rsidRPr="002076BD">
        <w:rPr>
          <w:sz w:val="22"/>
          <w:szCs w:val="22"/>
        </w:rPr>
        <w:t>oferta</w:t>
      </w:r>
      <w:r>
        <w:rPr>
          <w:sz w:val="22"/>
          <w:szCs w:val="22"/>
        </w:rPr>
        <w:t xml:space="preserve"> presentada. </w:t>
      </w:r>
    </w:p>
    <w:p w14:paraId="385231BD" w14:textId="34D20FBD" w:rsidR="002D3F3D" w:rsidRDefault="007B7BB4" w:rsidP="002D3F3D">
      <w:pPr>
        <w:autoSpaceDE w:val="0"/>
        <w:autoSpaceDN w:val="0"/>
        <w:adjustRightInd w:val="0"/>
        <w:spacing w:after="120"/>
        <w:jc w:val="both"/>
        <w:rPr>
          <w:sz w:val="22"/>
          <w:szCs w:val="22"/>
        </w:rPr>
      </w:pPr>
      <w:r>
        <w:rPr>
          <w:sz w:val="22"/>
          <w:szCs w:val="22"/>
        </w:rPr>
        <w:t xml:space="preserve">En cuanto a la definición del concepto </w:t>
      </w:r>
      <w:r w:rsidRPr="002D3F3D">
        <w:rPr>
          <w:sz w:val="22"/>
          <w:szCs w:val="22"/>
        </w:rPr>
        <w:t>error material</w:t>
      </w:r>
      <w:r>
        <w:rPr>
          <w:sz w:val="22"/>
          <w:szCs w:val="22"/>
        </w:rPr>
        <w:t>, l</w:t>
      </w:r>
      <w:r w:rsidR="002D3F3D" w:rsidRPr="002D3F3D">
        <w:rPr>
          <w:sz w:val="22"/>
          <w:szCs w:val="22"/>
        </w:rPr>
        <w:t xml:space="preserve">a Sentencia 69/2000, de 13 de marzo, del Tribunal Constitucional que se refiere </w:t>
      </w:r>
      <w:r>
        <w:rPr>
          <w:sz w:val="22"/>
          <w:szCs w:val="22"/>
        </w:rPr>
        <w:t>a él como</w:t>
      </w:r>
      <w:r w:rsidR="002D3F3D" w:rsidRPr="002D3F3D">
        <w:rPr>
          <w:sz w:val="22"/>
          <w:szCs w:val="22"/>
        </w:rPr>
        <w:t xml:space="preserve"> </w:t>
      </w:r>
      <w:r w:rsidR="002D3F3D" w:rsidRPr="002D3F3D">
        <w:rPr>
          <w:i/>
          <w:iCs/>
          <w:sz w:val="22"/>
          <w:szCs w:val="22"/>
        </w:rPr>
        <w:t xml:space="preserve">“un mero desajuste o contradicción patente e independiente de cualquier juicio valorativo o apreciación jurídica, </w:t>
      </w:r>
      <w:r w:rsidR="002D3F3D">
        <w:rPr>
          <w:i/>
          <w:iCs/>
          <w:sz w:val="22"/>
          <w:szCs w:val="22"/>
        </w:rPr>
        <w:t>(</w:t>
      </w:r>
      <w:r w:rsidR="002D3F3D" w:rsidRPr="002D3F3D">
        <w:rPr>
          <w:i/>
          <w:iCs/>
          <w:sz w:val="22"/>
          <w:szCs w:val="22"/>
        </w:rPr>
        <w:t>que</w:t>
      </w:r>
      <w:r w:rsidR="002D3F3D">
        <w:rPr>
          <w:i/>
          <w:iCs/>
          <w:sz w:val="22"/>
          <w:szCs w:val="22"/>
        </w:rPr>
        <w:t>)</w:t>
      </w:r>
      <w:r w:rsidR="002D3F3D" w:rsidRPr="002D3F3D">
        <w:rPr>
          <w:i/>
          <w:iCs/>
          <w:sz w:val="22"/>
          <w:szCs w:val="22"/>
        </w:rPr>
        <w:t xml:space="preserve"> no supone resolver cuestiones discutibles u opinables, por evidenciarse el error directamente</w:t>
      </w:r>
      <w:r w:rsidR="002D3F3D">
        <w:rPr>
          <w:sz w:val="22"/>
          <w:szCs w:val="22"/>
        </w:rPr>
        <w:t>”</w:t>
      </w:r>
      <w:r w:rsidR="002D3F3D" w:rsidRPr="002D3F3D">
        <w:rPr>
          <w:sz w:val="22"/>
          <w:szCs w:val="22"/>
        </w:rPr>
        <w:t xml:space="preserve">. </w:t>
      </w:r>
    </w:p>
    <w:p w14:paraId="04932B39" w14:textId="37EFC525" w:rsidR="002D3F3D" w:rsidRPr="002D3F3D" w:rsidRDefault="002D3F3D" w:rsidP="002D3F3D">
      <w:pPr>
        <w:autoSpaceDE w:val="0"/>
        <w:autoSpaceDN w:val="0"/>
        <w:adjustRightInd w:val="0"/>
        <w:spacing w:after="120"/>
        <w:jc w:val="both"/>
        <w:rPr>
          <w:sz w:val="22"/>
          <w:szCs w:val="22"/>
        </w:rPr>
      </w:pPr>
      <w:r w:rsidRPr="002D3F3D">
        <w:rPr>
          <w:sz w:val="22"/>
          <w:szCs w:val="22"/>
        </w:rPr>
        <w:t xml:space="preserve">Asimismo, la Sentencia, de 2 de junio de 1995 (RJ 1995/4619), del Tribunal Supremo establece que </w:t>
      </w:r>
      <w:r w:rsidRPr="002D3F3D">
        <w:rPr>
          <w:i/>
          <w:iCs/>
          <w:sz w:val="22"/>
          <w:szCs w:val="22"/>
        </w:rPr>
        <w:t xml:space="preserve">“(…) el error material o de hecho se caracteriza por ser ostensible, manifiesto e indiscutible, implicando, por sí sólo, la evidencia </w:t>
      </w:r>
      <w:proofErr w:type="gramStart"/>
      <w:r w:rsidRPr="002D3F3D">
        <w:rPr>
          <w:i/>
          <w:iCs/>
          <w:sz w:val="22"/>
          <w:szCs w:val="22"/>
        </w:rPr>
        <w:t>del mismo</w:t>
      </w:r>
      <w:proofErr w:type="gramEnd"/>
      <w:r w:rsidRPr="002D3F3D">
        <w:rPr>
          <w:i/>
          <w:iCs/>
          <w:sz w:val="22"/>
          <w:szCs w:val="22"/>
        </w:rPr>
        <w:t>, sin necesidad de mayores razonamientos, y exteriorizándose prima facie por su sola contemplación”</w:t>
      </w:r>
      <w:r w:rsidRPr="002D3F3D">
        <w:rPr>
          <w:sz w:val="22"/>
          <w:szCs w:val="22"/>
        </w:rPr>
        <w:t xml:space="preserve">. Debe tratarse de </w:t>
      </w:r>
      <w:r w:rsidRPr="002D3F3D">
        <w:rPr>
          <w:i/>
          <w:iCs/>
          <w:sz w:val="22"/>
          <w:szCs w:val="22"/>
        </w:rPr>
        <w:t>“simples equivocaciones elementales de nombres, fechas, operaciones aritméticas o transcripciones de documentos”.</w:t>
      </w:r>
    </w:p>
    <w:p w14:paraId="6960D0ED" w14:textId="5AC14D03" w:rsidR="002125D8" w:rsidRDefault="002125D8" w:rsidP="002076BD">
      <w:pPr>
        <w:autoSpaceDE w:val="0"/>
        <w:autoSpaceDN w:val="0"/>
        <w:adjustRightInd w:val="0"/>
        <w:spacing w:after="120"/>
        <w:jc w:val="both"/>
        <w:rPr>
          <w:sz w:val="22"/>
          <w:szCs w:val="22"/>
        </w:rPr>
      </w:pPr>
      <w:r w:rsidRPr="002125D8">
        <w:rPr>
          <w:sz w:val="22"/>
          <w:szCs w:val="22"/>
        </w:rPr>
        <w:t xml:space="preserve">Conviene recordar que, por el contrario, la jurisprudencia del TJUE establece que la correcta presentación de la proposición incumbe única y exclusivamente al licitador, por lo que solo éste es el responsable de </w:t>
      </w:r>
      <w:r w:rsidR="007B7BB4">
        <w:rPr>
          <w:sz w:val="22"/>
          <w:szCs w:val="22"/>
        </w:rPr>
        <w:t>una posible</w:t>
      </w:r>
      <w:r w:rsidRPr="002125D8">
        <w:rPr>
          <w:sz w:val="22"/>
          <w:szCs w:val="22"/>
        </w:rPr>
        <w:t xml:space="preserve"> confección negligente de su oferta (STJUE de 29 de marzo de 2012, asunto C-599/10, ECLI:EU:C:2012:191, apartado 38</w:t>
      </w:r>
      <w:r>
        <w:rPr>
          <w:sz w:val="22"/>
          <w:szCs w:val="22"/>
        </w:rPr>
        <w:t xml:space="preserve">): </w:t>
      </w:r>
    </w:p>
    <w:p w14:paraId="04C5A162" w14:textId="5F28140A" w:rsidR="002125D8" w:rsidRPr="00D63285" w:rsidRDefault="002125D8" w:rsidP="002076BD">
      <w:pPr>
        <w:autoSpaceDE w:val="0"/>
        <w:autoSpaceDN w:val="0"/>
        <w:adjustRightInd w:val="0"/>
        <w:spacing w:after="120"/>
        <w:jc w:val="both"/>
        <w:rPr>
          <w:sz w:val="22"/>
          <w:szCs w:val="22"/>
          <w:lang w:val="es-ES_tradnl"/>
        </w:rPr>
      </w:pPr>
      <w:r>
        <w:rPr>
          <w:sz w:val="22"/>
          <w:szCs w:val="22"/>
        </w:rPr>
        <w:t>“</w:t>
      </w:r>
      <w:r w:rsidRPr="002125D8">
        <w:rPr>
          <w:i/>
          <w:iCs/>
          <w:sz w:val="22"/>
          <w:szCs w:val="22"/>
        </w:rPr>
        <w:t>Por otra parte, éstos</w:t>
      </w:r>
      <w:r>
        <w:rPr>
          <w:i/>
          <w:iCs/>
          <w:sz w:val="22"/>
          <w:szCs w:val="22"/>
        </w:rPr>
        <w:t xml:space="preserve"> (los licitadores)</w:t>
      </w:r>
      <w:r w:rsidRPr="002125D8">
        <w:rPr>
          <w:i/>
          <w:iCs/>
          <w:sz w:val="22"/>
          <w:szCs w:val="22"/>
        </w:rPr>
        <w:t xml:space="preserve"> no pueden quejarse de que el poder adjudicador no esté sometido a obligación alguna a este respecto, ya que la falta de claridad de su oferta no es sino </w:t>
      </w:r>
      <w:r w:rsidRPr="002125D8">
        <w:rPr>
          <w:i/>
          <w:iCs/>
          <w:sz w:val="22"/>
          <w:szCs w:val="22"/>
        </w:rPr>
        <w:lastRenderedPageBreak/>
        <w:t xml:space="preserve">el resultado del incumplimiento de su deber de diligencia en la redacción de </w:t>
      </w:r>
      <w:proofErr w:type="gramStart"/>
      <w:r w:rsidRPr="002125D8">
        <w:rPr>
          <w:i/>
          <w:iCs/>
          <w:sz w:val="22"/>
          <w:szCs w:val="22"/>
        </w:rPr>
        <w:t>la misma</w:t>
      </w:r>
      <w:proofErr w:type="gramEnd"/>
      <w:r w:rsidRPr="002125D8">
        <w:rPr>
          <w:i/>
          <w:iCs/>
          <w:sz w:val="22"/>
          <w:szCs w:val="22"/>
        </w:rPr>
        <w:t>, al que están sujetos de igual manera que los demás candidatos</w:t>
      </w:r>
      <w:r>
        <w:rPr>
          <w:sz w:val="22"/>
          <w:szCs w:val="22"/>
        </w:rPr>
        <w:t>”.</w:t>
      </w:r>
    </w:p>
    <w:p w14:paraId="3A051D8D" w14:textId="21BAB897" w:rsidR="007B7BB4" w:rsidRDefault="00A500A6" w:rsidP="00112F6B">
      <w:pPr>
        <w:autoSpaceDE w:val="0"/>
        <w:autoSpaceDN w:val="0"/>
        <w:adjustRightInd w:val="0"/>
        <w:jc w:val="both"/>
        <w:rPr>
          <w:sz w:val="22"/>
          <w:szCs w:val="22"/>
          <w:lang w:val="es-ES_tradnl"/>
        </w:rPr>
      </w:pPr>
      <w:r>
        <w:rPr>
          <w:sz w:val="22"/>
          <w:szCs w:val="22"/>
          <w:lang w:val="es-ES_tradnl"/>
        </w:rPr>
        <w:t>En el caso que nos ocupa, el licitador alega que las sesiones presenciales que deseaba dedicar a los grupos 3 y 4 era</w:t>
      </w:r>
      <w:r w:rsidR="00DC67F9">
        <w:rPr>
          <w:sz w:val="22"/>
          <w:szCs w:val="22"/>
          <w:lang w:val="es-ES_tradnl"/>
        </w:rPr>
        <w:t>n</w:t>
      </w:r>
      <w:r>
        <w:rPr>
          <w:sz w:val="22"/>
          <w:szCs w:val="22"/>
          <w:lang w:val="es-ES_tradnl"/>
        </w:rPr>
        <w:t xml:space="preserve"> las mismas</w:t>
      </w:r>
      <w:r w:rsidR="007B7BB4">
        <w:rPr>
          <w:sz w:val="22"/>
          <w:szCs w:val="22"/>
          <w:lang w:val="es-ES_tradnl"/>
        </w:rPr>
        <w:t>.</w:t>
      </w:r>
      <w:r>
        <w:rPr>
          <w:sz w:val="22"/>
          <w:szCs w:val="22"/>
          <w:lang w:val="es-ES_tradnl"/>
        </w:rPr>
        <w:t xml:space="preserve"> </w:t>
      </w:r>
      <w:r w:rsidR="007B7BB4">
        <w:rPr>
          <w:sz w:val="22"/>
          <w:szCs w:val="22"/>
          <w:lang w:val="es-ES_tradnl"/>
        </w:rPr>
        <w:t>S</w:t>
      </w:r>
      <w:r>
        <w:rPr>
          <w:sz w:val="22"/>
          <w:szCs w:val="22"/>
          <w:lang w:val="es-ES_tradnl"/>
        </w:rPr>
        <w:t>in embargo</w:t>
      </w:r>
      <w:r w:rsidR="007B7BB4">
        <w:rPr>
          <w:sz w:val="22"/>
          <w:szCs w:val="22"/>
          <w:lang w:val="es-ES_tradnl"/>
        </w:rPr>
        <w:t>,</w:t>
      </w:r>
      <w:r>
        <w:rPr>
          <w:sz w:val="22"/>
          <w:szCs w:val="22"/>
          <w:lang w:val="es-ES_tradnl"/>
        </w:rPr>
        <w:t xml:space="preserve"> de la lectura de su oferta y del cuadre total de sesiones no es posible discernirlo sin realizar una interpretación</w:t>
      </w:r>
      <w:r w:rsidR="007B7BB4">
        <w:rPr>
          <w:sz w:val="22"/>
          <w:szCs w:val="22"/>
          <w:lang w:val="es-ES_tradnl"/>
        </w:rPr>
        <w:t xml:space="preserve"> valorativa</w:t>
      </w:r>
      <w:r>
        <w:rPr>
          <w:sz w:val="22"/>
          <w:szCs w:val="22"/>
          <w:lang w:val="es-ES_tradnl"/>
        </w:rPr>
        <w:t xml:space="preserve"> de aquella. Más aún, cabe preguntarse</w:t>
      </w:r>
      <w:r w:rsidR="007B7BB4">
        <w:rPr>
          <w:sz w:val="22"/>
          <w:szCs w:val="22"/>
          <w:lang w:val="es-ES_tradnl"/>
        </w:rPr>
        <w:t xml:space="preserve"> que, si</w:t>
      </w:r>
      <w:r>
        <w:rPr>
          <w:sz w:val="22"/>
          <w:szCs w:val="22"/>
          <w:lang w:val="es-ES_tradnl"/>
        </w:rPr>
        <w:t xml:space="preserve"> en este caso la voluntad de la empresa era dedicar</w:t>
      </w:r>
      <w:r w:rsidR="007B7BB4">
        <w:rPr>
          <w:sz w:val="22"/>
          <w:szCs w:val="22"/>
          <w:lang w:val="es-ES_tradnl"/>
        </w:rPr>
        <w:t xml:space="preserve"> las mismas sesiones presenciales al grupo 3 que al</w:t>
      </w:r>
      <w:r>
        <w:rPr>
          <w:sz w:val="22"/>
          <w:szCs w:val="22"/>
          <w:lang w:val="es-ES_tradnl"/>
        </w:rPr>
        <w:t xml:space="preserve"> 4</w:t>
      </w:r>
      <w:r w:rsidR="007B7BB4">
        <w:rPr>
          <w:sz w:val="22"/>
          <w:szCs w:val="22"/>
          <w:lang w:val="es-ES_tradnl"/>
        </w:rPr>
        <w:t>, cual es la cifra que se deseaba ofertar, 2 (grupo 3) o 5 (grupo 4) sesiones al año</w:t>
      </w:r>
      <w:r>
        <w:rPr>
          <w:sz w:val="22"/>
          <w:szCs w:val="22"/>
          <w:lang w:val="es-ES_tradnl"/>
        </w:rPr>
        <w:t xml:space="preserve">. </w:t>
      </w:r>
    </w:p>
    <w:p w14:paraId="78279637" w14:textId="77777777" w:rsidR="007B7BB4" w:rsidRDefault="007B7BB4" w:rsidP="00112F6B">
      <w:pPr>
        <w:autoSpaceDE w:val="0"/>
        <w:autoSpaceDN w:val="0"/>
        <w:adjustRightInd w:val="0"/>
        <w:jc w:val="both"/>
        <w:rPr>
          <w:sz w:val="22"/>
          <w:szCs w:val="22"/>
          <w:lang w:val="es-ES_tradnl"/>
        </w:rPr>
      </w:pPr>
    </w:p>
    <w:p w14:paraId="76D793EF" w14:textId="7EA41718" w:rsidR="00182775" w:rsidRDefault="00A500A6" w:rsidP="00112F6B">
      <w:pPr>
        <w:autoSpaceDE w:val="0"/>
        <w:autoSpaceDN w:val="0"/>
        <w:adjustRightInd w:val="0"/>
        <w:jc w:val="both"/>
        <w:rPr>
          <w:sz w:val="22"/>
          <w:szCs w:val="22"/>
          <w:lang w:val="es-ES_tradnl"/>
        </w:rPr>
      </w:pPr>
      <w:r>
        <w:rPr>
          <w:sz w:val="22"/>
          <w:szCs w:val="22"/>
          <w:lang w:val="es-ES_tradnl"/>
        </w:rPr>
        <w:t>Por lo tanto, no es posible deducir en este caso un error material en la oferta</w:t>
      </w:r>
      <w:r w:rsidR="007B7BB4">
        <w:rPr>
          <w:sz w:val="22"/>
          <w:szCs w:val="22"/>
          <w:lang w:val="es-ES_tradnl"/>
        </w:rPr>
        <w:t>, ya que no se reúnen las circunstancias precisas para ello</w:t>
      </w:r>
      <w:r>
        <w:rPr>
          <w:sz w:val="22"/>
          <w:szCs w:val="22"/>
          <w:lang w:val="es-ES_tradnl"/>
        </w:rPr>
        <w:t>.</w:t>
      </w:r>
    </w:p>
    <w:p w14:paraId="043F48C4" w14:textId="77777777" w:rsidR="00A500A6" w:rsidRDefault="00A500A6" w:rsidP="00112F6B">
      <w:pPr>
        <w:autoSpaceDE w:val="0"/>
        <w:autoSpaceDN w:val="0"/>
        <w:adjustRightInd w:val="0"/>
        <w:jc w:val="both"/>
        <w:rPr>
          <w:sz w:val="22"/>
          <w:szCs w:val="22"/>
          <w:lang w:val="es-ES_tradnl"/>
        </w:rPr>
      </w:pPr>
    </w:p>
    <w:p w14:paraId="007F7988" w14:textId="1D1887C7" w:rsidR="00A500A6" w:rsidRDefault="00A500A6" w:rsidP="00112F6B">
      <w:pPr>
        <w:autoSpaceDE w:val="0"/>
        <w:autoSpaceDN w:val="0"/>
        <w:adjustRightInd w:val="0"/>
        <w:jc w:val="both"/>
        <w:rPr>
          <w:sz w:val="22"/>
          <w:szCs w:val="22"/>
        </w:rPr>
      </w:pPr>
      <w:r w:rsidRPr="00A500A6">
        <w:rPr>
          <w:b/>
          <w:bCs/>
          <w:sz w:val="22"/>
          <w:szCs w:val="22"/>
        </w:rPr>
        <w:t>NOVENO.</w:t>
      </w:r>
      <w:r>
        <w:rPr>
          <w:b/>
          <w:bCs/>
          <w:sz w:val="22"/>
          <w:szCs w:val="22"/>
        </w:rPr>
        <w:t xml:space="preserve"> -  </w:t>
      </w:r>
      <w:r w:rsidRPr="00A500A6">
        <w:rPr>
          <w:sz w:val="22"/>
          <w:szCs w:val="22"/>
        </w:rPr>
        <w:t>Por último, queda analizar</w:t>
      </w:r>
      <w:r w:rsidRPr="00A500A6">
        <w:rPr>
          <w:b/>
          <w:bCs/>
          <w:sz w:val="22"/>
          <w:szCs w:val="22"/>
        </w:rPr>
        <w:t xml:space="preserve"> </w:t>
      </w:r>
      <w:r w:rsidR="00371281">
        <w:rPr>
          <w:sz w:val="22"/>
          <w:szCs w:val="22"/>
        </w:rPr>
        <w:t>si la actuación de la mesa al excluir la oferta es conforme a derecho. A este respecto, la resolución 189/2023 del OARC dice lo siguiente:</w:t>
      </w:r>
    </w:p>
    <w:p w14:paraId="78735256" w14:textId="77777777" w:rsidR="00371281" w:rsidRDefault="00371281" w:rsidP="00112F6B">
      <w:pPr>
        <w:autoSpaceDE w:val="0"/>
        <w:autoSpaceDN w:val="0"/>
        <w:adjustRightInd w:val="0"/>
        <w:jc w:val="both"/>
        <w:rPr>
          <w:sz w:val="22"/>
          <w:szCs w:val="22"/>
        </w:rPr>
      </w:pPr>
    </w:p>
    <w:p w14:paraId="40033159" w14:textId="00F6F4C3" w:rsidR="00371281" w:rsidRPr="00371281" w:rsidRDefault="00371281" w:rsidP="00371281">
      <w:pPr>
        <w:autoSpaceDE w:val="0"/>
        <w:autoSpaceDN w:val="0"/>
        <w:adjustRightInd w:val="0"/>
        <w:jc w:val="both"/>
        <w:rPr>
          <w:i/>
          <w:iCs/>
          <w:sz w:val="22"/>
          <w:szCs w:val="22"/>
        </w:rPr>
      </w:pPr>
      <w:r>
        <w:rPr>
          <w:i/>
          <w:iCs/>
          <w:sz w:val="22"/>
          <w:szCs w:val="22"/>
        </w:rPr>
        <w:t>“</w:t>
      </w:r>
      <w:r w:rsidRPr="00371281">
        <w:rPr>
          <w:i/>
          <w:iCs/>
          <w:sz w:val="22"/>
          <w:szCs w:val="22"/>
        </w:rPr>
        <w:t>Tal y como ha expuesto reiteradamente este Órgano (ver, por todas, su Resolución 73/2023, así como la sentencia del Tribunal Supremo de 29/11/2021,</w:t>
      </w:r>
      <w:r w:rsidR="00C06859">
        <w:rPr>
          <w:i/>
          <w:iCs/>
          <w:sz w:val="22"/>
          <w:szCs w:val="22"/>
        </w:rPr>
        <w:t xml:space="preserve"> </w:t>
      </w:r>
      <w:proofErr w:type="spellStart"/>
      <w:r w:rsidRPr="00371281">
        <w:rPr>
          <w:i/>
          <w:iCs/>
          <w:sz w:val="22"/>
          <w:szCs w:val="22"/>
        </w:rPr>
        <w:t>nº</w:t>
      </w:r>
      <w:proofErr w:type="spellEnd"/>
      <w:r w:rsidRPr="00371281">
        <w:rPr>
          <w:i/>
          <w:iCs/>
          <w:sz w:val="22"/>
          <w:szCs w:val="22"/>
        </w:rPr>
        <w:t xml:space="preserve"> 1392/2021, ECLI:ES:TS:2021:4369 y la jurisprudencia anterior que cita), no es necesario que las ofertas acrediten expresamente el cumplimiento de todas y cada una de las prescripciones técnicas del contrato porque la mera presentación de la proposición ya supone el acatamiento de la documentación contractual, según el artículo 139.1 de la LCSP. </w:t>
      </w:r>
    </w:p>
    <w:p w14:paraId="7F2BC88D" w14:textId="77777777" w:rsidR="00371281" w:rsidRPr="00371281" w:rsidRDefault="00371281" w:rsidP="00371281">
      <w:pPr>
        <w:autoSpaceDE w:val="0"/>
        <w:autoSpaceDN w:val="0"/>
        <w:adjustRightInd w:val="0"/>
        <w:jc w:val="both"/>
        <w:rPr>
          <w:i/>
          <w:iCs/>
          <w:sz w:val="22"/>
          <w:szCs w:val="22"/>
        </w:rPr>
      </w:pPr>
    </w:p>
    <w:p w14:paraId="54253BA4" w14:textId="558908EF" w:rsidR="00371281" w:rsidRPr="00371281" w:rsidRDefault="00371281" w:rsidP="00371281">
      <w:pPr>
        <w:autoSpaceDE w:val="0"/>
        <w:autoSpaceDN w:val="0"/>
        <w:adjustRightInd w:val="0"/>
        <w:jc w:val="both"/>
        <w:rPr>
          <w:i/>
          <w:iCs/>
          <w:sz w:val="22"/>
          <w:szCs w:val="22"/>
        </w:rPr>
      </w:pPr>
      <w:r w:rsidRPr="00371281">
        <w:rPr>
          <w:i/>
          <w:iCs/>
          <w:sz w:val="22"/>
          <w:szCs w:val="22"/>
        </w:rPr>
        <w:t>No obstante, cabe la exclusión de una oferta cuando:</w:t>
      </w:r>
    </w:p>
    <w:p w14:paraId="024FC142" w14:textId="77777777" w:rsidR="00371281" w:rsidRPr="00371281" w:rsidRDefault="00371281" w:rsidP="00371281">
      <w:pPr>
        <w:autoSpaceDE w:val="0"/>
        <w:autoSpaceDN w:val="0"/>
        <w:adjustRightInd w:val="0"/>
        <w:jc w:val="both"/>
        <w:rPr>
          <w:i/>
          <w:iCs/>
          <w:sz w:val="22"/>
          <w:szCs w:val="22"/>
        </w:rPr>
      </w:pPr>
    </w:p>
    <w:p w14:paraId="1823CCC1" w14:textId="6AEFD23D" w:rsidR="00371281" w:rsidRDefault="00371281" w:rsidP="00371281">
      <w:pPr>
        <w:autoSpaceDE w:val="0"/>
        <w:autoSpaceDN w:val="0"/>
        <w:adjustRightInd w:val="0"/>
        <w:jc w:val="both"/>
        <w:rPr>
          <w:i/>
          <w:iCs/>
          <w:sz w:val="22"/>
          <w:szCs w:val="22"/>
        </w:rPr>
      </w:pPr>
      <w:r w:rsidRPr="00371281">
        <w:rPr>
          <w:i/>
          <w:iCs/>
          <w:sz w:val="22"/>
          <w:szCs w:val="22"/>
        </w:rPr>
        <w:t>(i) no incluya la acreditación, solicitada expresamente por los pliegos, del cumplimiento de una prescripción, o</w:t>
      </w:r>
    </w:p>
    <w:p w14:paraId="756D5773" w14:textId="77777777" w:rsidR="007A73E3" w:rsidRPr="00371281" w:rsidRDefault="007A73E3" w:rsidP="00371281">
      <w:pPr>
        <w:autoSpaceDE w:val="0"/>
        <w:autoSpaceDN w:val="0"/>
        <w:adjustRightInd w:val="0"/>
        <w:jc w:val="both"/>
        <w:rPr>
          <w:i/>
          <w:iCs/>
          <w:sz w:val="22"/>
          <w:szCs w:val="22"/>
        </w:rPr>
      </w:pPr>
    </w:p>
    <w:p w14:paraId="2BB4E98C" w14:textId="0C801FDC" w:rsidR="00371281" w:rsidRPr="00371281" w:rsidRDefault="00371281" w:rsidP="00371281">
      <w:pPr>
        <w:autoSpaceDE w:val="0"/>
        <w:autoSpaceDN w:val="0"/>
        <w:adjustRightInd w:val="0"/>
        <w:jc w:val="both"/>
        <w:rPr>
          <w:i/>
          <w:iCs/>
          <w:sz w:val="22"/>
          <w:szCs w:val="22"/>
        </w:rPr>
      </w:pPr>
      <w:r w:rsidRPr="00371281">
        <w:rPr>
          <w:i/>
          <w:iCs/>
          <w:sz w:val="22"/>
          <w:szCs w:val="22"/>
        </w:rPr>
        <w:t>(</w:t>
      </w:r>
      <w:proofErr w:type="spellStart"/>
      <w:r w:rsidRPr="00371281">
        <w:rPr>
          <w:i/>
          <w:iCs/>
          <w:sz w:val="22"/>
          <w:szCs w:val="22"/>
        </w:rPr>
        <w:t>ii</w:t>
      </w:r>
      <w:proofErr w:type="spellEnd"/>
      <w:r w:rsidRPr="00371281">
        <w:rPr>
          <w:i/>
          <w:iCs/>
          <w:sz w:val="22"/>
          <w:szCs w:val="22"/>
        </w:rPr>
        <w:t xml:space="preserve">) </w:t>
      </w:r>
      <w:r w:rsidRPr="00D17269">
        <w:rPr>
          <w:b/>
          <w:bCs/>
          <w:i/>
          <w:iCs/>
          <w:sz w:val="22"/>
          <w:szCs w:val="22"/>
        </w:rPr>
        <w:t>cuando su contenido se oponga frontalmente a dichos pliegos</w:t>
      </w:r>
      <w:r>
        <w:rPr>
          <w:i/>
          <w:iCs/>
          <w:sz w:val="22"/>
          <w:szCs w:val="22"/>
        </w:rPr>
        <w:t>”</w:t>
      </w:r>
      <w:r w:rsidRPr="00371281">
        <w:rPr>
          <w:i/>
          <w:iCs/>
          <w:sz w:val="22"/>
          <w:szCs w:val="22"/>
        </w:rPr>
        <w:t>.</w:t>
      </w:r>
      <w:r w:rsidRPr="00371281">
        <w:rPr>
          <w:i/>
          <w:iCs/>
          <w:sz w:val="22"/>
          <w:szCs w:val="22"/>
        </w:rPr>
        <w:cr/>
      </w:r>
    </w:p>
    <w:p w14:paraId="5CFB3904" w14:textId="46B8837D" w:rsidR="002076BD" w:rsidRDefault="00C06859" w:rsidP="00112F6B">
      <w:pPr>
        <w:autoSpaceDE w:val="0"/>
        <w:autoSpaceDN w:val="0"/>
        <w:adjustRightInd w:val="0"/>
        <w:jc w:val="both"/>
        <w:rPr>
          <w:sz w:val="22"/>
          <w:szCs w:val="22"/>
        </w:rPr>
      </w:pPr>
      <w:r>
        <w:rPr>
          <w:sz w:val="22"/>
          <w:szCs w:val="22"/>
        </w:rPr>
        <w:t>Para aclarar el alcance de este último supuesto (la oposición frontal a los pliegos técnicos), hemos de irnos a la doctrina del TACRC que</w:t>
      </w:r>
      <w:r w:rsidR="00D17269">
        <w:rPr>
          <w:sz w:val="22"/>
          <w:szCs w:val="22"/>
        </w:rPr>
        <w:t>,</w:t>
      </w:r>
      <w:r>
        <w:rPr>
          <w:sz w:val="22"/>
          <w:szCs w:val="22"/>
        </w:rPr>
        <w:t xml:space="preserve"> en su resolución </w:t>
      </w:r>
      <w:r w:rsidRPr="00C06859">
        <w:rPr>
          <w:sz w:val="22"/>
          <w:szCs w:val="22"/>
        </w:rPr>
        <w:t>985/2015</w:t>
      </w:r>
      <w:r>
        <w:rPr>
          <w:sz w:val="22"/>
          <w:szCs w:val="22"/>
        </w:rPr>
        <w:t xml:space="preserve">, </w:t>
      </w:r>
      <w:r w:rsidRPr="00C06859">
        <w:rPr>
          <w:sz w:val="22"/>
          <w:szCs w:val="22"/>
        </w:rPr>
        <w:t xml:space="preserve">de </w:t>
      </w:r>
      <w:r>
        <w:rPr>
          <w:sz w:val="22"/>
          <w:szCs w:val="22"/>
        </w:rPr>
        <w:t>23</w:t>
      </w:r>
      <w:r w:rsidRPr="00C06859">
        <w:rPr>
          <w:sz w:val="22"/>
          <w:szCs w:val="22"/>
        </w:rPr>
        <w:t xml:space="preserve"> de </w:t>
      </w:r>
      <w:r>
        <w:rPr>
          <w:sz w:val="22"/>
          <w:szCs w:val="22"/>
        </w:rPr>
        <w:t>octubre, manifiesta:</w:t>
      </w:r>
    </w:p>
    <w:p w14:paraId="2DB26FD8" w14:textId="77777777" w:rsidR="00C06859" w:rsidRDefault="00C06859" w:rsidP="00112F6B">
      <w:pPr>
        <w:autoSpaceDE w:val="0"/>
        <w:autoSpaceDN w:val="0"/>
        <w:adjustRightInd w:val="0"/>
        <w:jc w:val="both"/>
        <w:rPr>
          <w:sz w:val="22"/>
          <w:szCs w:val="22"/>
        </w:rPr>
      </w:pPr>
    </w:p>
    <w:p w14:paraId="1F49A2B8" w14:textId="06246505" w:rsidR="00C06859" w:rsidRPr="00C06859" w:rsidRDefault="00C06859" w:rsidP="00C06859">
      <w:pPr>
        <w:autoSpaceDE w:val="0"/>
        <w:autoSpaceDN w:val="0"/>
        <w:adjustRightInd w:val="0"/>
        <w:jc w:val="both"/>
        <w:rPr>
          <w:i/>
          <w:iCs/>
          <w:sz w:val="22"/>
          <w:szCs w:val="22"/>
        </w:rPr>
      </w:pPr>
      <w:r w:rsidRPr="00C06859">
        <w:rPr>
          <w:i/>
          <w:iCs/>
          <w:sz w:val="22"/>
          <w:szCs w:val="22"/>
        </w:rPr>
        <w:t>“En suma, es criterio consolidado de este Tribunal el que establece la obligación de adecuar la descripción técnica en las ofertas presentadas a lo establecido en el pliego de prescripciones técnicas, siendo la consecuencia necesaria de este incumplimiento la exclusión de la oferta al no adecuarse a las especificaciones establecidas por el órgano de contratación.”</w:t>
      </w:r>
    </w:p>
    <w:p w14:paraId="491DC169" w14:textId="77777777" w:rsidR="00371281" w:rsidRPr="00371281" w:rsidRDefault="00371281" w:rsidP="00112F6B">
      <w:pPr>
        <w:autoSpaceDE w:val="0"/>
        <w:autoSpaceDN w:val="0"/>
        <w:adjustRightInd w:val="0"/>
        <w:jc w:val="both"/>
        <w:rPr>
          <w:sz w:val="22"/>
          <w:szCs w:val="22"/>
        </w:rPr>
      </w:pPr>
    </w:p>
    <w:p w14:paraId="33044C79" w14:textId="6DEB5BD3" w:rsidR="00C06859" w:rsidRDefault="00C06859" w:rsidP="00112F6B">
      <w:pPr>
        <w:autoSpaceDE w:val="0"/>
        <w:autoSpaceDN w:val="0"/>
        <w:adjustRightInd w:val="0"/>
        <w:jc w:val="both"/>
        <w:rPr>
          <w:sz w:val="22"/>
          <w:szCs w:val="22"/>
        </w:rPr>
      </w:pPr>
      <w:r>
        <w:rPr>
          <w:sz w:val="22"/>
          <w:szCs w:val="22"/>
        </w:rPr>
        <w:t>De esta manera, integrando estas resoluciones con el artículo 139.1 de la LCSP, que l</w:t>
      </w:r>
      <w:r w:rsidRPr="00933410">
        <w:rPr>
          <w:sz w:val="22"/>
          <w:szCs w:val="22"/>
        </w:rPr>
        <w:t>as proposiciones de los interesados deberán ajustarse a los pliegos y documentación que rigen la licitación</w:t>
      </w:r>
      <w:r>
        <w:rPr>
          <w:sz w:val="22"/>
          <w:szCs w:val="22"/>
        </w:rPr>
        <w:t xml:space="preserve"> </w:t>
      </w:r>
      <w:r w:rsidRPr="00933410">
        <w:rPr>
          <w:sz w:val="22"/>
          <w:szCs w:val="22"/>
        </w:rPr>
        <w:t>sin salvedad o reserva alguna</w:t>
      </w:r>
      <w:r>
        <w:rPr>
          <w:sz w:val="22"/>
          <w:szCs w:val="22"/>
        </w:rPr>
        <w:t>, la actuación del órgano de contratación parece</w:t>
      </w:r>
      <w:r w:rsidR="00D17269">
        <w:rPr>
          <w:sz w:val="22"/>
          <w:szCs w:val="22"/>
        </w:rPr>
        <w:t xml:space="preserve"> así mismo</w:t>
      </w:r>
      <w:r>
        <w:rPr>
          <w:sz w:val="22"/>
          <w:szCs w:val="22"/>
        </w:rPr>
        <w:t xml:space="preserve"> ajustada a derecho. El incumplimiento del mínimo de sesiones de formación presencial en la oferta técnica ha de determinar necesariamente la exclusión de </w:t>
      </w:r>
      <w:proofErr w:type="gramStart"/>
      <w:r>
        <w:rPr>
          <w:sz w:val="22"/>
          <w:szCs w:val="22"/>
        </w:rPr>
        <w:t>la misma</w:t>
      </w:r>
      <w:proofErr w:type="gramEnd"/>
      <w:r>
        <w:rPr>
          <w:sz w:val="22"/>
          <w:szCs w:val="22"/>
        </w:rPr>
        <w:t>.</w:t>
      </w:r>
    </w:p>
    <w:p w14:paraId="39FEDF8C" w14:textId="77777777" w:rsidR="00FC40EA" w:rsidRDefault="00FC40EA" w:rsidP="00112F6B">
      <w:pPr>
        <w:autoSpaceDE w:val="0"/>
        <w:autoSpaceDN w:val="0"/>
        <w:adjustRightInd w:val="0"/>
        <w:jc w:val="both"/>
        <w:rPr>
          <w:sz w:val="22"/>
          <w:szCs w:val="22"/>
        </w:rPr>
      </w:pPr>
    </w:p>
    <w:p w14:paraId="11EBB138" w14:textId="3ECCC34F" w:rsidR="00FC40EA" w:rsidRPr="004960B5" w:rsidRDefault="00FC40EA" w:rsidP="00112F6B">
      <w:pPr>
        <w:autoSpaceDE w:val="0"/>
        <w:autoSpaceDN w:val="0"/>
        <w:adjustRightInd w:val="0"/>
        <w:jc w:val="both"/>
        <w:rPr>
          <w:sz w:val="22"/>
          <w:szCs w:val="22"/>
          <w:lang w:val="es-ES_tradnl"/>
        </w:rPr>
      </w:pPr>
      <w:r>
        <w:rPr>
          <w:b/>
          <w:bCs/>
          <w:sz w:val="22"/>
          <w:szCs w:val="22"/>
        </w:rPr>
        <w:t>DÉCIMO</w:t>
      </w:r>
      <w:r w:rsidRPr="00A500A6">
        <w:rPr>
          <w:b/>
          <w:bCs/>
          <w:sz w:val="22"/>
          <w:szCs w:val="22"/>
        </w:rPr>
        <w:t>.</w:t>
      </w:r>
      <w:r>
        <w:rPr>
          <w:b/>
          <w:bCs/>
          <w:sz w:val="22"/>
          <w:szCs w:val="22"/>
        </w:rPr>
        <w:t xml:space="preserve"> -  </w:t>
      </w:r>
      <w:r w:rsidR="004960B5">
        <w:rPr>
          <w:sz w:val="22"/>
          <w:szCs w:val="22"/>
        </w:rPr>
        <w:t xml:space="preserve">Consecuentemente con la exclusión de todas las ofertas presentadas, la única decisión posible por parte del </w:t>
      </w:r>
      <w:r w:rsidR="0051600E">
        <w:rPr>
          <w:sz w:val="22"/>
          <w:szCs w:val="22"/>
        </w:rPr>
        <w:t>ó</w:t>
      </w:r>
      <w:r w:rsidR="004960B5">
        <w:rPr>
          <w:sz w:val="22"/>
          <w:szCs w:val="22"/>
        </w:rPr>
        <w:t xml:space="preserve">rgano de </w:t>
      </w:r>
      <w:r w:rsidR="0051600E">
        <w:rPr>
          <w:sz w:val="22"/>
          <w:szCs w:val="22"/>
        </w:rPr>
        <w:t>c</w:t>
      </w:r>
      <w:r w:rsidR="004960B5">
        <w:rPr>
          <w:sz w:val="22"/>
          <w:szCs w:val="22"/>
        </w:rPr>
        <w:t>ontratación era la declaración de desierto del procedimiento</w:t>
      </w:r>
      <w:r w:rsidR="00D40B4E">
        <w:rPr>
          <w:sz w:val="22"/>
          <w:szCs w:val="22"/>
        </w:rPr>
        <w:t xml:space="preserve">, por lo que procede así mismo desestimar el </w:t>
      </w:r>
      <w:r w:rsidR="002D1668">
        <w:rPr>
          <w:sz w:val="22"/>
          <w:szCs w:val="22"/>
        </w:rPr>
        <w:t xml:space="preserve">segundo recurso, numerado como </w:t>
      </w:r>
      <w:r w:rsidR="002D1668" w:rsidRPr="002D1668">
        <w:rPr>
          <w:sz w:val="22"/>
          <w:szCs w:val="22"/>
        </w:rPr>
        <w:t>17/25-RE</w:t>
      </w:r>
      <w:r w:rsidR="004960B5">
        <w:rPr>
          <w:sz w:val="22"/>
          <w:szCs w:val="22"/>
        </w:rPr>
        <w:t>.</w:t>
      </w:r>
    </w:p>
    <w:p w14:paraId="793C2C0B" w14:textId="77777777" w:rsidR="00C06859" w:rsidRDefault="00C06859" w:rsidP="00112F6B">
      <w:pPr>
        <w:autoSpaceDE w:val="0"/>
        <w:autoSpaceDN w:val="0"/>
        <w:adjustRightInd w:val="0"/>
        <w:jc w:val="both"/>
        <w:rPr>
          <w:sz w:val="22"/>
          <w:szCs w:val="22"/>
          <w:lang w:val="es-ES_tradnl"/>
        </w:rPr>
      </w:pPr>
    </w:p>
    <w:p w14:paraId="47533986" w14:textId="46F67D92" w:rsidR="00583268" w:rsidRPr="00AB7777" w:rsidRDefault="00583268" w:rsidP="00112F6B">
      <w:pPr>
        <w:autoSpaceDE w:val="0"/>
        <w:autoSpaceDN w:val="0"/>
        <w:adjustRightInd w:val="0"/>
        <w:jc w:val="both"/>
        <w:rPr>
          <w:sz w:val="22"/>
          <w:szCs w:val="22"/>
        </w:rPr>
      </w:pPr>
      <w:r w:rsidRPr="00AB7777">
        <w:rPr>
          <w:sz w:val="22"/>
          <w:szCs w:val="22"/>
          <w:lang w:val="es-ES_tradnl"/>
        </w:rPr>
        <w:t>Vistos los preceptos legales de aplicación, este Órgano Foral de Recursos Contractuales emite la siguiente</w:t>
      </w:r>
    </w:p>
    <w:p w14:paraId="5ED2B3B4" w14:textId="77777777" w:rsidR="00551346" w:rsidRDefault="00551346" w:rsidP="0016554C">
      <w:pPr>
        <w:pStyle w:val="Textoindependiente"/>
        <w:spacing w:after="240"/>
        <w:jc w:val="center"/>
        <w:rPr>
          <w:rFonts w:ascii="Times New Roman" w:hAnsi="Times New Roman"/>
          <w:b/>
          <w:sz w:val="22"/>
          <w:szCs w:val="22"/>
          <w:u w:val="single"/>
        </w:rPr>
      </w:pPr>
    </w:p>
    <w:p w14:paraId="5CF829D8" w14:textId="77777777" w:rsidR="002D1668" w:rsidRDefault="002D1668" w:rsidP="0016554C">
      <w:pPr>
        <w:pStyle w:val="Textoindependiente"/>
        <w:spacing w:after="240"/>
        <w:jc w:val="center"/>
        <w:rPr>
          <w:rFonts w:ascii="Times New Roman" w:hAnsi="Times New Roman"/>
          <w:b/>
          <w:sz w:val="22"/>
          <w:szCs w:val="22"/>
          <w:u w:val="single"/>
        </w:rPr>
      </w:pPr>
    </w:p>
    <w:p w14:paraId="26162295" w14:textId="77777777" w:rsidR="007A73E3" w:rsidRDefault="007A73E3" w:rsidP="0016554C">
      <w:pPr>
        <w:pStyle w:val="Textoindependiente"/>
        <w:spacing w:after="240"/>
        <w:jc w:val="center"/>
        <w:rPr>
          <w:rFonts w:ascii="Times New Roman" w:hAnsi="Times New Roman"/>
          <w:b/>
          <w:sz w:val="22"/>
          <w:szCs w:val="22"/>
          <w:u w:val="single"/>
        </w:rPr>
      </w:pPr>
    </w:p>
    <w:p w14:paraId="5444DB0E" w14:textId="53BA1DCD" w:rsidR="00020C36" w:rsidRDefault="00020C36" w:rsidP="0016554C">
      <w:pPr>
        <w:pStyle w:val="Textoindependiente"/>
        <w:spacing w:after="240"/>
        <w:jc w:val="center"/>
        <w:rPr>
          <w:rFonts w:ascii="Times New Roman" w:hAnsi="Times New Roman"/>
          <w:b/>
          <w:sz w:val="22"/>
          <w:szCs w:val="22"/>
          <w:u w:val="single"/>
        </w:rPr>
      </w:pPr>
      <w:r w:rsidRPr="0010018F">
        <w:rPr>
          <w:rFonts w:ascii="Times New Roman" w:hAnsi="Times New Roman"/>
          <w:b/>
          <w:sz w:val="22"/>
          <w:szCs w:val="22"/>
          <w:u w:val="single"/>
        </w:rPr>
        <w:t>RESOLUCIÓN</w:t>
      </w:r>
    </w:p>
    <w:p w14:paraId="4F2D820E" w14:textId="77777777" w:rsidR="00990E5E" w:rsidRPr="0010018F" w:rsidRDefault="00990E5E" w:rsidP="0016554C">
      <w:pPr>
        <w:pStyle w:val="Textoindependiente"/>
        <w:spacing w:after="240"/>
        <w:jc w:val="center"/>
        <w:rPr>
          <w:rFonts w:ascii="Times New Roman" w:hAnsi="Times New Roman"/>
          <w:b/>
          <w:sz w:val="22"/>
          <w:szCs w:val="22"/>
          <w:u w:val="single"/>
        </w:rPr>
      </w:pPr>
    </w:p>
    <w:p w14:paraId="0B0D0100" w14:textId="1034118E" w:rsidR="00112F6B" w:rsidRPr="002C5D0E" w:rsidRDefault="00583268" w:rsidP="00B215CC">
      <w:pPr>
        <w:tabs>
          <w:tab w:val="left" w:pos="3261"/>
        </w:tabs>
        <w:spacing w:after="240"/>
        <w:jc w:val="both"/>
        <w:rPr>
          <w:bCs/>
          <w:color w:val="FF0000"/>
          <w:sz w:val="22"/>
          <w:szCs w:val="22"/>
          <w:lang w:val="es-ES_tradnl"/>
        </w:rPr>
      </w:pPr>
      <w:r w:rsidRPr="00112F6B">
        <w:rPr>
          <w:b/>
          <w:sz w:val="22"/>
          <w:szCs w:val="22"/>
          <w:lang w:val="es-ES_tradnl"/>
        </w:rPr>
        <w:t>PRIMERO.</w:t>
      </w:r>
      <w:r w:rsidRPr="00112F6B">
        <w:rPr>
          <w:bCs/>
          <w:sz w:val="22"/>
          <w:szCs w:val="22"/>
          <w:lang w:val="es-ES_tradnl"/>
        </w:rPr>
        <w:t xml:space="preserve"> -</w:t>
      </w:r>
      <w:r w:rsidRPr="00112F6B">
        <w:rPr>
          <w:b/>
          <w:sz w:val="22"/>
          <w:szCs w:val="22"/>
          <w:lang w:val="es-ES_tradnl"/>
        </w:rPr>
        <w:t xml:space="preserve"> </w:t>
      </w:r>
      <w:r w:rsidR="0014642A" w:rsidRPr="00A500A6">
        <w:rPr>
          <w:bCs/>
          <w:sz w:val="22"/>
          <w:szCs w:val="22"/>
          <w:lang w:val="es-ES_tradnl"/>
        </w:rPr>
        <w:t>Desestimar</w:t>
      </w:r>
      <w:r w:rsidRPr="00A500A6">
        <w:rPr>
          <w:bCs/>
          <w:sz w:val="22"/>
          <w:szCs w:val="22"/>
          <w:lang w:val="es-ES_tradnl"/>
        </w:rPr>
        <w:t xml:space="preserve"> </w:t>
      </w:r>
      <w:r w:rsidR="00F33D99" w:rsidRPr="00A500A6">
        <w:rPr>
          <w:bCs/>
          <w:sz w:val="22"/>
          <w:szCs w:val="22"/>
          <w:lang w:val="es-ES_tradnl"/>
        </w:rPr>
        <w:t>los</w:t>
      </w:r>
      <w:r w:rsidRPr="002C5D0E">
        <w:rPr>
          <w:bCs/>
          <w:sz w:val="22"/>
          <w:szCs w:val="22"/>
          <w:lang w:val="es-ES_tradnl"/>
        </w:rPr>
        <w:t xml:space="preserve"> </w:t>
      </w:r>
      <w:r w:rsidR="002C5D0E" w:rsidRPr="002C5D0E">
        <w:rPr>
          <w:bCs/>
          <w:sz w:val="22"/>
          <w:szCs w:val="22"/>
          <w:lang w:val="es-ES_tradnl"/>
        </w:rPr>
        <w:t>Recursos Especiales</w:t>
      </w:r>
      <w:r w:rsidR="00D03FDC">
        <w:rPr>
          <w:bCs/>
          <w:sz w:val="22"/>
          <w:szCs w:val="22"/>
          <w:lang w:val="es-ES_tradnl"/>
        </w:rPr>
        <w:t xml:space="preserve"> </w:t>
      </w:r>
      <w:r w:rsidR="00D03FDC" w:rsidRPr="00D03FDC">
        <w:rPr>
          <w:bCs/>
          <w:sz w:val="22"/>
          <w:szCs w:val="22"/>
          <w:lang w:val="es-ES_tradnl"/>
        </w:rPr>
        <w:t>1</w:t>
      </w:r>
      <w:r w:rsidR="00D03FDC">
        <w:rPr>
          <w:bCs/>
          <w:sz w:val="22"/>
          <w:szCs w:val="22"/>
          <w:lang w:val="es-ES_tradnl"/>
        </w:rPr>
        <w:t>6</w:t>
      </w:r>
      <w:r w:rsidR="00D03FDC" w:rsidRPr="00D03FDC">
        <w:rPr>
          <w:bCs/>
          <w:sz w:val="22"/>
          <w:szCs w:val="22"/>
          <w:lang w:val="es-ES_tradnl"/>
        </w:rPr>
        <w:t>/25-RE</w:t>
      </w:r>
      <w:r w:rsidR="00D03FDC">
        <w:rPr>
          <w:bCs/>
          <w:sz w:val="22"/>
          <w:szCs w:val="22"/>
          <w:lang w:val="es-ES_tradnl"/>
        </w:rPr>
        <w:t xml:space="preserve"> y</w:t>
      </w:r>
      <w:r w:rsidR="002C5D0E" w:rsidRPr="002C5D0E">
        <w:rPr>
          <w:bCs/>
          <w:sz w:val="22"/>
          <w:szCs w:val="22"/>
          <w:lang w:val="es-ES_tradnl"/>
        </w:rPr>
        <w:t xml:space="preserve"> </w:t>
      </w:r>
      <w:r w:rsidR="00D03FDC" w:rsidRPr="00D03FDC">
        <w:rPr>
          <w:bCs/>
          <w:sz w:val="22"/>
          <w:szCs w:val="22"/>
          <w:lang w:val="es-ES_tradnl"/>
        </w:rPr>
        <w:t xml:space="preserve">17/25-RE </w:t>
      </w:r>
      <w:r w:rsidR="002C5D0E" w:rsidRPr="002C5D0E">
        <w:rPr>
          <w:bCs/>
          <w:sz w:val="22"/>
          <w:szCs w:val="22"/>
          <w:lang w:val="es-ES_tradnl"/>
        </w:rPr>
        <w:t>de CYBERTIX SIMULATION TECHNOLOGIES, S.L. contra su exclusión y la posterior declaración de desierto del procedimiento de contratación “Formación en ciberseguridad para Diputación Foral de Álava y el Sector Público Foral” (</w:t>
      </w:r>
      <w:proofErr w:type="spellStart"/>
      <w:r w:rsidR="002C5D0E" w:rsidRPr="002C5D0E">
        <w:rPr>
          <w:bCs/>
          <w:sz w:val="22"/>
          <w:szCs w:val="22"/>
          <w:lang w:val="es-ES_tradnl"/>
        </w:rPr>
        <w:t>expte</w:t>
      </w:r>
      <w:proofErr w:type="spellEnd"/>
      <w:r w:rsidR="002C5D0E" w:rsidRPr="002C5D0E">
        <w:rPr>
          <w:bCs/>
          <w:sz w:val="22"/>
          <w:szCs w:val="22"/>
          <w:lang w:val="es-ES_tradnl"/>
        </w:rPr>
        <w:t xml:space="preserve"> 2025006).</w:t>
      </w:r>
    </w:p>
    <w:p w14:paraId="0CEC08FD" w14:textId="09F40FC0" w:rsidR="0099149B" w:rsidRPr="001846C4" w:rsidRDefault="0099149B" w:rsidP="00B215CC">
      <w:pPr>
        <w:tabs>
          <w:tab w:val="left" w:pos="3261"/>
        </w:tabs>
        <w:spacing w:after="240"/>
        <w:jc w:val="both"/>
        <w:rPr>
          <w:bCs/>
          <w:sz w:val="22"/>
          <w:szCs w:val="22"/>
          <w:lang w:val="es-ES_tradnl"/>
        </w:rPr>
      </w:pPr>
      <w:r w:rsidRPr="00952181">
        <w:rPr>
          <w:b/>
          <w:sz w:val="22"/>
          <w:szCs w:val="22"/>
          <w:lang w:val="es-ES_tradnl"/>
        </w:rPr>
        <w:t>SEGUNDO. -</w:t>
      </w:r>
      <w:r w:rsidRPr="0099149B">
        <w:rPr>
          <w:bCs/>
          <w:sz w:val="22"/>
          <w:szCs w:val="22"/>
          <w:lang w:val="es-ES_tradnl"/>
        </w:rPr>
        <w:t xml:space="preserve"> Levantar la suspensión acordada por Resolución </w:t>
      </w:r>
      <w:r w:rsidR="002C5D0E">
        <w:rPr>
          <w:bCs/>
          <w:sz w:val="22"/>
          <w:szCs w:val="22"/>
          <w:lang w:val="es-ES_tradnl"/>
        </w:rPr>
        <w:t>24</w:t>
      </w:r>
      <w:r w:rsidRPr="0099149B">
        <w:rPr>
          <w:bCs/>
          <w:sz w:val="22"/>
          <w:szCs w:val="22"/>
          <w:lang w:val="es-ES_tradnl"/>
        </w:rPr>
        <w:t xml:space="preserve">/2025, de </w:t>
      </w:r>
      <w:r w:rsidR="002C5D0E">
        <w:rPr>
          <w:bCs/>
          <w:sz w:val="22"/>
          <w:szCs w:val="22"/>
          <w:lang w:val="es-ES_tradnl"/>
        </w:rPr>
        <w:t>30</w:t>
      </w:r>
      <w:r w:rsidRPr="0099149B">
        <w:rPr>
          <w:bCs/>
          <w:sz w:val="22"/>
          <w:szCs w:val="22"/>
          <w:lang w:val="es-ES_tradnl"/>
        </w:rPr>
        <w:t xml:space="preserve"> de </w:t>
      </w:r>
      <w:r w:rsidR="00952181">
        <w:rPr>
          <w:bCs/>
          <w:sz w:val="22"/>
          <w:szCs w:val="22"/>
          <w:lang w:val="es-ES_tradnl"/>
        </w:rPr>
        <w:t>ju</w:t>
      </w:r>
      <w:r w:rsidR="002C5D0E">
        <w:rPr>
          <w:bCs/>
          <w:sz w:val="22"/>
          <w:szCs w:val="22"/>
          <w:lang w:val="es-ES_tradnl"/>
        </w:rPr>
        <w:t>l</w:t>
      </w:r>
      <w:r w:rsidR="00952181">
        <w:rPr>
          <w:bCs/>
          <w:sz w:val="22"/>
          <w:szCs w:val="22"/>
          <w:lang w:val="es-ES_tradnl"/>
        </w:rPr>
        <w:t>io</w:t>
      </w:r>
      <w:r w:rsidRPr="0099149B">
        <w:rPr>
          <w:bCs/>
          <w:sz w:val="22"/>
          <w:szCs w:val="22"/>
          <w:lang w:val="es-ES_tradnl"/>
        </w:rPr>
        <w:t>.</w:t>
      </w:r>
    </w:p>
    <w:p w14:paraId="562176EC" w14:textId="77777777" w:rsidR="00583268" w:rsidRPr="0010018F" w:rsidRDefault="0099149B" w:rsidP="0016554C">
      <w:pPr>
        <w:spacing w:after="240" w:line="276" w:lineRule="auto"/>
        <w:jc w:val="both"/>
        <w:rPr>
          <w:sz w:val="22"/>
          <w:szCs w:val="22"/>
          <w:lang w:val="es-ES_tradnl"/>
        </w:rPr>
      </w:pPr>
      <w:r>
        <w:rPr>
          <w:b/>
          <w:sz w:val="22"/>
          <w:szCs w:val="22"/>
          <w:lang w:val="es-ES_tradnl"/>
        </w:rPr>
        <w:t>TERCERO</w:t>
      </w:r>
      <w:r w:rsidR="00583268" w:rsidRPr="0010018F">
        <w:rPr>
          <w:sz w:val="22"/>
          <w:szCs w:val="22"/>
          <w:lang w:val="es-ES_tradnl"/>
        </w:rPr>
        <w:t>. - Declarar que no se aprecia la concurrencia de mala fe o temeridad en la interposición de</w:t>
      </w:r>
      <w:r w:rsidR="00A65391">
        <w:rPr>
          <w:sz w:val="22"/>
          <w:szCs w:val="22"/>
          <w:lang w:val="es-ES_tradnl"/>
        </w:rPr>
        <w:t xml:space="preserve"> </w:t>
      </w:r>
      <w:r w:rsidR="00583268" w:rsidRPr="0010018F">
        <w:rPr>
          <w:sz w:val="22"/>
          <w:szCs w:val="22"/>
          <w:lang w:val="es-ES_tradnl"/>
        </w:rPr>
        <w:t>l</w:t>
      </w:r>
      <w:r w:rsidR="00A65391">
        <w:rPr>
          <w:sz w:val="22"/>
          <w:szCs w:val="22"/>
          <w:lang w:val="es-ES_tradnl"/>
        </w:rPr>
        <w:t>os</w:t>
      </w:r>
      <w:r w:rsidR="00583268" w:rsidRPr="0010018F">
        <w:rPr>
          <w:sz w:val="22"/>
          <w:szCs w:val="22"/>
          <w:lang w:val="es-ES_tradnl"/>
        </w:rPr>
        <w:t xml:space="preserve"> recurso</w:t>
      </w:r>
      <w:r w:rsidR="00A65391">
        <w:rPr>
          <w:sz w:val="22"/>
          <w:szCs w:val="22"/>
          <w:lang w:val="es-ES_tradnl"/>
        </w:rPr>
        <w:t>s</w:t>
      </w:r>
      <w:r w:rsidR="00583268" w:rsidRPr="0010018F">
        <w:rPr>
          <w:sz w:val="22"/>
          <w:szCs w:val="22"/>
          <w:lang w:val="es-ES_tradnl"/>
        </w:rPr>
        <w:t xml:space="preserve">, por lo que no procede la imposición de sanción prevista en el artículo 58.2 de la LCSP. </w:t>
      </w:r>
    </w:p>
    <w:p w14:paraId="5CDC3198" w14:textId="77777777" w:rsidR="00583268" w:rsidRDefault="00583268" w:rsidP="0016554C">
      <w:pPr>
        <w:spacing w:after="240" w:line="276" w:lineRule="auto"/>
        <w:jc w:val="both"/>
        <w:rPr>
          <w:sz w:val="22"/>
          <w:szCs w:val="22"/>
          <w:lang w:val="es-ES_tradnl"/>
        </w:rPr>
      </w:pPr>
      <w:r w:rsidRPr="0010018F">
        <w:rPr>
          <w:sz w:val="22"/>
          <w:szCs w:val="22"/>
          <w:lang w:val="es-ES_tradnl"/>
        </w:rPr>
        <w:t xml:space="preserve">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 </w:t>
      </w:r>
    </w:p>
    <w:p w14:paraId="4D1AB766" w14:textId="77777777" w:rsidR="000D5499" w:rsidRDefault="000D5499" w:rsidP="0016554C">
      <w:pPr>
        <w:spacing w:after="240" w:line="276" w:lineRule="auto"/>
        <w:jc w:val="both"/>
        <w:rPr>
          <w:sz w:val="22"/>
          <w:szCs w:val="22"/>
          <w:lang w:val="es-ES_tradnl"/>
        </w:rPr>
      </w:pPr>
    </w:p>
    <w:p w14:paraId="2CF0269A" w14:textId="77777777" w:rsidR="002D1668" w:rsidRDefault="002D1668" w:rsidP="0016554C">
      <w:pPr>
        <w:spacing w:after="240" w:line="276" w:lineRule="auto"/>
        <w:jc w:val="both"/>
        <w:rPr>
          <w:sz w:val="22"/>
          <w:szCs w:val="22"/>
          <w:lang w:val="es-ES_tradnl"/>
        </w:rPr>
      </w:pPr>
    </w:p>
    <w:p w14:paraId="53E4EC8F" w14:textId="77777777" w:rsidR="006E6663" w:rsidRPr="0010018F" w:rsidRDefault="006E6663" w:rsidP="0016554C">
      <w:pPr>
        <w:spacing w:after="240" w:line="276" w:lineRule="auto"/>
        <w:jc w:val="both"/>
        <w:rPr>
          <w:sz w:val="22"/>
          <w:szCs w:val="22"/>
          <w:lang w:val="es-ES_tradnl"/>
        </w:rPr>
      </w:pPr>
    </w:p>
    <w:sectPr w:rsidR="006E6663" w:rsidRPr="0010018F">
      <w:headerReference w:type="default" r:id="rId11"/>
      <w:footerReference w:type="even" r:id="rId12"/>
      <w:footerReference w:type="default" r:id="rId13"/>
      <w:headerReference w:type="first" r:id="rId14"/>
      <w:footerReference w:type="first" r:id="rId15"/>
      <w:pgSz w:w="11906" w:h="16838" w:code="9"/>
      <w:pgMar w:top="141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82D49" w14:textId="77777777" w:rsidR="001C1F9E" w:rsidRDefault="001C1F9E">
      <w:r>
        <w:separator/>
      </w:r>
    </w:p>
  </w:endnote>
  <w:endnote w:type="continuationSeparator" w:id="0">
    <w:p w14:paraId="28E47A80" w14:textId="77777777" w:rsidR="001C1F9E" w:rsidRDefault="001C1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632B"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7A2DDA" w14:textId="77777777" w:rsidR="000A14FE" w:rsidRDefault="000A14F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19AB"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00F29">
      <w:rPr>
        <w:rStyle w:val="Nmerodepgina"/>
        <w:noProof/>
      </w:rPr>
      <w:t>4</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p w14:paraId="11C77005" w14:textId="77777777" w:rsidR="000A14FE" w:rsidRDefault="000A14F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EEE1" w14:textId="77777777" w:rsidR="000A14FE" w:rsidRDefault="000A14FE">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200F29">
      <w:rPr>
        <w:rStyle w:val="Nmerodepgina"/>
        <w:noProof/>
      </w:rPr>
      <w:t>1</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91211" w14:textId="77777777" w:rsidR="001C1F9E" w:rsidRDefault="001C1F9E">
      <w:r>
        <w:separator/>
      </w:r>
    </w:p>
  </w:footnote>
  <w:footnote w:type="continuationSeparator" w:id="0">
    <w:p w14:paraId="7C076842" w14:textId="77777777" w:rsidR="001C1F9E" w:rsidRDefault="001C1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A14FE" w14:paraId="34E67231" w14:textId="77777777">
      <w:trPr>
        <w:cantSplit/>
        <w:trHeight w:val="338"/>
      </w:trPr>
      <w:tc>
        <w:tcPr>
          <w:tcW w:w="3856" w:type="dxa"/>
        </w:tcPr>
        <w:p w14:paraId="06376F39" w14:textId="77777777" w:rsidR="000A14FE" w:rsidRDefault="000A14FE">
          <w:pPr>
            <w:pStyle w:val="Encabezado"/>
          </w:pPr>
        </w:p>
      </w:tc>
      <w:tc>
        <w:tcPr>
          <w:tcW w:w="1361" w:type="dxa"/>
          <w:vMerge w:val="restart"/>
        </w:tcPr>
        <w:p w14:paraId="17B281D3" w14:textId="3D96C4ED" w:rsidR="000A14FE" w:rsidRDefault="002735C5">
          <w:pPr>
            <w:pStyle w:val="Encabezado"/>
            <w:jc w:val="center"/>
          </w:pPr>
          <w:r>
            <w:rPr>
              <w:noProof/>
            </w:rPr>
            <w:drawing>
              <wp:inline distT="0" distB="0" distL="0" distR="0" wp14:anchorId="61FF38A7" wp14:editId="046BFB5D">
                <wp:extent cx="428625" cy="428625"/>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62B4442" w14:textId="77777777" w:rsidR="000A14FE" w:rsidRDefault="000A14FE">
          <w:pPr>
            <w:pStyle w:val="Encabezado"/>
          </w:pPr>
        </w:p>
      </w:tc>
    </w:tr>
    <w:tr w:rsidR="000A14FE" w14:paraId="6406862B" w14:textId="77777777">
      <w:trPr>
        <w:cantSplit/>
        <w:trHeight w:val="337"/>
      </w:trPr>
      <w:tc>
        <w:tcPr>
          <w:tcW w:w="3856" w:type="dxa"/>
        </w:tcPr>
        <w:p w14:paraId="07B78FF4" w14:textId="77777777" w:rsidR="000A14FE" w:rsidRDefault="000A14FE">
          <w:pPr>
            <w:pStyle w:val="Encabezado"/>
          </w:pPr>
        </w:p>
      </w:tc>
      <w:tc>
        <w:tcPr>
          <w:tcW w:w="1361" w:type="dxa"/>
          <w:vMerge/>
        </w:tcPr>
        <w:p w14:paraId="281A486D" w14:textId="77777777" w:rsidR="000A14FE" w:rsidRDefault="000A14FE">
          <w:pPr>
            <w:pStyle w:val="Encabezado"/>
            <w:jc w:val="center"/>
          </w:pPr>
        </w:p>
      </w:tc>
      <w:tc>
        <w:tcPr>
          <w:tcW w:w="3856" w:type="dxa"/>
        </w:tcPr>
        <w:p w14:paraId="13594DB3" w14:textId="77777777" w:rsidR="000A14FE" w:rsidRDefault="000A14FE">
          <w:pPr>
            <w:pStyle w:val="Encabezado"/>
          </w:pPr>
        </w:p>
      </w:tc>
    </w:tr>
  </w:tbl>
  <w:p w14:paraId="69561E06" w14:textId="77777777" w:rsidR="000A14FE" w:rsidRDefault="000A14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1" w:type="dxa"/>
      <w:tblLayout w:type="fixed"/>
      <w:tblCellMar>
        <w:left w:w="70" w:type="dxa"/>
        <w:right w:w="70" w:type="dxa"/>
      </w:tblCellMar>
      <w:tblLook w:val="0000" w:firstRow="0" w:lastRow="0" w:firstColumn="0" w:lastColumn="0" w:noHBand="0" w:noVBand="0"/>
    </w:tblPr>
    <w:tblGrid>
      <w:gridCol w:w="5173"/>
      <w:gridCol w:w="4678"/>
    </w:tblGrid>
    <w:tr w:rsidR="000A14FE" w14:paraId="2CD282A2" w14:textId="77777777" w:rsidTr="00583268">
      <w:tc>
        <w:tcPr>
          <w:tcW w:w="5173" w:type="dxa"/>
        </w:tcPr>
        <w:p w14:paraId="3000952E" w14:textId="4CA810F5" w:rsidR="000A14FE" w:rsidRDefault="002735C5">
          <w:pPr>
            <w:pStyle w:val="Encabezado"/>
            <w:spacing w:after="720"/>
            <w:ind w:left="74" w:right="360"/>
            <w:rPr>
              <w:noProof/>
              <w:sz w:val="16"/>
            </w:rPr>
          </w:pPr>
          <w:r>
            <w:rPr>
              <w:noProof/>
              <w:sz w:val="20"/>
            </w:rPr>
            <w:drawing>
              <wp:inline distT="0" distB="0" distL="0" distR="0" wp14:anchorId="172D5701" wp14:editId="16BF86EE">
                <wp:extent cx="2076450" cy="71437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14375"/>
                        </a:xfrm>
                        <a:prstGeom prst="rect">
                          <a:avLst/>
                        </a:prstGeom>
                        <a:noFill/>
                        <a:ln>
                          <a:noFill/>
                        </a:ln>
                      </pic:spPr>
                    </pic:pic>
                  </a:graphicData>
                </a:graphic>
              </wp:inline>
            </w:drawing>
          </w:r>
        </w:p>
        <w:p w14:paraId="2167D2AA" w14:textId="77777777" w:rsidR="000A14FE" w:rsidRDefault="000A14FE">
          <w:pPr>
            <w:pStyle w:val="Encabezado"/>
            <w:ind w:left="1064"/>
            <w:rPr>
              <w:noProof/>
              <w:sz w:val="16"/>
            </w:rPr>
          </w:pPr>
        </w:p>
      </w:tc>
      <w:tc>
        <w:tcPr>
          <w:tcW w:w="4678" w:type="dxa"/>
        </w:tcPr>
        <w:p w14:paraId="27098C24" w14:textId="77777777" w:rsidR="000A14FE" w:rsidRDefault="000A14FE">
          <w:pPr>
            <w:pStyle w:val="Encabezado"/>
            <w:spacing w:after="40" w:line="240" w:lineRule="exact"/>
            <w:ind w:left="-68"/>
            <w:rPr>
              <w:b/>
              <w:noProof/>
              <w:sz w:val="18"/>
            </w:rPr>
          </w:pPr>
        </w:p>
        <w:p w14:paraId="34520663" w14:textId="77777777" w:rsidR="000A14FE" w:rsidRDefault="000A14FE">
          <w:pPr>
            <w:pStyle w:val="Encabezado"/>
            <w:spacing w:after="40" w:line="240" w:lineRule="exact"/>
            <w:ind w:left="-68"/>
            <w:rPr>
              <w:b/>
              <w:noProof/>
              <w:sz w:val="18"/>
            </w:rPr>
          </w:pPr>
        </w:p>
        <w:p w14:paraId="49CBDE7A" w14:textId="77777777" w:rsidR="000A14FE" w:rsidRDefault="000A14FE">
          <w:pPr>
            <w:pStyle w:val="Encabezado"/>
            <w:spacing w:after="60" w:line="190" w:lineRule="exact"/>
            <w:ind w:left="-70"/>
            <w:rPr>
              <w:noProof/>
              <w:sz w:val="18"/>
            </w:rPr>
          </w:pPr>
          <w:r>
            <w:rPr>
              <w:b/>
              <w:noProof/>
              <w:sz w:val="18"/>
            </w:rPr>
            <w:t>Kontratu Errekurtsoen Foru Organo Administriboa</w:t>
          </w:r>
        </w:p>
        <w:p w14:paraId="2D22D858" w14:textId="77777777" w:rsidR="000A14FE" w:rsidRDefault="000A14FE">
          <w:pPr>
            <w:pStyle w:val="Encabezado"/>
            <w:spacing w:after="60" w:line="190" w:lineRule="exact"/>
            <w:ind w:left="-70"/>
            <w:rPr>
              <w:b/>
              <w:noProof/>
              <w:sz w:val="18"/>
            </w:rPr>
          </w:pPr>
          <w:r>
            <w:rPr>
              <w:b/>
              <w:noProof/>
              <w:sz w:val="18"/>
            </w:rPr>
            <w:t xml:space="preserve">Organo Administrativo Foral de Recursos Contractuales </w:t>
          </w:r>
        </w:p>
      </w:tc>
    </w:tr>
  </w:tbl>
  <w:p w14:paraId="22EA5273" w14:textId="77777777" w:rsidR="000A14FE" w:rsidRDefault="000A14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FFFFFFF">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27869"/>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AB4BE1"/>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0BC544BF"/>
    <w:multiLevelType w:val="hybridMultilevel"/>
    <w:tmpl w:val="3B7EE016"/>
    <w:lvl w:ilvl="0" w:tplc="2DD238C8">
      <w:start w:val="1"/>
      <w:numFmt w:val="lowerRoman"/>
      <w:lvlText w:val="(%1)"/>
      <w:lvlJc w:val="left"/>
      <w:pPr>
        <w:ind w:left="1341" w:hanging="720"/>
      </w:pPr>
      <w:rPr>
        <w:rFonts w:hint="default"/>
        <w:color w:val="auto"/>
      </w:rPr>
    </w:lvl>
    <w:lvl w:ilvl="1" w:tplc="0C0A0019" w:tentative="1">
      <w:start w:val="1"/>
      <w:numFmt w:val="lowerLetter"/>
      <w:lvlText w:val="%2."/>
      <w:lvlJc w:val="left"/>
      <w:pPr>
        <w:ind w:left="1701" w:hanging="360"/>
      </w:pPr>
    </w:lvl>
    <w:lvl w:ilvl="2" w:tplc="0C0A001B" w:tentative="1">
      <w:start w:val="1"/>
      <w:numFmt w:val="lowerRoman"/>
      <w:lvlText w:val="%3."/>
      <w:lvlJc w:val="right"/>
      <w:pPr>
        <w:ind w:left="2421" w:hanging="180"/>
      </w:pPr>
    </w:lvl>
    <w:lvl w:ilvl="3" w:tplc="0C0A000F" w:tentative="1">
      <w:start w:val="1"/>
      <w:numFmt w:val="decimal"/>
      <w:lvlText w:val="%4."/>
      <w:lvlJc w:val="left"/>
      <w:pPr>
        <w:ind w:left="3141" w:hanging="360"/>
      </w:pPr>
    </w:lvl>
    <w:lvl w:ilvl="4" w:tplc="0C0A0019" w:tentative="1">
      <w:start w:val="1"/>
      <w:numFmt w:val="lowerLetter"/>
      <w:lvlText w:val="%5."/>
      <w:lvlJc w:val="left"/>
      <w:pPr>
        <w:ind w:left="3861" w:hanging="360"/>
      </w:pPr>
    </w:lvl>
    <w:lvl w:ilvl="5" w:tplc="0C0A001B" w:tentative="1">
      <w:start w:val="1"/>
      <w:numFmt w:val="lowerRoman"/>
      <w:lvlText w:val="%6."/>
      <w:lvlJc w:val="right"/>
      <w:pPr>
        <w:ind w:left="4581" w:hanging="180"/>
      </w:pPr>
    </w:lvl>
    <w:lvl w:ilvl="6" w:tplc="0C0A000F" w:tentative="1">
      <w:start w:val="1"/>
      <w:numFmt w:val="decimal"/>
      <w:lvlText w:val="%7."/>
      <w:lvlJc w:val="left"/>
      <w:pPr>
        <w:ind w:left="5301" w:hanging="360"/>
      </w:pPr>
    </w:lvl>
    <w:lvl w:ilvl="7" w:tplc="0C0A0019" w:tentative="1">
      <w:start w:val="1"/>
      <w:numFmt w:val="lowerLetter"/>
      <w:lvlText w:val="%8."/>
      <w:lvlJc w:val="left"/>
      <w:pPr>
        <w:ind w:left="6021" w:hanging="360"/>
      </w:pPr>
    </w:lvl>
    <w:lvl w:ilvl="8" w:tplc="0C0A001B" w:tentative="1">
      <w:start w:val="1"/>
      <w:numFmt w:val="lowerRoman"/>
      <w:lvlText w:val="%9."/>
      <w:lvlJc w:val="right"/>
      <w:pPr>
        <w:ind w:left="6741" w:hanging="180"/>
      </w:pPr>
    </w:lvl>
  </w:abstractNum>
  <w:abstractNum w:abstractNumId="4" w15:restartNumberingAfterBreak="0">
    <w:nsid w:val="1D126A41"/>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41555F"/>
    <w:multiLevelType w:val="hybridMultilevel"/>
    <w:tmpl w:val="3E6E5640"/>
    <w:lvl w:ilvl="0" w:tplc="DF2638C4">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BB32944"/>
    <w:multiLevelType w:val="hybridMultilevel"/>
    <w:tmpl w:val="0BAC2E8C"/>
    <w:lvl w:ilvl="0" w:tplc="266663E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E92692"/>
    <w:multiLevelType w:val="hybridMultilevel"/>
    <w:tmpl w:val="12B860C4"/>
    <w:lvl w:ilvl="0" w:tplc="A7B2D7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DAE2F64"/>
    <w:multiLevelType w:val="singleLevel"/>
    <w:tmpl w:val="0C0A0017"/>
    <w:lvl w:ilvl="0">
      <w:start w:val="1"/>
      <w:numFmt w:val="lowerLetter"/>
      <w:lvlText w:val="%1)"/>
      <w:lvlJc w:val="left"/>
      <w:pPr>
        <w:tabs>
          <w:tab w:val="num" w:pos="360"/>
        </w:tabs>
        <w:ind w:left="360" w:hanging="360"/>
      </w:pPr>
      <w:rPr>
        <w:rFonts w:hint="default"/>
        <w:i w:val="0"/>
      </w:rPr>
    </w:lvl>
  </w:abstractNum>
  <w:abstractNum w:abstractNumId="9" w15:restartNumberingAfterBreak="0">
    <w:nsid w:val="2EDA23C0"/>
    <w:multiLevelType w:val="multilevel"/>
    <w:tmpl w:val="7D78DA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F5456D"/>
    <w:multiLevelType w:val="hybridMultilevel"/>
    <w:tmpl w:val="EDE86FBC"/>
    <w:lvl w:ilvl="0" w:tplc="6854EF4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4F6032"/>
    <w:multiLevelType w:val="multilevel"/>
    <w:tmpl w:val="3744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F24DE0"/>
    <w:multiLevelType w:val="singleLevel"/>
    <w:tmpl w:val="A1FA6A06"/>
    <w:lvl w:ilvl="0">
      <w:numFmt w:val="bullet"/>
      <w:lvlText w:val="-"/>
      <w:lvlJc w:val="left"/>
      <w:pPr>
        <w:tabs>
          <w:tab w:val="num" w:pos="360"/>
        </w:tabs>
        <w:ind w:left="360" w:hanging="360"/>
      </w:pPr>
      <w:rPr>
        <w:rFonts w:hint="default"/>
      </w:rPr>
    </w:lvl>
  </w:abstractNum>
  <w:abstractNum w:abstractNumId="13" w15:restartNumberingAfterBreak="0">
    <w:nsid w:val="447B63F0"/>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8221109"/>
    <w:multiLevelType w:val="singleLevel"/>
    <w:tmpl w:val="637C1540"/>
    <w:lvl w:ilvl="0">
      <w:numFmt w:val="bullet"/>
      <w:lvlText w:val="-"/>
      <w:lvlJc w:val="left"/>
      <w:pPr>
        <w:tabs>
          <w:tab w:val="num" w:pos="360"/>
        </w:tabs>
        <w:ind w:left="360" w:hanging="360"/>
      </w:pPr>
      <w:rPr>
        <w:rFonts w:hint="default"/>
      </w:rPr>
    </w:lvl>
  </w:abstractNum>
  <w:abstractNum w:abstractNumId="15" w15:restartNumberingAfterBreak="0">
    <w:nsid w:val="4B750CCB"/>
    <w:multiLevelType w:val="singleLevel"/>
    <w:tmpl w:val="0C0A000F"/>
    <w:lvl w:ilvl="0">
      <w:start w:val="1"/>
      <w:numFmt w:val="decimal"/>
      <w:lvlText w:val="%1."/>
      <w:lvlJc w:val="left"/>
      <w:pPr>
        <w:tabs>
          <w:tab w:val="num" w:pos="360"/>
        </w:tabs>
        <w:ind w:left="360" w:hanging="360"/>
      </w:pPr>
      <w:rPr>
        <w:rFonts w:hint="default"/>
      </w:rPr>
    </w:lvl>
  </w:abstractNum>
  <w:abstractNum w:abstractNumId="16" w15:restartNumberingAfterBreak="0">
    <w:nsid w:val="4D6D07E8"/>
    <w:multiLevelType w:val="singleLevel"/>
    <w:tmpl w:val="0C0A0017"/>
    <w:lvl w:ilvl="0">
      <w:start w:val="1"/>
      <w:numFmt w:val="lowerLetter"/>
      <w:lvlText w:val="%1)"/>
      <w:lvlJc w:val="left"/>
      <w:pPr>
        <w:tabs>
          <w:tab w:val="num" w:pos="360"/>
        </w:tabs>
        <w:ind w:left="360" w:hanging="360"/>
      </w:pPr>
      <w:rPr>
        <w:rFonts w:hint="default"/>
      </w:rPr>
    </w:lvl>
  </w:abstractNum>
  <w:abstractNum w:abstractNumId="17" w15:restartNumberingAfterBreak="0">
    <w:nsid w:val="5F643C8B"/>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3C253CE"/>
    <w:multiLevelType w:val="singleLevel"/>
    <w:tmpl w:val="0C0A000F"/>
    <w:lvl w:ilvl="0">
      <w:start w:val="1"/>
      <w:numFmt w:val="decimal"/>
      <w:lvlText w:val="%1."/>
      <w:lvlJc w:val="left"/>
      <w:pPr>
        <w:tabs>
          <w:tab w:val="num" w:pos="360"/>
        </w:tabs>
        <w:ind w:left="360" w:hanging="360"/>
      </w:pPr>
      <w:rPr>
        <w:rFonts w:hint="default"/>
      </w:rPr>
    </w:lvl>
  </w:abstractNum>
  <w:abstractNum w:abstractNumId="19" w15:restartNumberingAfterBreak="0">
    <w:nsid w:val="69663DF0"/>
    <w:multiLevelType w:val="hybridMultilevel"/>
    <w:tmpl w:val="E1A66280"/>
    <w:lvl w:ilvl="0" w:tplc="A7B2D74C">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0" w15:restartNumberingAfterBreak="0">
    <w:nsid w:val="6CF95CDF"/>
    <w:multiLevelType w:val="singleLevel"/>
    <w:tmpl w:val="0C0A0017"/>
    <w:lvl w:ilvl="0">
      <w:start w:val="1"/>
      <w:numFmt w:val="lowerLetter"/>
      <w:lvlText w:val="%1)"/>
      <w:lvlJc w:val="left"/>
      <w:pPr>
        <w:tabs>
          <w:tab w:val="num" w:pos="360"/>
        </w:tabs>
        <w:ind w:left="360" w:hanging="360"/>
      </w:pPr>
      <w:rPr>
        <w:rFonts w:hint="default"/>
      </w:rPr>
    </w:lvl>
  </w:abstractNum>
  <w:abstractNum w:abstractNumId="21" w15:restartNumberingAfterBreak="0">
    <w:nsid w:val="6D85505A"/>
    <w:multiLevelType w:val="singleLevel"/>
    <w:tmpl w:val="0C0A0017"/>
    <w:lvl w:ilvl="0">
      <w:start w:val="1"/>
      <w:numFmt w:val="lowerLetter"/>
      <w:lvlText w:val="%1)"/>
      <w:lvlJc w:val="left"/>
      <w:pPr>
        <w:tabs>
          <w:tab w:val="num" w:pos="360"/>
        </w:tabs>
        <w:ind w:left="360" w:hanging="360"/>
      </w:pPr>
      <w:rPr>
        <w:rFonts w:hint="default"/>
      </w:rPr>
    </w:lvl>
  </w:abstractNum>
  <w:abstractNum w:abstractNumId="22" w15:restartNumberingAfterBreak="0">
    <w:nsid w:val="714B26C4"/>
    <w:multiLevelType w:val="singleLevel"/>
    <w:tmpl w:val="0C0A000F"/>
    <w:lvl w:ilvl="0">
      <w:start w:val="1"/>
      <w:numFmt w:val="decimal"/>
      <w:lvlText w:val="%1."/>
      <w:lvlJc w:val="left"/>
      <w:pPr>
        <w:tabs>
          <w:tab w:val="num" w:pos="360"/>
        </w:tabs>
        <w:ind w:left="360" w:hanging="360"/>
      </w:pPr>
    </w:lvl>
  </w:abstractNum>
  <w:abstractNum w:abstractNumId="23" w15:restartNumberingAfterBreak="0">
    <w:nsid w:val="736D603E"/>
    <w:multiLevelType w:val="singleLevel"/>
    <w:tmpl w:val="FB9053E6"/>
    <w:lvl w:ilvl="0">
      <w:numFmt w:val="bullet"/>
      <w:lvlText w:val=""/>
      <w:lvlJc w:val="left"/>
      <w:pPr>
        <w:tabs>
          <w:tab w:val="num" w:pos="360"/>
        </w:tabs>
        <w:ind w:left="360" w:hanging="360"/>
      </w:pPr>
      <w:rPr>
        <w:rFonts w:ascii="Wingdings" w:hAnsi="Wingdings" w:hint="default"/>
      </w:rPr>
    </w:lvl>
  </w:abstractNum>
  <w:abstractNum w:abstractNumId="24" w15:restartNumberingAfterBreak="0">
    <w:nsid w:val="74D903FC"/>
    <w:multiLevelType w:val="hybridMultilevel"/>
    <w:tmpl w:val="44C234A0"/>
    <w:lvl w:ilvl="0" w:tplc="71C87364">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5" w15:restartNumberingAfterBreak="0">
    <w:nsid w:val="7C4713AE"/>
    <w:multiLevelType w:val="hybridMultilevel"/>
    <w:tmpl w:val="B1EC214E"/>
    <w:lvl w:ilvl="0" w:tplc="0ADAA2A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F9D73E7"/>
    <w:multiLevelType w:val="hybridMultilevel"/>
    <w:tmpl w:val="BBD8C9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52339432">
    <w:abstractNumId w:val="20"/>
  </w:num>
  <w:num w:numId="2" w16cid:durableId="1503816547">
    <w:abstractNumId w:val="18"/>
  </w:num>
  <w:num w:numId="3" w16cid:durableId="2060742399">
    <w:abstractNumId w:val="15"/>
  </w:num>
  <w:num w:numId="4" w16cid:durableId="2144299549">
    <w:abstractNumId w:val="2"/>
  </w:num>
  <w:num w:numId="5" w16cid:durableId="462313249">
    <w:abstractNumId w:val="8"/>
  </w:num>
  <w:num w:numId="6" w16cid:durableId="1155342504">
    <w:abstractNumId w:val="23"/>
  </w:num>
  <w:num w:numId="7" w16cid:durableId="2025744869">
    <w:abstractNumId w:val="16"/>
  </w:num>
  <w:num w:numId="8" w16cid:durableId="1229729385">
    <w:abstractNumId w:val="9"/>
  </w:num>
  <w:num w:numId="9" w16cid:durableId="965703061">
    <w:abstractNumId w:val="21"/>
  </w:num>
  <w:num w:numId="10" w16cid:durableId="528228367">
    <w:abstractNumId w:val="14"/>
  </w:num>
  <w:num w:numId="11" w16cid:durableId="414205959">
    <w:abstractNumId w:val="0"/>
  </w:num>
  <w:num w:numId="12" w16cid:durableId="24137842">
    <w:abstractNumId w:val="12"/>
  </w:num>
  <w:num w:numId="13" w16cid:durableId="1777096730">
    <w:abstractNumId w:val="13"/>
  </w:num>
  <w:num w:numId="14" w16cid:durableId="949166001">
    <w:abstractNumId w:val="4"/>
  </w:num>
  <w:num w:numId="15" w16cid:durableId="1979797637">
    <w:abstractNumId w:val="22"/>
  </w:num>
  <w:num w:numId="16" w16cid:durableId="1153183032">
    <w:abstractNumId w:val="17"/>
  </w:num>
  <w:num w:numId="17" w16cid:durableId="1720543661">
    <w:abstractNumId w:val="1"/>
  </w:num>
  <w:num w:numId="18" w16cid:durableId="1360084432">
    <w:abstractNumId w:val="7"/>
  </w:num>
  <w:num w:numId="19" w16cid:durableId="530264222">
    <w:abstractNumId w:val="19"/>
  </w:num>
  <w:num w:numId="20" w16cid:durableId="1714765976">
    <w:abstractNumId w:val="24"/>
  </w:num>
  <w:num w:numId="21" w16cid:durableId="948855324">
    <w:abstractNumId w:val="6"/>
  </w:num>
  <w:num w:numId="22" w16cid:durableId="88622995">
    <w:abstractNumId w:val="3"/>
  </w:num>
  <w:num w:numId="23" w16cid:durableId="202060682">
    <w:abstractNumId w:val="10"/>
  </w:num>
  <w:num w:numId="24" w16cid:durableId="1719472797">
    <w:abstractNumId w:val="5"/>
  </w:num>
  <w:num w:numId="25" w16cid:durableId="1449540847">
    <w:abstractNumId w:val="25"/>
  </w:num>
  <w:num w:numId="26" w16cid:durableId="1693258444">
    <w:abstractNumId w:val="26"/>
  </w:num>
  <w:num w:numId="27" w16cid:durableId="12688050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09"/>
    <w:rsid w:val="00001586"/>
    <w:rsid w:val="00003588"/>
    <w:rsid w:val="00004560"/>
    <w:rsid w:val="00020C36"/>
    <w:rsid w:val="000264DB"/>
    <w:rsid w:val="00030E45"/>
    <w:rsid w:val="00032A4F"/>
    <w:rsid w:val="00055EE7"/>
    <w:rsid w:val="0007340F"/>
    <w:rsid w:val="0007443A"/>
    <w:rsid w:val="00074605"/>
    <w:rsid w:val="0008105F"/>
    <w:rsid w:val="00085F54"/>
    <w:rsid w:val="000878CC"/>
    <w:rsid w:val="000900DE"/>
    <w:rsid w:val="000A10BD"/>
    <w:rsid w:val="000A14FE"/>
    <w:rsid w:val="000A63D4"/>
    <w:rsid w:val="000B2D57"/>
    <w:rsid w:val="000B6A48"/>
    <w:rsid w:val="000D5499"/>
    <w:rsid w:val="000E03ED"/>
    <w:rsid w:val="000E19CB"/>
    <w:rsid w:val="000E59A0"/>
    <w:rsid w:val="000F46F5"/>
    <w:rsid w:val="000F504C"/>
    <w:rsid w:val="0010018F"/>
    <w:rsid w:val="00102A21"/>
    <w:rsid w:val="001036FF"/>
    <w:rsid w:val="001117B8"/>
    <w:rsid w:val="00112014"/>
    <w:rsid w:val="00112F6B"/>
    <w:rsid w:val="00117510"/>
    <w:rsid w:val="00131AB7"/>
    <w:rsid w:val="00141ACE"/>
    <w:rsid w:val="001435DE"/>
    <w:rsid w:val="0014642A"/>
    <w:rsid w:val="001508D6"/>
    <w:rsid w:val="00160A0C"/>
    <w:rsid w:val="0016554C"/>
    <w:rsid w:val="001713A9"/>
    <w:rsid w:val="00173641"/>
    <w:rsid w:val="00174A62"/>
    <w:rsid w:val="001803B3"/>
    <w:rsid w:val="00182775"/>
    <w:rsid w:val="001846C4"/>
    <w:rsid w:val="00186D2A"/>
    <w:rsid w:val="00187C98"/>
    <w:rsid w:val="00191429"/>
    <w:rsid w:val="00197089"/>
    <w:rsid w:val="001B44D6"/>
    <w:rsid w:val="001B51DA"/>
    <w:rsid w:val="001C02E4"/>
    <w:rsid w:val="001C1A32"/>
    <w:rsid w:val="001C1F9E"/>
    <w:rsid w:val="001C3773"/>
    <w:rsid w:val="001C5FC1"/>
    <w:rsid w:val="001D16D4"/>
    <w:rsid w:val="001D438E"/>
    <w:rsid w:val="001D7331"/>
    <w:rsid w:val="001F7487"/>
    <w:rsid w:val="00200F29"/>
    <w:rsid w:val="002076BD"/>
    <w:rsid w:val="002125D8"/>
    <w:rsid w:val="00226E48"/>
    <w:rsid w:val="00236D09"/>
    <w:rsid w:val="002626FC"/>
    <w:rsid w:val="002631C7"/>
    <w:rsid w:val="0027091C"/>
    <w:rsid w:val="002735C5"/>
    <w:rsid w:val="002843FC"/>
    <w:rsid w:val="002857F6"/>
    <w:rsid w:val="002862F6"/>
    <w:rsid w:val="00293945"/>
    <w:rsid w:val="002952F2"/>
    <w:rsid w:val="002A72D4"/>
    <w:rsid w:val="002B14B7"/>
    <w:rsid w:val="002B40B8"/>
    <w:rsid w:val="002B7395"/>
    <w:rsid w:val="002C1D03"/>
    <w:rsid w:val="002C2982"/>
    <w:rsid w:val="002C2E24"/>
    <w:rsid w:val="002C5D0E"/>
    <w:rsid w:val="002C75F4"/>
    <w:rsid w:val="002D1668"/>
    <w:rsid w:val="002D323D"/>
    <w:rsid w:val="002D3F3D"/>
    <w:rsid w:val="002D52A6"/>
    <w:rsid w:val="002D5DE2"/>
    <w:rsid w:val="002D68DC"/>
    <w:rsid w:val="002D7C63"/>
    <w:rsid w:val="002E51B1"/>
    <w:rsid w:val="002F3653"/>
    <w:rsid w:val="0030461F"/>
    <w:rsid w:val="00304F0C"/>
    <w:rsid w:val="00307307"/>
    <w:rsid w:val="00307D78"/>
    <w:rsid w:val="00311C6E"/>
    <w:rsid w:val="00314C63"/>
    <w:rsid w:val="003157F3"/>
    <w:rsid w:val="00320AD1"/>
    <w:rsid w:val="00321139"/>
    <w:rsid w:val="00322C07"/>
    <w:rsid w:val="00324FC4"/>
    <w:rsid w:val="003378CF"/>
    <w:rsid w:val="00340809"/>
    <w:rsid w:val="0034263B"/>
    <w:rsid w:val="0034369E"/>
    <w:rsid w:val="00345B6D"/>
    <w:rsid w:val="0035045B"/>
    <w:rsid w:val="0035756B"/>
    <w:rsid w:val="00364A23"/>
    <w:rsid w:val="00370EB1"/>
    <w:rsid w:val="00371281"/>
    <w:rsid w:val="003752FD"/>
    <w:rsid w:val="00380EBE"/>
    <w:rsid w:val="00382DB0"/>
    <w:rsid w:val="00383547"/>
    <w:rsid w:val="0039589F"/>
    <w:rsid w:val="00396AC1"/>
    <w:rsid w:val="003A14AE"/>
    <w:rsid w:val="003A414D"/>
    <w:rsid w:val="003B1BC3"/>
    <w:rsid w:val="003C1D7C"/>
    <w:rsid w:val="003C53F9"/>
    <w:rsid w:val="003C5A9A"/>
    <w:rsid w:val="003C67FC"/>
    <w:rsid w:val="003E3D05"/>
    <w:rsid w:val="003E3E80"/>
    <w:rsid w:val="003E5CF4"/>
    <w:rsid w:val="003F201C"/>
    <w:rsid w:val="004004B2"/>
    <w:rsid w:val="00404CA0"/>
    <w:rsid w:val="00411334"/>
    <w:rsid w:val="00412DE7"/>
    <w:rsid w:val="00415334"/>
    <w:rsid w:val="00416859"/>
    <w:rsid w:val="00432752"/>
    <w:rsid w:val="004339DF"/>
    <w:rsid w:val="00434378"/>
    <w:rsid w:val="00435D81"/>
    <w:rsid w:val="00443B26"/>
    <w:rsid w:val="00444F2C"/>
    <w:rsid w:val="00446146"/>
    <w:rsid w:val="004537CE"/>
    <w:rsid w:val="00460962"/>
    <w:rsid w:val="00463C1D"/>
    <w:rsid w:val="00473134"/>
    <w:rsid w:val="00474751"/>
    <w:rsid w:val="00485172"/>
    <w:rsid w:val="004960B5"/>
    <w:rsid w:val="00497DBA"/>
    <w:rsid w:val="004A0A25"/>
    <w:rsid w:val="004B6692"/>
    <w:rsid w:val="004C11A1"/>
    <w:rsid w:val="004C279C"/>
    <w:rsid w:val="004C30C3"/>
    <w:rsid w:val="004D5137"/>
    <w:rsid w:val="004E38E9"/>
    <w:rsid w:val="004E587E"/>
    <w:rsid w:val="004E6CA5"/>
    <w:rsid w:val="004F047F"/>
    <w:rsid w:val="004F7F6A"/>
    <w:rsid w:val="00500D58"/>
    <w:rsid w:val="00503A0A"/>
    <w:rsid w:val="00513305"/>
    <w:rsid w:val="00513D34"/>
    <w:rsid w:val="0051600E"/>
    <w:rsid w:val="00517EFE"/>
    <w:rsid w:val="005207FA"/>
    <w:rsid w:val="005238CE"/>
    <w:rsid w:val="00534346"/>
    <w:rsid w:val="0053771E"/>
    <w:rsid w:val="00537D60"/>
    <w:rsid w:val="0054081E"/>
    <w:rsid w:val="00542307"/>
    <w:rsid w:val="00550FDA"/>
    <w:rsid w:val="00551346"/>
    <w:rsid w:val="0055156D"/>
    <w:rsid w:val="005524DA"/>
    <w:rsid w:val="00555744"/>
    <w:rsid w:val="005625EC"/>
    <w:rsid w:val="005661F7"/>
    <w:rsid w:val="00567472"/>
    <w:rsid w:val="00573F8B"/>
    <w:rsid w:val="00583268"/>
    <w:rsid w:val="00590871"/>
    <w:rsid w:val="0059329A"/>
    <w:rsid w:val="00595C68"/>
    <w:rsid w:val="00596174"/>
    <w:rsid w:val="00596C6E"/>
    <w:rsid w:val="005B04F6"/>
    <w:rsid w:val="005B4422"/>
    <w:rsid w:val="005B65B5"/>
    <w:rsid w:val="005B791E"/>
    <w:rsid w:val="005D76E3"/>
    <w:rsid w:val="005E0220"/>
    <w:rsid w:val="005E391F"/>
    <w:rsid w:val="005E481B"/>
    <w:rsid w:val="005F76E8"/>
    <w:rsid w:val="00602B1F"/>
    <w:rsid w:val="00602E6F"/>
    <w:rsid w:val="00610EE9"/>
    <w:rsid w:val="00612477"/>
    <w:rsid w:val="006124A7"/>
    <w:rsid w:val="006250D0"/>
    <w:rsid w:val="00625AED"/>
    <w:rsid w:val="00632A9C"/>
    <w:rsid w:val="00633D98"/>
    <w:rsid w:val="006346E4"/>
    <w:rsid w:val="00637A2A"/>
    <w:rsid w:val="00645866"/>
    <w:rsid w:val="00647BFE"/>
    <w:rsid w:val="00647DBE"/>
    <w:rsid w:val="0065106B"/>
    <w:rsid w:val="0065353A"/>
    <w:rsid w:val="00653E87"/>
    <w:rsid w:val="00657A38"/>
    <w:rsid w:val="006677E4"/>
    <w:rsid w:val="00681C06"/>
    <w:rsid w:val="0068308A"/>
    <w:rsid w:val="0068484A"/>
    <w:rsid w:val="00684E81"/>
    <w:rsid w:val="006A3676"/>
    <w:rsid w:val="006A37FB"/>
    <w:rsid w:val="006A51AF"/>
    <w:rsid w:val="006A6F14"/>
    <w:rsid w:val="006B4086"/>
    <w:rsid w:val="006C1519"/>
    <w:rsid w:val="006C5643"/>
    <w:rsid w:val="006C578F"/>
    <w:rsid w:val="006D313A"/>
    <w:rsid w:val="006D4C8A"/>
    <w:rsid w:val="006D6078"/>
    <w:rsid w:val="006E11B4"/>
    <w:rsid w:val="006E27B0"/>
    <w:rsid w:val="006E5BCB"/>
    <w:rsid w:val="006E6663"/>
    <w:rsid w:val="006F2661"/>
    <w:rsid w:val="006F2EA4"/>
    <w:rsid w:val="006F435E"/>
    <w:rsid w:val="006F4AD7"/>
    <w:rsid w:val="006F50B1"/>
    <w:rsid w:val="006F7FCB"/>
    <w:rsid w:val="007177D1"/>
    <w:rsid w:val="00721E13"/>
    <w:rsid w:val="007328F9"/>
    <w:rsid w:val="00755A33"/>
    <w:rsid w:val="0075652B"/>
    <w:rsid w:val="00760A74"/>
    <w:rsid w:val="00763CF5"/>
    <w:rsid w:val="00765290"/>
    <w:rsid w:val="00783AEC"/>
    <w:rsid w:val="007948B2"/>
    <w:rsid w:val="00797E3E"/>
    <w:rsid w:val="007A530C"/>
    <w:rsid w:val="007A73E3"/>
    <w:rsid w:val="007B7076"/>
    <w:rsid w:val="007B7497"/>
    <w:rsid w:val="007B7BB4"/>
    <w:rsid w:val="007B7E9D"/>
    <w:rsid w:val="007C7D6E"/>
    <w:rsid w:val="007D3468"/>
    <w:rsid w:val="007D7B2F"/>
    <w:rsid w:val="00801BC8"/>
    <w:rsid w:val="00810B98"/>
    <w:rsid w:val="008129D3"/>
    <w:rsid w:val="00822F42"/>
    <w:rsid w:val="00823721"/>
    <w:rsid w:val="00824657"/>
    <w:rsid w:val="00826D47"/>
    <w:rsid w:val="008307C2"/>
    <w:rsid w:val="008314A3"/>
    <w:rsid w:val="0083598D"/>
    <w:rsid w:val="00835F05"/>
    <w:rsid w:val="00841DD3"/>
    <w:rsid w:val="008522DD"/>
    <w:rsid w:val="0086101D"/>
    <w:rsid w:val="0087014B"/>
    <w:rsid w:val="008717CE"/>
    <w:rsid w:val="00882765"/>
    <w:rsid w:val="00884558"/>
    <w:rsid w:val="008915D6"/>
    <w:rsid w:val="0089229B"/>
    <w:rsid w:val="008940C7"/>
    <w:rsid w:val="008A4E16"/>
    <w:rsid w:val="008B6145"/>
    <w:rsid w:val="008C049B"/>
    <w:rsid w:val="008C3586"/>
    <w:rsid w:val="008C5BC8"/>
    <w:rsid w:val="008D2480"/>
    <w:rsid w:val="008D6A2D"/>
    <w:rsid w:val="008E47B9"/>
    <w:rsid w:val="008E5365"/>
    <w:rsid w:val="008F0ADC"/>
    <w:rsid w:val="009046D1"/>
    <w:rsid w:val="00907759"/>
    <w:rsid w:val="009150B1"/>
    <w:rsid w:val="00917112"/>
    <w:rsid w:val="00933410"/>
    <w:rsid w:val="0093665C"/>
    <w:rsid w:val="00947BC9"/>
    <w:rsid w:val="00952181"/>
    <w:rsid w:val="00966DFA"/>
    <w:rsid w:val="00967A70"/>
    <w:rsid w:val="0097150F"/>
    <w:rsid w:val="00972ADD"/>
    <w:rsid w:val="00972BB3"/>
    <w:rsid w:val="009732E6"/>
    <w:rsid w:val="009739A9"/>
    <w:rsid w:val="0097552A"/>
    <w:rsid w:val="009868B3"/>
    <w:rsid w:val="00990E5E"/>
    <w:rsid w:val="0099149B"/>
    <w:rsid w:val="00991A79"/>
    <w:rsid w:val="009952DA"/>
    <w:rsid w:val="009A1FAA"/>
    <w:rsid w:val="009B1A80"/>
    <w:rsid w:val="009B4810"/>
    <w:rsid w:val="009B70FF"/>
    <w:rsid w:val="009C41E7"/>
    <w:rsid w:val="009D432F"/>
    <w:rsid w:val="009E0ECA"/>
    <w:rsid w:val="009E1031"/>
    <w:rsid w:val="009F05F1"/>
    <w:rsid w:val="009F3389"/>
    <w:rsid w:val="009F461E"/>
    <w:rsid w:val="009F548A"/>
    <w:rsid w:val="00A037D5"/>
    <w:rsid w:val="00A11129"/>
    <w:rsid w:val="00A14983"/>
    <w:rsid w:val="00A32396"/>
    <w:rsid w:val="00A32436"/>
    <w:rsid w:val="00A400DB"/>
    <w:rsid w:val="00A45C9F"/>
    <w:rsid w:val="00A47E71"/>
    <w:rsid w:val="00A500A6"/>
    <w:rsid w:val="00A54E20"/>
    <w:rsid w:val="00A557D3"/>
    <w:rsid w:val="00A63EDA"/>
    <w:rsid w:val="00A65391"/>
    <w:rsid w:val="00A6544D"/>
    <w:rsid w:val="00A6756D"/>
    <w:rsid w:val="00A72B99"/>
    <w:rsid w:val="00A7642F"/>
    <w:rsid w:val="00A8518F"/>
    <w:rsid w:val="00A860F0"/>
    <w:rsid w:val="00A86F1E"/>
    <w:rsid w:val="00A8727D"/>
    <w:rsid w:val="00A95300"/>
    <w:rsid w:val="00A97D0E"/>
    <w:rsid w:val="00AA1460"/>
    <w:rsid w:val="00AB1D51"/>
    <w:rsid w:val="00AB50E2"/>
    <w:rsid w:val="00AB7777"/>
    <w:rsid w:val="00AC5DB0"/>
    <w:rsid w:val="00AD2C0D"/>
    <w:rsid w:val="00AD4AA9"/>
    <w:rsid w:val="00AD68D3"/>
    <w:rsid w:val="00AE1926"/>
    <w:rsid w:val="00AE47C6"/>
    <w:rsid w:val="00AF184E"/>
    <w:rsid w:val="00AF34C7"/>
    <w:rsid w:val="00AF64E0"/>
    <w:rsid w:val="00AF6A7E"/>
    <w:rsid w:val="00B008EF"/>
    <w:rsid w:val="00B05E3C"/>
    <w:rsid w:val="00B0623C"/>
    <w:rsid w:val="00B176A7"/>
    <w:rsid w:val="00B17E90"/>
    <w:rsid w:val="00B215CC"/>
    <w:rsid w:val="00B2429A"/>
    <w:rsid w:val="00B33DF4"/>
    <w:rsid w:val="00B412DB"/>
    <w:rsid w:val="00B44700"/>
    <w:rsid w:val="00B45972"/>
    <w:rsid w:val="00B50EBE"/>
    <w:rsid w:val="00B513D6"/>
    <w:rsid w:val="00B5578E"/>
    <w:rsid w:val="00B62DC7"/>
    <w:rsid w:val="00B65C98"/>
    <w:rsid w:val="00B75201"/>
    <w:rsid w:val="00B83425"/>
    <w:rsid w:val="00B8394E"/>
    <w:rsid w:val="00BA45DE"/>
    <w:rsid w:val="00BA62A9"/>
    <w:rsid w:val="00BA6301"/>
    <w:rsid w:val="00BA6CD0"/>
    <w:rsid w:val="00BB3173"/>
    <w:rsid w:val="00BB7A29"/>
    <w:rsid w:val="00BC2850"/>
    <w:rsid w:val="00BC386C"/>
    <w:rsid w:val="00BC79FD"/>
    <w:rsid w:val="00BD141C"/>
    <w:rsid w:val="00BE4553"/>
    <w:rsid w:val="00BE538A"/>
    <w:rsid w:val="00BF2CE7"/>
    <w:rsid w:val="00BF30E3"/>
    <w:rsid w:val="00C00952"/>
    <w:rsid w:val="00C04E1B"/>
    <w:rsid w:val="00C06859"/>
    <w:rsid w:val="00C07A02"/>
    <w:rsid w:val="00C20DCF"/>
    <w:rsid w:val="00C24EC6"/>
    <w:rsid w:val="00C262FB"/>
    <w:rsid w:val="00C26886"/>
    <w:rsid w:val="00C329B5"/>
    <w:rsid w:val="00C32C42"/>
    <w:rsid w:val="00C4057E"/>
    <w:rsid w:val="00C47064"/>
    <w:rsid w:val="00C5286F"/>
    <w:rsid w:val="00C541A3"/>
    <w:rsid w:val="00C547D9"/>
    <w:rsid w:val="00C63A4E"/>
    <w:rsid w:val="00C77A68"/>
    <w:rsid w:val="00C865B4"/>
    <w:rsid w:val="00C91DC3"/>
    <w:rsid w:val="00C97315"/>
    <w:rsid w:val="00CA3137"/>
    <w:rsid w:val="00CB0C4C"/>
    <w:rsid w:val="00CB1BEC"/>
    <w:rsid w:val="00CB2867"/>
    <w:rsid w:val="00CB2C62"/>
    <w:rsid w:val="00CB3AD9"/>
    <w:rsid w:val="00CC0476"/>
    <w:rsid w:val="00CC4759"/>
    <w:rsid w:val="00CD6071"/>
    <w:rsid w:val="00CD7562"/>
    <w:rsid w:val="00CD7A29"/>
    <w:rsid w:val="00CE0E76"/>
    <w:rsid w:val="00CE6A9E"/>
    <w:rsid w:val="00D0300B"/>
    <w:rsid w:val="00D03FDC"/>
    <w:rsid w:val="00D108D2"/>
    <w:rsid w:val="00D146FC"/>
    <w:rsid w:val="00D16A48"/>
    <w:rsid w:val="00D17269"/>
    <w:rsid w:val="00D22211"/>
    <w:rsid w:val="00D363D5"/>
    <w:rsid w:val="00D40B4E"/>
    <w:rsid w:val="00D414F7"/>
    <w:rsid w:val="00D42D6D"/>
    <w:rsid w:val="00D51DC9"/>
    <w:rsid w:val="00D63285"/>
    <w:rsid w:val="00D653B5"/>
    <w:rsid w:val="00D75D8D"/>
    <w:rsid w:val="00D80939"/>
    <w:rsid w:val="00D818C4"/>
    <w:rsid w:val="00D82B17"/>
    <w:rsid w:val="00DA32B4"/>
    <w:rsid w:val="00DA56FC"/>
    <w:rsid w:val="00DB1A65"/>
    <w:rsid w:val="00DB2095"/>
    <w:rsid w:val="00DB5C53"/>
    <w:rsid w:val="00DC0DD1"/>
    <w:rsid w:val="00DC67F9"/>
    <w:rsid w:val="00DE2957"/>
    <w:rsid w:val="00DE2A0A"/>
    <w:rsid w:val="00DE3961"/>
    <w:rsid w:val="00DE485B"/>
    <w:rsid w:val="00DF017F"/>
    <w:rsid w:val="00E01A53"/>
    <w:rsid w:val="00E15054"/>
    <w:rsid w:val="00E16D4D"/>
    <w:rsid w:val="00E214DC"/>
    <w:rsid w:val="00E32C38"/>
    <w:rsid w:val="00E338F6"/>
    <w:rsid w:val="00E37897"/>
    <w:rsid w:val="00E40511"/>
    <w:rsid w:val="00E50AF0"/>
    <w:rsid w:val="00E53549"/>
    <w:rsid w:val="00E66E07"/>
    <w:rsid w:val="00E723A6"/>
    <w:rsid w:val="00E8495C"/>
    <w:rsid w:val="00E9379A"/>
    <w:rsid w:val="00E95CFC"/>
    <w:rsid w:val="00EB2FA1"/>
    <w:rsid w:val="00EB323C"/>
    <w:rsid w:val="00EC3C3C"/>
    <w:rsid w:val="00ED2F63"/>
    <w:rsid w:val="00EF3A0A"/>
    <w:rsid w:val="00F03FCF"/>
    <w:rsid w:val="00F26F16"/>
    <w:rsid w:val="00F30D04"/>
    <w:rsid w:val="00F30F17"/>
    <w:rsid w:val="00F310B5"/>
    <w:rsid w:val="00F32A87"/>
    <w:rsid w:val="00F33D99"/>
    <w:rsid w:val="00F36638"/>
    <w:rsid w:val="00F47270"/>
    <w:rsid w:val="00F5014F"/>
    <w:rsid w:val="00F5511A"/>
    <w:rsid w:val="00F57DF4"/>
    <w:rsid w:val="00F60F32"/>
    <w:rsid w:val="00F618A7"/>
    <w:rsid w:val="00F622B2"/>
    <w:rsid w:val="00F72150"/>
    <w:rsid w:val="00F7479B"/>
    <w:rsid w:val="00F86F7C"/>
    <w:rsid w:val="00F87D35"/>
    <w:rsid w:val="00F90984"/>
    <w:rsid w:val="00F930EB"/>
    <w:rsid w:val="00F97352"/>
    <w:rsid w:val="00FA4E90"/>
    <w:rsid w:val="00FB2330"/>
    <w:rsid w:val="00FC143E"/>
    <w:rsid w:val="00FC40EA"/>
    <w:rsid w:val="00FE432D"/>
    <w:rsid w:val="00FE5EB2"/>
    <w:rsid w:val="00FF203E"/>
    <w:rsid w:val="00FF22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4727EEC1"/>
  <w15:chartTrackingRefBased/>
  <w15:docId w15:val="{DB0F0F14-A27C-40B0-97AD-98EAD3D5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outlineLvl w:val="0"/>
    </w:pPr>
    <w:rPr>
      <w:rFonts w:ascii="Arial" w:hAnsi="Arial"/>
      <w:b/>
      <w:sz w:val="24"/>
      <w:u w:val="single"/>
      <w:lang w:val="es-ES_tradnl"/>
    </w:rPr>
  </w:style>
  <w:style w:type="paragraph" w:styleId="Ttulo2">
    <w:name w:val="heading 2"/>
    <w:basedOn w:val="Normal"/>
    <w:next w:val="Normal"/>
    <w:qFormat/>
    <w:pPr>
      <w:keepNext/>
      <w:spacing w:before="80"/>
      <w:jc w:val="both"/>
      <w:outlineLvl w:val="1"/>
    </w:pPr>
    <w:rPr>
      <w:rFonts w:ascii="Arial" w:hAnsi="Arial"/>
      <w:b/>
      <w:sz w:val="22"/>
      <w:lang w:val="es-ES_tradnl"/>
    </w:rPr>
  </w:style>
  <w:style w:type="paragraph" w:styleId="Ttulo3">
    <w:name w:val="heading 3"/>
    <w:basedOn w:val="Normal"/>
    <w:next w:val="Normal"/>
    <w:qFormat/>
    <w:pPr>
      <w:keepNext/>
      <w:jc w:val="both"/>
      <w:outlineLvl w:val="2"/>
    </w:pPr>
    <w:rPr>
      <w:b/>
      <w:sz w:val="24"/>
    </w:rPr>
  </w:style>
  <w:style w:type="paragraph" w:styleId="Ttulo4">
    <w:name w:val="heading 4"/>
    <w:basedOn w:val="Normal"/>
    <w:next w:val="Normal"/>
    <w:qFormat/>
    <w:pPr>
      <w:keepNex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252"/>
        <w:tab w:val="right" w:pos="8504"/>
      </w:tabs>
    </w:pPr>
  </w:style>
  <w:style w:type="character" w:styleId="Nmerodepgina">
    <w:name w:val="page number"/>
    <w:basedOn w:val="Fuentedeprrafopredeter"/>
  </w:style>
  <w:style w:type="paragraph" w:styleId="Textoindependiente">
    <w:name w:val="Body Text"/>
    <w:basedOn w:val="Normal"/>
    <w:link w:val="TextoindependienteCar"/>
    <w:semiHidden/>
    <w:pPr>
      <w:tabs>
        <w:tab w:val="left" w:pos="851"/>
      </w:tabs>
      <w:spacing w:after="120"/>
      <w:jc w:val="both"/>
    </w:pPr>
    <w:rPr>
      <w:rFonts w:ascii="Arial" w:hAnsi="Arial"/>
      <w:sz w:val="26"/>
      <w:lang w:val="es-ES_tradnl"/>
    </w:rPr>
  </w:style>
  <w:style w:type="paragraph" w:customStyle="1" w:styleId="Prrafodelista1">
    <w:name w:val="Párrafo de lista1"/>
    <w:basedOn w:val="Normal"/>
    <w:pPr>
      <w:ind w:left="720"/>
      <w:jc w:val="both"/>
    </w:pPr>
    <w:rPr>
      <w:rFonts w:ascii="Arial" w:hAnsi="Arial"/>
      <w:sz w:val="22"/>
      <w:lang w:val="es-ES_tradnl"/>
    </w:rPr>
  </w:style>
  <w:style w:type="paragraph" w:styleId="Textoindependiente3">
    <w:name w:val="Body Text 3"/>
    <w:basedOn w:val="Normal"/>
    <w:semiHidden/>
    <w:pPr>
      <w:spacing w:before="80"/>
      <w:jc w:val="both"/>
    </w:pPr>
    <w:rPr>
      <w:rFonts w:ascii="Arial" w:hAnsi="Arial"/>
      <w:sz w:val="24"/>
      <w:lang w:val="es-ES_tradnl"/>
    </w:rPr>
  </w:style>
  <w:style w:type="paragraph" w:styleId="Encabezado">
    <w:name w:val="header"/>
    <w:basedOn w:val="Normal"/>
    <w:semiHidden/>
    <w:pPr>
      <w:tabs>
        <w:tab w:val="center" w:pos="4819"/>
        <w:tab w:val="right" w:pos="9071"/>
      </w:tabs>
    </w:pPr>
    <w:rPr>
      <w:rFonts w:ascii="Arial" w:hAnsi="Arial"/>
      <w:sz w:val="26"/>
      <w:lang w:val="es-ES_tradnl"/>
    </w:rPr>
  </w:style>
  <w:style w:type="paragraph" w:styleId="Textoindependiente2">
    <w:name w:val="Body Text 2"/>
    <w:basedOn w:val="Normal"/>
    <w:semiHidden/>
    <w:pPr>
      <w:jc w:val="both"/>
    </w:pPr>
    <w:rPr>
      <w:i/>
      <w:sz w:val="24"/>
    </w:rPr>
  </w:style>
  <w:style w:type="paragraph" w:styleId="Textodeglobo">
    <w:name w:val="Balloon Text"/>
    <w:basedOn w:val="Normal"/>
    <w:semiHidden/>
    <w:unhideWhenUsed/>
    <w:rPr>
      <w:rFonts w:ascii="Lucida Grande" w:hAnsi="Lucida Grande" w:cs="Wingdings"/>
      <w:sz w:val="18"/>
      <w:szCs w:val="18"/>
    </w:rPr>
  </w:style>
  <w:style w:type="character" w:customStyle="1" w:styleId="TextodegloboCar">
    <w:name w:val="Texto de globo Car"/>
    <w:semiHidden/>
    <w:rPr>
      <w:rFonts w:ascii="Lucida Grande" w:hAnsi="Lucida Grande" w:cs="Wingdings"/>
      <w:noProof w:val="0"/>
      <w:sz w:val="18"/>
      <w:szCs w:val="18"/>
      <w:lang w:val="es-ES"/>
    </w:rPr>
  </w:style>
  <w:style w:type="paragraph" w:customStyle="1" w:styleId="Default">
    <w:name w:val="Default"/>
    <w:rPr>
      <w:rFonts w:ascii="Arial" w:hAnsi="Arial"/>
      <w:snapToGrid w:val="0"/>
      <w:color w:val="000000"/>
      <w:sz w:val="24"/>
    </w:rPr>
  </w:style>
  <w:style w:type="paragraph" w:styleId="Sangradetextonormal">
    <w:name w:val="Body Text Indent"/>
    <w:basedOn w:val="Normal"/>
    <w:semiHidden/>
    <w:pPr>
      <w:spacing w:after="240"/>
      <w:ind w:left="708"/>
      <w:jc w:val="both"/>
    </w:pPr>
    <w:rPr>
      <w:sz w:val="22"/>
    </w:rPr>
  </w:style>
  <w:style w:type="character" w:styleId="Hipervnculo">
    <w:name w:val="Hyperlink"/>
    <w:semiHidden/>
    <w:rPr>
      <w:color w:val="0000FF"/>
      <w:u w:val="single"/>
    </w:rPr>
  </w:style>
  <w:style w:type="paragraph" w:customStyle="1" w:styleId="Cuerpo">
    <w:name w:val="Cuerpo"/>
    <w:rsid w:val="00A11129"/>
    <w:pPr>
      <w:pBdr>
        <w:top w:val="nil"/>
        <w:left w:val="nil"/>
        <w:bottom w:val="nil"/>
        <w:right w:val="nil"/>
        <w:between w:val="nil"/>
        <w:bar w:val="nil"/>
      </w:pBdr>
    </w:pPr>
    <w:rPr>
      <w:color w:val="000000"/>
      <w:u w:color="000000"/>
      <w:bdr w:val="nil"/>
    </w:rPr>
  </w:style>
  <w:style w:type="character" w:customStyle="1" w:styleId="TextoindependienteCar">
    <w:name w:val="Texto independiente Car"/>
    <w:link w:val="Textoindependiente"/>
    <w:semiHidden/>
    <w:rsid w:val="006E6663"/>
    <w:rPr>
      <w:rFonts w:ascii="Arial" w:hAnsi="Arial"/>
      <w:sz w:val="2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858663">
      <w:bodyDiv w:val="1"/>
      <w:marLeft w:val="0"/>
      <w:marRight w:val="0"/>
      <w:marTop w:val="0"/>
      <w:marBottom w:val="0"/>
      <w:divBdr>
        <w:top w:val="none" w:sz="0" w:space="0" w:color="auto"/>
        <w:left w:val="none" w:sz="0" w:space="0" w:color="auto"/>
        <w:bottom w:val="none" w:sz="0" w:space="0" w:color="auto"/>
        <w:right w:val="none" w:sz="0" w:space="0" w:color="auto"/>
      </w:divBdr>
      <w:divsChild>
        <w:div w:id="1176071018">
          <w:marLeft w:val="0"/>
          <w:marRight w:val="0"/>
          <w:marTop w:val="0"/>
          <w:marBottom w:val="0"/>
          <w:divBdr>
            <w:top w:val="none" w:sz="0" w:space="0" w:color="auto"/>
            <w:left w:val="none" w:sz="0" w:space="0" w:color="auto"/>
            <w:bottom w:val="none" w:sz="0" w:space="0" w:color="auto"/>
            <w:right w:val="none" w:sz="0" w:space="0" w:color="auto"/>
          </w:divBdr>
          <w:divsChild>
            <w:div w:id="360934096">
              <w:marLeft w:val="0"/>
              <w:marRight w:val="0"/>
              <w:marTop w:val="0"/>
              <w:marBottom w:val="0"/>
              <w:divBdr>
                <w:top w:val="none" w:sz="0" w:space="0" w:color="auto"/>
                <w:left w:val="none" w:sz="0" w:space="0" w:color="auto"/>
                <w:bottom w:val="none" w:sz="0" w:space="0" w:color="auto"/>
                <w:right w:val="none" w:sz="0" w:space="0" w:color="auto"/>
              </w:divBdr>
              <w:divsChild>
                <w:div w:id="1752192894">
                  <w:marLeft w:val="0"/>
                  <w:marRight w:val="0"/>
                  <w:marTop w:val="0"/>
                  <w:marBottom w:val="0"/>
                  <w:divBdr>
                    <w:top w:val="none" w:sz="0" w:space="0" w:color="auto"/>
                    <w:left w:val="none" w:sz="0" w:space="0" w:color="auto"/>
                    <w:bottom w:val="none" w:sz="0" w:space="0" w:color="auto"/>
                    <w:right w:val="none" w:sz="0" w:space="0" w:color="auto"/>
                  </w:divBdr>
                  <w:divsChild>
                    <w:div w:id="303437579">
                      <w:marLeft w:val="0"/>
                      <w:marRight w:val="0"/>
                      <w:marTop w:val="0"/>
                      <w:marBottom w:val="0"/>
                      <w:divBdr>
                        <w:top w:val="none" w:sz="0" w:space="0" w:color="auto"/>
                        <w:left w:val="none" w:sz="0" w:space="0" w:color="auto"/>
                        <w:bottom w:val="none" w:sz="0" w:space="0" w:color="auto"/>
                        <w:right w:val="none" w:sz="0" w:space="0" w:color="auto"/>
                      </w:divBdr>
                    </w:div>
                    <w:div w:id="5779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7786">
          <w:marLeft w:val="0"/>
          <w:marRight w:val="0"/>
          <w:marTop w:val="0"/>
          <w:marBottom w:val="0"/>
          <w:divBdr>
            <w:top w:val="none" w:sz="0" w:space="0" w:color="auto"/>
            <w:left w:val="none" w:sz="0" w:space="0" w:color="auto"/>
            <w:bottom w:val="none" w:sz="0" w:space="0" w:color="auto"/>
            <w:right w:val="none" w:sz="0" w:space="0" w:color="auto"/>
          </w:divBdr>
          <w:divsChild>
            <w:div w:id="681010919">
              <w:marLeft w:val="0"/>
              <w:marRight w:val="0"/>
              <w:marTop w:val="0"/>
              <w:marBottom w:val="0"/>
              <w:divBdr>
                <w:top w:val="none" w:sz="0" w:space="0" w:color="auto"/>
                <w:left w:val="none" w:sz="0" w:space="0" w:color="auto"/>
                <w:bottom w:val="none" w:sz="0" w:space="0" w:color="auto"/>
                <w:right w:val="none" w:sz="0" w:space="0" w:color="auto"/>
              </w:divBdr>
              <w:divsChild>
                <w:div w:id="1067655865">
                  <w:marLeft w:val="0"/>
                  <w:marRight w:val="0"/>
                  <w:marTop w:val="0"/>
                  <w:marBottom w:val="0"/>
                  <w:divBdr>
                    <w:top w:val="none" w:sz="0" w:space="0" w:color="auto"/>
                    <w:left w:val="none" w:sz="0" w:space="0" w:color="auto"/>
                    <w:bottom w:val="none" w:sz="0" w:space="0" w:color="auto"/>
                    <w:right w:val="none" w:sz="0" w:space="0" w:color="auto"/>
                  </w:divBdr>
                  <w:divsChild>
                    <w:div w:id="1836920625">
                      <w:marLeft w:val="0"/>
                      <w:marRight w:val="0"/>
                      <w:marTop w:val="0"/>
                      <w:marBottom w:val="0"/>
                      <w:divBdr>
                        <w:top w:val="none" w:sz="0" w:space="0" w:color="auto"/>
                        <w:left w:val="none" w:sz="0" w:space="0" w:color="auto"/>
                        <w:bottom w:val="none" w:sz="0" w:space="0" w:color="auto"/>
                        <w:right w:val="none" w:sz="0" w:space="0" w:color="auto"/>
                      </w:divBdr>
                    </w:div>
                    <w:div w:id="386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443183">
          <w:marLeft w:val="0"/>
          <w:marRight w:val="0"/>
          <w:marTop w:val="0"/>
          <w:marBottom w:val="0"/>
          <w:divBdr>
            <w:top w:val="none" w:sz="0" w:space="0" w:color="auto"/>
            <w:left w:val="none" w:sz="0" w:space="0" w:color="auto"/>
            <w:bottom w:val="none" w:sz="0" w:space="0" w:color="auto"/>
            <w:right w:val="none" w:sz="0" w:space="0" w:color="auto"/>
          </w:divBdr>
          <w:divsChild>
            <w:div w:id="1059282625">
              <w:marLeft w:val="0"/>
              <w:marRight w:val="0"/>
              <w:marTop w:val="0"/>
              <w:marBottom w:val="0"/>
              <w:divBdr>
                <w:top w:val="none" w:sz="0" w:space="0" w:color="auto"/>
                <w:left w:val="none" w:sz="0" w:space="0" w:color="auto"/>
                <w:bottom w:val="none" w:sz="0" w:space="0" w:color="auto"/>
                <w:right w:val="none" w:sz="0" w:space="0" w:color="auto"/>
              </w:divBdr>
              <w:divsChild>
                <w:div w:id="1104034188">
                  <w:marLeft w:val="0"/>
                  <w:marRight w:val="0"/>
                  <w:marTop w:val="0"/>
                  <w:marBottom w:val="0"/>
                  <w:divBdr>
                    <w:top w:val="none" w:sz="0" w:space="0" w:color="auto"/>
                    <w:left w:val="none" w:sz="0" w:space="0" w:color="auto"/>
                    <w:bottom w:val="none" w:sz="0" w:space="0" w:color="auto"/>
                    <w:right w:val="none" w:sz="0" w:space="0" w:color="auto"/>
                  </w:divBdr>
                  <w:divsChild>
                    <w:div w:id="407002620">
                      <w:marLeft w:val="0"/>
                      <w:marRight w:val="0"/>
                      <w:marTop w:val="0"/>
                      <w:marBottom w:val="0"/>
                      <w:divBdr>
                        <w:top w:val="none" w:sz="0" w:space="0" w:color="auto"/>
                        <w:left w:val="none" w:sz="0" w:space="0" w:color="auto"/>
                        <w:bottom w:val="none" w:sz="0" w:space="0" w:color="auto"/>
                        <w:right w:val="none" w:sz="0" w:space="0" w:color="auto"/>
                      </w:divBdr>
                    </w:div>
                    <w:div w:id="11008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620606">
      <w:bodyDiv w:val="1"/>
      <w:marLeft w:val="0"/>
      <w:marRight w:val="0"/>
      <w:marTop w:val="0"/>
      <w:marBottom w:val="0"/>
      <w:divBdr>
        <w:top w:val="none" w:sz="0" w:space="0" w:color="auto"/>
        <w:left w:val="none" w:sz="0" w:space="0" w:color="auto"/>
        <w:bottom w:val="none" w:sz="0" w:space="0" w:color="auto"/>
        <w:right w:val="none" w:sz="0" w:space="0" w:color="auto"/>
      </w:divBdr>
      <w:divsChild>
        <w:div w:id="1563250612">
          <w:marLeft w:val="0"/>
          <w:marRight w:val="0"/>
          <w:marTop w:val="0"/>
          <w:marBottom w:val="0"/>
          <w:divBdr>
            <w:top w:val="none" w:sz="0" w:space="0" w:color="auto"/>
            <w:left w:val="none" w:sz="0" w:space="0" w:color="auto"/>
            <w:bottom w:val="none" w:sz="0" w:space="0" w:color="auto"/>
            <w:right w:val="none" w:sz="0" w:space="0" w:color="auto"/>
          </w:divBdr>
          <w:divsChild>
            <w:div w:id="2038776295">
              <w:marLeft w:val="0"/>
              <w:marRight w:val="0"/>
              <w:marTop w:val="0"/>
              <w:marBottom w:val="0"/>
              <w:divBdr>
                <w:top w:val="none" w:sz="0" w:space="0" w:color="auto"/>
                <w:left w:val="none" w:sz="0" w:space="0" w:color="auto"/>
                <w:bottom w:val="none" w:sz="0" w:space="0" w:color="auto"/>
                <w:right w:val="none" w:sz="0" w:space="0" w:color="auto"/>
              </w:divBdr>
              <w:divsChild>
                <w:div w:id="821775465">
                  <w:marLeft w:val="0"/>
                  <w:marRight w:val="0"/>
                  <w:marTop w:val="0"/>
                  <w:marBottom w:val="0"/>
                  <w:divBdr>
                    <w:top w:val="none" w:sz="0" w:space="0" w:color="auto"/>
                    <w:left w:val="none" w:sz="0" w:space="0" w:color="auto"/>
                    <w:bottom w:val="none" w:sz="0" w:space="0" w:color="auto"/>
                    <w:right w:val="none" w:sz="0" w:space="0" w:color="auto"/>
                  </w:divBdr>
                  <w:divsChild>
                    <w:div w:id="1206943446">
                      <w:marLeft w:val="0"/>
                      <w:marRight w:val="0"/>
                      <w:marTop w:val="0"/>
                      <w:marBottom w:val="0"/>
                      <w:divBdr>
                        <w:top w:val="none" w:sz="0" w:space="0" w:color="auto"/>
                        <w:left w:val="none" w:sz="0" w:space="0" w:color="auto"/>
                        <w:bottom w:val="none" w:sz="0" w:space="0" w:color="auto"/>
                        <w:right w:val="none" w:sz="0" w:space="0" w:color="auto"/>
                      </w:divBdr>
                    </w:div>
                    <w:div w:id="20475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82875">
          <w:marLeft w:val="0"/>
          <w:marRight w:val="0"/>
          <w:marTop w:val="0"/>
          <w:marBottom w:val="0"/>
          <w:divBdr>
            <w:top w:val="none" w:sz="0" w:space="0" w:color="auto"/>
            <w:left w:val="none" w:sz="0" w:space="0" w:color="auto"/>
            <w:bottom w:val="none" w:sz="0" w:space="0" w:color="auto"/>
            <w:right w:val="none" w:sz="0" w:space="0" w:color="auto"/>
          </w:divBdr>
          <w:divsChild>
            <w:div w:id="1643777992">
              <w:marLeft w:val="0"/>
              <w:marRight w:val="0"/>
              <w:marTop w:val="0"/>
              <w:marBottom w:val="0"/>
              <w:divBdr>
                <w:top w:val="none" w:sz="0" w:space="0" w:color="auto"/>
                <w:left w:val="none" w:sz="0" w:space="0" w:color="auto"/>
                <w:bottom w:val="none" w:sz="0" w:space="0" w:color="auto"/>
                <w:right w:val="none" w:sz="0" w:space="0" w:color="auto"/>
              </w:divBdr>
              <w:divsChild>
                <w:div w:id="1350523436">
                  <w:marLeft w:val="0"/>
                  <w:marRight w:val="0"/>
                  <w:marTop w:val="0"/>
                  <w:marBottom w:val="0"/>
                  <w:divBdr>
                    <w:top w:val="none" w:sz="0" w:space="0" w:color="auto"/>
                    <w:left w:val="none" w:sz="0" w:space="0" w:color="auto"/>
                    <w:bottom w:val="none" w:sz="0" w:space="0" w:color="auto"/>
                    <w:right w:val="none" w:sz="0" w:space="0" w:color="auto"/>
                  </w:divBdr>
                  <w:divsChild>
                    <w:div w:id="1593128166">
                      <w:marLeft w:val="0"/>
                      <w:marRight w:val="0"/>
                      <w:marTop w:val="0"/>
                      <w:marBottom w:val="0"/>
                      <w:divBdr>
                        <w:top w:val="none" w:sz="0" w:space="0" w:color="auto"/>
                        <w:left w:val="none" w:sz="0" w:space="0" w:color="auto"/>
                        <w:bottom w:val="none" w:sz="0" w:space="0" w:color="auto"/>
                        <w:right w:val="none" w:sz="0" w:space="0" w:color="auto"/>
                      </w:divBdr>
                    </w:div>
                    <w:div w:id="175408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79491">
          <w:marLeft w:val="0"/>
          <w:marRight w:val="0"/>
          <w:marTop w:val="0"/>
          <w:marBottom w:val="0"/>
          <w:divBdr>
            <w:top w:val="none" w:sz="0" w:space="0" w:color="auto"/>
            <w:left w:val="none" w:sz="0" w:space="0" w:color="auto"/>
            <w:bottom w:val="none" w:sz="0" w:space="0" w:color="auto"/>
            <w:right w:val="none" w:sz="0" w:space="0" w:color="auto"/>
          </w:divBdr>
          <w:divsChild>
            <w:div w:id="796415392">
              <w:marLeft w:val="0"/>
              <w:marRight w:val="0"/>
              <w:marTop w:val="0"/>
              <w:marBottom w:val="0"/>
              <w:divBdr>
                <w:top w:val="none" w:sz="0" w:space="0" w:color="auto"/>
                <w:left w:val="none" w:sz="0" w:space="0" w:color="auto"/>
                <w:bottom w:val="none" w:sz="0" w:space="0" w:color="auto"/>
                <w:right w:val="none" w:sz="0" w:space="0" w:color="auto"/>
              </w:divBdr>
              <w:divsChild>
                <w:div w:id="1677489859">
                  <w:marLeft w:val="0"/>
                  <w:marRight w:val="0"/>
                  <w:marTop w:val="0"/>
                  <w:marBottom w:val="0"/>
                  <w:divBdr>
                    <w:top w:val="none" w:sz="0" w:space="0" w:color="auto"/>
                    <w:left w:val="none" w:sz="0" w:space="0" w:color="auto"/>
                    <w:bottom w:val="none" w:sz="0" w:space="0" w:color="auto"/>
                    <w:right w:val="none" w:sz="0" w:space="0" w:color="auto"/>
                  </w:divBdr>
                  <w:divsChild>
                    <w:div w:id="1280452586">
                      <w:marLeft w:val="0"/>
                      <w:marRight w:val="0"/>
                      <w:marTop w:val="0"/>
                      <w:marBottom w:val="0"/>
                      <w:divBdr>
                        <w:top w:val="none" w:sz="0" w:space="0" w:color="auto"/>
                        <w:left w:val="none" w:sz="0" w:space="0" w:color="auto"/>
                        <w:bottom w:val="none" w:sz="0" w:space="0" w:color="auto"/>
                        <w:right w:val="none" w:sz="0" w:space="0" w:color="auto"/>
                      </w:divBdr>
                    </w:div>
                    <w:div w:id="12345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7040F-664D-41C8-AC13-D7E3FEF0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3416</Words>
  <Characters>18159</Characters>
  <Application>Microsoft Office Word</Application>
  <DocSecurity>0</DocSecurity>
  <Lines>296</Lines>
  <Paragraphs>74</Paragraphs>
  <ScaleCrop>false</ScaleCrop>
  <HeadingPairs>
    <vt:vector size="2" baseType="variant">
      <vt:variant>
        <vt:lpstr>Título</vt:lpstr>
      </vt:variant>
      <vt:variant>
        <vt:i4>1</vt:i4>
      </vt:variant>
    </vt:vector>
  </HeadingPairs>
  <TitlesOfParts>
    <vt:vector size="1" baseType="lpstr">
      <vt:lpstr>Erref / Ref: Recurso Especial TRACASA</vt:lpstr>
    </vt:vector>
  </TitlesOfParts>
  <Company>DFA</Company>
  <LinksUpToDate>false</LinksUpToDate>
  <CharactersWithSpaces>21532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Erref / Ref: Recurso Especial TRACASA</dc:title>
  <dc:subject/>
  <dc:creator>OPITURRIAG_MJES</dc:creator>
  <cp:keywords/>
  <cp:lastModifiedBy>Achotegui Martinez de Arenaza, Fernando</cp:lastModifiedBy>
  <cp:revision>4</cp:revision>
  <cp:lastPrinted>2025-11-03T08:29:00Z</cp:lastPrinted>
  <dcterms:created xsi:type="dcterms:W3CDTF">2025-11-03T08:28:00Z</dcterms:created>
  <dcterms:modified xsi:type="dcterms:W3CDTF">2025-11-03T08:29:00Z</dcterms:modified>
</cp:coreProperties>
</file>