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535"/>
        <w:gridCol w:w="4535"/>
      </w:tblGrid>
      <w:tr w:rsidR="00AE1ABA" w:rsidRPr="004E3513" w14:paraId="76A62795" w14:textId="77777777" w:rsidTr="00AE1ABA">
        <w:tc>
          <w:tcPr>
            <w:tcW w:w="4534" w:type="dxa"/>
            <w:tcBorders>
              <w:right w:val="single" w:sz="4" w:space="0" w:color="808080"/>
            </w:tcBorders>
          </w:tcPr>
          <w:p w14:paraId="654D01F7" w14:textId="77777777" w:rsidR="00AE1ABA" w:rsidRPr="00B23FA6" w:rsidRDefault="00AE1ABA" w:rsidP="00AE1ABA">
            <w:pPr>
              <w:pStyle w:val="Ttulo1"/>
              <w:shd w:val="clear" w:color="auto" w:fill="D9D9D9"/>
              <w:spacing w:before="480"/>
              <w:ind w:left="57" w:right="57"/>
              <w:rPr>
                <w:rFonts w:asciiTheme="minorHAnsi" w:hAnsiTheme="minorHAnsi" w:cstheme="minorHAnsi"/>
                <w:b/>
                <w:sz w:val="28"/>
                <w:szCs w:val="28"/>
              </w:rPr>
            </w:pPr>
            <w:r w:rsidRPr="00B23FA6">
              <w:rPr>
                <w:rFonts w:asciiTheme="minorHAnsi" w:hAnsiTheme="minorHAnsi" w:cstheme="minorHAnsi"/>
                <w:b/>
                <w:sz w:val="28"/>
                <w:szCs w:val="28"/>
              </w:rPr>
              <w:t>SARRERA</w:t>
            </w:r>
          </w:p>
          <w:p w14:paraId="565146EE" w14:textId="77777777" w:rsidR="00AE1ABA" w:rsidRDefault="00AE1ABA" w:rsidP="00AE1ABA">
            <w:pPr>
              <w:ind w:left="57" w:right="57"/>
              <w:jc w:val="both"/>
              <w:rPr>
                <w:rFonts w:asciiTheme="minorHAnsi" w:hAnsiTheme="minorHAnsi" w:cstheme="minorHAnsi"/>
                <w:snapToGrid w:val="0"/>
                <w:sz w:val="24"/>
                <w:szCs w:val="24"/>
              </w:rPr>
            </w:pPr>
          </w:p>
          <w:p w14:paraId="366EDDB9" w14:textId="5D121A68" w:rsidR="00AE1ABA" w:rsidRPr="004E3513" w:rsidRDefault="001141C7" w:rsidP="00AE1ABA">
            <w:pPr>
              <w:spacing w:after="120"/>
              <w:ind w:left="57" w:right="57"/>
              <w:jc w:val="both"/>
              <w:rPr>
                <w:rFonts w:asciiTheme="minorHAnsi" w:hAnsiTheme="minorHAnsi" w:cstheme="minorHAnsi"/>
                <w:sz w:val="24"/>
                <w:szCs w:val="24"/>
              </w:rPr>
            </w:pPr>
            <w:r w:rsidRPr="001141C7">
              <w:rPr>
                <w:rFonts w:asciiTheme="minorHAnsi" w:hAnsiTheme="minorHAnsi" w:cstheme="minorHAnsi"/>
                <w:snapToGrid w:val="0"/>
                <w:sz w:val="24"/>
                <w:szCs w:val="24"/>
              </w:rPr>
              <w:t>Aurrekontu Egonkortasunari eta Finantza Iraunkortasunari buruzko apirilaren 27ko 2/2012 Lege Organikoak zenbait baldintza ezartzen ditu, besteak beste, Herri Administrazioen Kontu Orokorraren likidazioa eta onarpena.</w:t>
            </w:r>
          </w:p>
        </w:tc>
        <w:tc>
          <w:tcPr>
            <w:tcW w:w="4536" w:type="dxa"/>
            <w:tcBorders>
              <w:left w:val="single" w:sz="4" w:space="0" w:color="808080"/>
            </w:tcBorders>
          </w:tcPr>
          <w:p w14:paraId="7B8C3C30" w14:textId="77777777" w:rsidR="00AE1ABA" w:rsidRPr="00B23FA6" w:rsidRDefault="00AE1ABA" w:rsidP="00B63396">
            <w:pPr>
              <w:pStyle w:val="Ttulo1"/>
              <w:shd w:val="clear" w:color="auto" w:fill="D9D9D9"/>
              <w:spacing w:before="480"/>
              <w:ind w:left="57" w:right="57"/>
              <w:rPr>
                <w:rFonts w:asciiTheme="minorHAnsi" w:hAnsiTheme="minorHAnsi" w:cstheme="minorHAnsi"/>
                <w:b/>
                <w:sz w:val="28"/>
                <w:szCs w:val="28"/>
              </w:rPr>
            </w:pPr>
            <w:r w:rsidRPr="00B23FA6">
              <w:rPr>
                <w:rFonts w:asciiTheme="minorHAnsi" w:hAnsiTheme="minorHAnsi" w:cstheme="minorHAnsi"/>
                <w:b/>
                <w:sz w:val="28"/>
                <w:szCs w:val="28"/>
              </w:rPr>
              <w:t>INTRODUCCIÓN</w:t>
            </w:r>
          </w:p>
          <w:p w14:paraId="4DEDE536" w14:textId="77777777" w:rsidR="00AE1ABA" w:rsidRDefault="00AE1ABA" w:rsidP="00B63396">
            <w:pPr>
              <w:ind w:left="57" w:right="57"/>
              <w:jc w:val="both"/>
              <w:rPr>
                <w:rFonts w:asciiTheme="minorHAnsi" w:hAnsiTheme="minorHAnsi" w:cstheme="minorHAnsi"/>
                <w:snapToGrid w:val="0"/>
                <w:sz w:val="24"/>
                <w:szCs w:val="24"/>
              </w:rPr>
            </w:pPr>
          </w:p>
          <w:p w14:paraId="563CD437" w14:textId="3A7F387C" w:rsidR="00AE1ABA" w:rsidRPr="00DA26F8" w:rsidRDefault="00AE1ABA" w:rsidP="00B63396">
            <w:pPr>
              <w:ind w:left="57" w:right="57"/>
              <w:jc w:val="both"/>
              <w:rPr>
                <w:rFonts w:asciiTheme="minorHAnsi" w:hAnsiTheme="minorHAnsi" w:cstheme="minorHAnsi"/>
                <w:sz w:val="24"/>
                <w:szCs w:val="24"/>
              </w:rPr>
            </w:pPr>
            <w:r w:rsidRPr="00F94663">
              <w:rPr>
                <w:rFonts w:asciiTheme="minorHAnsi" w:hAnsiTheme="minorHAnsi" w:cstheme="minorHAnsi"/>
                <w:snapToGrid w:val="0"/>
                <w:sz w:val="24"/>
                <w:szCs w:val="24"/>
              </w:rPr>
              <w:t>La ley Orgánica 2/2012, de 27 de abril, de Estabilidad Presupuestaria y Sostenibilidad Financiera (LOEPSF) establece una serie de requisitos a cumplir, entre otros, la Liquidación y Aprobación de la Cuenta General de las Administraciones Públicas</w:t>
            </w:r>
          </w:p>
        </w:tc>
      </w:tr>
      <w:tr w:rsidR="00AE1ABA" w:rsidRPr="004E3513" w14:paraId="41CF6096" w14:textId="77777777" w:rsidTr="00AE1ABA">
        <w:tc>
          <w:tcPr>
            <w:tcW w:w="4534" w:type="dxa"/>
            <w:tcBorders>
              <w:right w:val="single" w:sz="4" w:space="0" w:color="808080"/>
            </w:tcBorders>
          </w:tcPr>
          <w:p w14:paraId="79FDC468" w14:textId="77777777" w:rsidR="00AE1ABA" w:rsidRDefault="00D34B11" w:rsidP="00D34B11">
            <w:pPr>
              <w:ind w:left="57" w:right="57"/>
              <w:jc w:val="both"/>
              <w:rPr>
                <w:rFonts w:asciiTheme="minorHAnsi" w:hAnsiTheme="minorHAnsi" w:cstheme="minorHAnsi"/>
                <w:sz w:val="24"/>
                <w:szCs w:val="24"/>
              </w:rPr>
            </w:pPr>
            <w:r w:rsidRPr="00D34B11">
              <w:rPr>
                <w:rFonts w:asciiTheme="minorHAnsi" w:hAnsiTheme="minorHAnsi" w:cstheme="minorHAnsi"/>
                <w:sz w:val="24"/>
                <w:szCs w:val="24"/>
              </w:rPr>
              <w:t>2020, 2021, 2022 eta 2023ko ekitaldietan, arau fiskalak etenda egon dira Espainian, Europako Batzordearen gomendioei jarraituz; izan ere, Egonkortasun eta Hazkunde Itunaren babes-klausula orokorra aplikatzea erabaki zuen, COVID-19ak eragindako pandemiaren ondorioak arintzeko, eta, ondoren, Ukrainako gerrarenak.</w:t>
            </w:r>
          </w:p>
          <w:p w14:paraId="10271FFD" w14:textId="77777777" w:rsidR="00D34B11" w:rsidRDefault="00D34B11" w:rsidP="00D34B11">
            <w:pPr>
              <w:ind w:left="57" w:right="57"/>
              <w:jc w:val="both"/>
              <w:rPr>
                <w:rFonts w:asciiTheme="minorHAnsi" w:hAnsiTheme="minorHAnsi" w:cstheme="minorHAnsi"/>
                <w:sz w:val="24"/>
                <w:szCs w:val="24"/>
              </w:rPr>
            </w:pPr>
          </w:p>
          <w:p w14:paraId="2283CF5B" w14:textId="77777777" w:rsidR="00D34B11" w:rsidRDefault="00D34B11" w:rsidP="00D34B11">
            <w:pPr>
              <w:ind w:left="57" w:right="57"/>
              <w:jc w:val="both"/>
              <w:rPr>
                <w:rFonts w:asciiTheme="minorHAnsi" w:hAnsiTheme="minorHAnsi" w:cstheme="minorHAnsi"/>
                <w:sz w:val="24"/>
                <w:szCs w:val="24"/>
              </w:rPr>
            </w:pPr>
          </w:p>
          <w:p w14:paraId="3AA9B1B2" w14:textId="77777777" w:rsidR="00D34B11" w:rsidRDefault="00D34B11" w:rsidP="00D34B11">
            <w:pPr>
              <w:ind w:left="57" w:right="57"/>
              <w:jc w:val="both"/>
              <w:rPr>
                <w:rFonts w:asciiTheme="minorHAnsi" w:hAnsiTheme="minorHAnsi" w:cstheme="minorHAnsi"/>
                <w:sz w:val="24"/>
                <w:szCs w:val="24"/>
              </w:rPr>
            </w:pPr>
            <w:r w:rsidRPr="00D34B11">
              <w:rPr>
                <w:rFonts w:asciiTheme="minorHAnsi" w:hAnsiTheme="minorHAnsi" w:cstheme="minorHAnsi"/>
                <w:sz w:val="24"/>
                <w:szCs w:val="24"/>
              </w:rPr>
              <w:t>Europako Batzordeak Kontseiluari 2023ko martxoaren 8an egindako jakinarazpenean, 5. paragrafoan, 2023ko amaieratik aurrera babes-klausula orokorra kentzea ezartzen da.</w:t>
            </w:r>
          </w:p>
          <w:p w14:paraId="3B40596F" w14:textId="77777777" w:rsidR="00D34B11" w:rsidRDefault="00D34B11" w:rsidP="00D34B11">
            <w:pPr>
              <w:ind w:left="57" w:right="57"/>
              <w:jc w:val="both"/>
              <w:rPr>
                <w:rFonts w:asciiTheme="minorHAnsi" w:hAnsiTheme="minorHAnsi" w:cstheme="minorHAnsi"/>
                <w:sz w:val="24"/>
                <w:szCs w:val="24"/>
              </w:rPr>
            </w:pPr>
          </w:p>
          <w:p w14:paraId="12BF1C32" w14:textId="4FA200A8" w:rsidR="00D34B11" w:rsidRPr="004E3513" w:rsidRDefault="00D34B11" w:rsidP="00D34B11">
            <w:pPr>
              <w:ind w:left="57" w:right="57"/>
              <w:jc w:val="both"/>
              <w:rPr>
                <w:rFonts w:asciiTheme="minorHAnsi" w:hAnsiTheme="minorHAnsi" w:cstheme="minorHAnsi"/>
                <w:sz w:val="24"/>
                <w:szCs w:val="24"/>
              </w:rPr>
            </w:pPr>
            <w:r w:rsidRPr="00D34B11">
              <w:rPr>
                <w:rFonts w:asciiTheme="minorHAnsi" w:hAnsiTheme="minorHAnsi" w:cstheme="minorHAnsi"/>
                <w:sz w:val="24"/>
                <w:szCs w:val="24"/>
              </w:rPr>
              <w:t>Ondorioz, Espainiako administrazio publikoei aplikatu beharreko arau fiskalak 2024an berraktibatuko dira, eta horiek betetzera behartuta geratuko dira.</w:t>
            </w:r>
          </w:p>
        </w:tc>
        <w:tc>
          <w:tcPr>
            <w:tcW w:w="4536" w:type="dxa"/>
            <w:tcBorders>
              <w:left w:val="single" w:sz="4" w:space="0" w:color="808080"/>
            </w:tcBorders>
          </w:tcPr>
          <w:p w14:paraId="48A976AA" w14:textId="77777777" w:rsidR="00AE1ABA" w:rsidRDefault="00AE1ABA" w:rsidP="00B63396">
            <w:pPr>
              <w:ind w:left="57" w:right="57"/>
              <w:jc w:val="both"/>
              <w:rPr>
                <w:rFonts w:asciiTheme="minorHAnsi" w:hAnsiTheme="minorHAnsi" w:cstheme="minorHAnsi"/>
                <w:sz w:val="24"/>
                <w:szCs w:val="24"/>
              </w:rPr>
            </w:pPr>
            <w:r w:rsidRPr="00DA26F8">
              <w:rPr>
                <w:rFonts w:asciiTheme="minorHAnsi" w:hAnsiTheme="minorHAnsi" w:cstheme="minorHAnsi"/>
                <w:sz w:val="24"/>
                <w:szCs w:val="24"/>
              </w:rPr>
              <w:t>Durante los ejercicios 2020, 2021, 2022 y 2023 han estado suspendidas las reglas fiscales en España, siguiendo las recomendaciones de la Comisión Europea, que decidió aplicar la cláusula general de salvaguardia del Pacto de Estabilidad y Crecimiento, para amortiguar los efectos de la pandemia causada por el COVID-19 y, posteriormente, los de la guerra de Ucrania.</w:t>
            </w:r>
          </w:p>
          <w:p w14:paraId="70F227FD" w14:textId="77777777" w:rsidR="00B63396" w:rsidRPr="00DA26F8" w:rsidRDefault="00B63396" w:rsidP="00B63396">
            <w:pPr>
              <w:ind w:left="57" w:right="57"/>
              <w:jc w:val="both"/>
              <w:rPr>
                <w:rFonts w:asciiTheme="minorHAnsi" w:hAnsiTheme="minorHAnsi" w:cstheme="minorHAnsi"/>
                <w:sz w:val="24"/>
                <w:szCs w:val="24"/>
              </w:rPr>
            </w:pPr>
          </w:p>
          <w:p w14:paraId="5E2B4E1F" w14:textId="77777777" w:rsidR="00AE1ABA" w:rsidRDefault="00AE1ABA" w:rsidP="00B63396">
            <w:pPr>
              <w:ind w:left="57" w:right="57"/>
              <w:jc w:val="both"/>
              <w:rPr>
                <w:rFonts w:asciiTheme="minorHAnsi" w:hAnsiTheme="minorHAnsi" w:cstheme="minorHAnsi"/>
                <w:sz w:val="24"/>
                <w:szCs w:val="24"/>
              </w:rPr>
            </w:pPr>
            <w:r w:rsidRPr="00DA26F8">
              <w:rPr>
                <w:rFonts w:asciiTheme="minorHAnsi" w:hAnsiTheme="minorHAnsi" w:cstheme="minorHAnsi"/>
                <w:sz w:val="24"/>
                <w:szCs w:val="24"/>
              </w:rPr>
              <w:t>En la Comunicación de la Comisión Europea al Consejo de 8 de marzo de 2023, apartado 5, se establece la retirada de la cláusula general de salvaguardia a partir de finales de 2023.</w:t>
            </w:r>
          </w:p>
          <w:p w14:paraId="16DC2671" w14:textId="77777777" w:rsidR="00B63396" w:rsidRPr="00DA26F8" w:rsidRDefault="00B63396" w:rsidP="00B63396">
            <w:pPr>
              <w:ind w:left="57" w:right="57"/>
              <w:jc w:val="both"/>
              <w:rPr>
                <w:rFonts w:asciiTheme="minorHAnsi" w:hAnsiTheme="minorHAnsi" w:cstheme="minorHAnsi"/>
                <w:sz w:val="24"/>
                <w:szCs w:val="24"/>
              </w:rPr>
            </w:pPr>
          </w:p>
          <w:p w14:paraId="239FBAD6" w14:textId="1500157C" w:rsidR="00AE1ABA" w:rsidRPr="004E3513" w:rsidRDefault="00AE1ABA" w:rsidP="00B63396">
            <w:pPr>
              <w:ind w:left="57" w:right="57"/>
              <w:jc w:val="both"/>
              <w:rPr>
                <w:rFonts w:asciiTheme="minorHAnsi" w:hAnsiTheme="minorHAnsi" w:cstheme="minorHAnsi"/>
                <w:sz w:val="24"/>
                <w:szCs w:val="24"/>
              </w:rPr>
            </w:pPr>
            <w:r w:rsidRPr="00DA26F8">
              <w:rPr>
                <w:rFonts w:asciiTheme="minorHAnsi" w:hAnsiTheme="minorHAnsi" w:cstheme="minorHAnsi"/>
                <w:sz w:val="24"/>
                <w:szCs w:val="24"/>
              </w:rPr>
              <w:t>En consecuencia, las reglas fiscales aplicables a las Administraciones Públicas españolas quedan reactivadas en 2024, quedando estas obligadas a su cumplimiento</w:t>
            </w:r>
            <w:r w:rsidR="00D34B11">
              <w:rPr>
                <w:rFonts w:asciiTheme="minorHAnsi" w:hAnsiTheme="minorHAnsi" w:cstheme="minorHAnsi"/>
                <w:sz w:val="24"/>
                <w:szCs w:val="24"/>
              </w:rPr>
              <w:t>.</w:t>
            </w:r>
          </w:p>
        </w:tc>
      </w:tr>
      <w:tr w:rsidR="002C5A81" w14:paraId="5E113FFD" w14:textId="77777777" w:rsidTr="00AE1ABA">
        <w:tc>
          <w:tcPr>
            <w:tcW w:w="4534" w:type="dxa"/>
            <w:tcBorders>
              <w:right w:val="single" w:sz="4" w:space="0" w:color="808080"/>
            </w:tcBorders>
          </w:tcPr>
          <w:p w14:paraId="20788CF9" w14:textId="77777777" w:rsidR="002C5A81" w:rsidRDefault="002C5A81" w:rsidP="005133A3">
            <w:pPr>
              <w:ind w:right="170"/>
            </w:pPr>
          </w:p>
        </w:tc>
        <w:tc>
          <w:tcPr>
            <w:tcW w:w="4536" w:type="dxa"/>
            <w:tcBorders>
              <w:left w:val="single" w:sz="4" w:space="0" w:color="808080"/>
            </w:tcBorders>
          </w:tcPr>
          <w:p w14:paraId="4BC4F5A9" w14:textId="77777777" w:rsidR="00B63396" w:rsidRDefault="00B63396" w:rsidP="00B63396">
            <w:pPr>
              <w:ind w:left="170"/>
            </w:pPr>
          </w:p>
        </w:tc>
      </w:tr>
      <w:tr w:rsidR="00AE1ABA" w:rsidRPr="00AE1ABA" w14:paraId="53E0B7E2" w14:textId="77777777" w:rsidTr="00AE1ABA">
        <w:tc>
          <w:tcPr>
            <w:tcW w:w="4534" w:type="dxa"/>
            <w:tcBorders>
              <w:right w:val="single" w:sz="4" w:space="0" w:color="808080"/>
            </w:tcBorders>
          </w:tcPr>
          <w:p w14:paraId="182D0305" w14:textId="77777777" w:rsidR="00AE1ABA" w:rsidRDefault="00D34B11" w:rsidP="00D34B11">
            <w:pPr>
              <w:ind w:right="170"/>
              <w:jc w:val="both"/>
              <w:rPr>
                <w:rFonts w:asciiTheme="minorHAnsi" w:hAnsiTheme="minorHAnsi" w:cstheme="minorHAnsi"/>
                <w:sz w:val="24"/>
                <w:szCs w:val="24"/>
              </w:rPr>
            </w:pPr>
            <w:r w:rsidRPr="00D34B11">
              <w:rPr>
                <w:rFonts w:asciiTheme="minorHAnsi" w:hAnsiTheme="minorHAnsi" w:cstheme="minorHAnsi"/>
                <w:sz w:val="24"/>
                <w:szCs w:val="24"/>
              </w:rPr>
              <w:t xml:space="preserve">Ministro Kontseiluaren 2023ko abenduaren 12ko Erabakiaren bidez, tokiko azpisektorearen aurrekontu-egonkortasuneko helburuak ezarri ziren 2024-2026 hirurtekoan. Helburu horiek </w:t>
            </w:r>
            <w:r w:rsidRPr="00D34B11">
              <w:rPr>
                <w:rFonts w:asciiTheme="minorHAnsi" w:hAnsiTheme="minorHAnsi" w:cstheme="minorHAnsi"/>
                <w:sz w:val="24"/>
                <w:szCs w:val="24"/>
              </w:rPr>
              <w:lastRenderedPageBreak/>
              <w:t>Diputatuen Kongresuak onartu zituen urtarrilaren 10ean, baina Senatuak atzera bota zituen otsailaren 7an.</w:t>
            </w:r>
          </w:p>
          <w:p w14:paraId="64B1AD5A" w14:textId="77777777" w:rsidR="00D34B11" w:rsidRDefault="00D34B11" w:rsidP="00AE1ABA">
            <w:pPr>
              <w:ind w:right="170"/>
              <w:rPr>
                <w:rFonts w:asciiTheme="minorHAnsi" w:hAnsiTheme="minorHAnsi" w:cstheme="minorHAnsi"/>
                <w:sz w:val="24"/>
                <w:szCs w:val="24"/>
              </w:rPr>
            </w:pPr>
          </w:p>
          <w:p w14:paraId="0672078A" w14:textId="77777777" w:rsidR="00D34B11" w:rsidRDefault="00D34B11" w:rsidP="00D34B11">
            <w:pPr>
              <w:ind w:right="170"/>
              <w:jc w:val="both"/>
              <w:rPr>
                <w:rFonts w:asciiTheme="minorHAnsi" w:hAnsiTheme="minorHAnsi" w:cstheme="minorHAnsi"/>
                <w:sz w:val="24"/>
                <w:szCs w:val="24"/>
              </w:rPr>
            </w:pPr>
            <w:r w:rsidRPr="00D34B11">
              <w:rPr>
                <w:rFonts w:asciiTheme="minorHAnsi" w:hAnsiTheme="minorHAnsi" w:cstheme="minorHAnsi"/>
                <w:sz w:val="24"/>
                <w:szCs w:val="24"/>
              </w:rPr>
              <w:t>Ondoren, Ministroen Kontseiluak, Aurrekontu Egonkortasunari eta Finantza Iraunkortasunari buruzko apirilaren 27ko 2/2012 Lege Organikoaren 15.6 artikuluan aurreikusitakoari jarraiki, helburuak ezartzeko bigarren akordio bat hartu zuen otsailaren 13an, aurrekoarekin bat zetorrena, eta Diputatuen Kongresuak berriro berretsi zuen otsailaren 29an, eta Senatuak atzera bota zuen martxoaren 6an.</w:t>
            </w:r>
          </w:p>
          <w:p w14:paraId="648A9541" w14:textId="77777777" w:rsidR="00D34B11" w:rsidRDefault="00D34B11" w:rsidP="00D34B11">
            <w:pPr>
              <w:ind w:right="170"/>
              <w:jc w:val="both"/>
              <w:rPr>
                <w:rFonts w:asciiTheme="minorHAnsi" w:hAnsiTheme="minorHAnsi" w:cstheme="minorHAnsi"/>
                <w:sz w:val="24"/>
                <w:szCs w:val="24"/>
              </w:rPr>
            </w:pPr>
          </w:p>
          <w:p w14:paraId="7225958B" w14:textId="0D1790DA" w:rsidR="00D34B11" w:rsidRPr="00AE1ABA" w:rsidRDefault="008D0725" w:rsidP="00D34B11">
            <w:pPr>
              <w:ind w:right="170"/>
              <w:jc w:val="both"/>
              <w:rPr>
                <w:rFonts w:asciiTheme="minorHAnsi" w:hAnsiTheme="minorHAnsi" w:cstheme="minorHAnsi"/>
                <w:sz w:val="24"/>
                <w:szCs w:val="24"/>
              </w:rPr>
            </w:pPr>
            <w:r w:rsidRPr="008D0725">
              <w:rPr>
                <w:rFonts w:asciiTheme="minorHAnsi" w:hAnsiTheme="minorHAnsi" w:cstheme="minorHAnsi"/>
                <w:sz w:val="24"/>
                <w:szCs w:val="24"/>
              </w:rPr>
              <w:t xml:space="preserve">Aurrekontu Egonkortasunari eta Finantza Iraunkortasunari buruzko Lege Organikoaren 10. artikuluan aurreikusitakoaren arabera, lotesleak dira </w:t>
            </w:r>
            <w:r w:rsidRPr="008D0725">
              <w:rPr>
                <w:rFonts w:asciiTheme="minorHAnsi" w:hAnsiTheme="minorHAnsi" w:cstheme="minorHAnsi"/>
                <w:b/>
                <w:bCs/>
                <w:sz w:val="24"/>
                <w:szCs w:val="24"/>
              </w:rPr>
              <w:t>2023ko apirilaren 28ko 2023-2026 Egonkortasun Programaren</w:t>
            </w:r>
            <w:r w:rsidRPr="008D0725">
              <w:rPr>
                <w:rFonts w:asciiTheme="minorHAnsi" w:hAnsiTheme="minorHAnsi" w:cstheme="minorHAnsi"/>
                <w:sz w:val="24"/>
                <w:szCs w:val="24"/>
              </w:rPr>
              <w:t xml:space="preserve"> eguneratzean tokiko azpisektorearentzat ezarritako aurrekontu-egonkortasuneko helburuak, Kontseiluak aldeko balorazioa eman baitio.</w:t>
            </w:r>
          </w:p>
        </w:tc>
        <w:tc>
          <w:tcPr>
            <w:tcW w:w="4536" w:type="dxa"/>
            <w:tcBorders>
              <w:left w:val="single" w:sz="4" w:space="0" w:color="808080"/>
            </w:tcBorders>
          </w:tcPr>
          <w:p w14:paraId="26E6D70E" w14:textId="032886FF" w:rsidR="00AE1ABA" w:rsidRPr="00AE1ABA" w:rsidRDefault="00AE1ABA" w:rsidP="00B63396">
            <w:pPr>
              <w:ind w:left="57" w:right="57"/>
              <w:jc w:val="both"/>
              <w:rPr>
                <w:rFonts w:asciiTheme="minorHAnsi" w:hAnsiTheme="minorHAnsi" w:cstheme="minorHAnsi"/>
                <w:sz w:val="24"/>
                <w:szCs w:val="24"/>
              </w:rPr>
            </w:pPr>
            <w:r w:rsidRPr="00AE1ABA">
              <w:rPr>
                <w:rFonts w:asciiTheme="minorHAnsi" w:hAnsiTheme="minorHAnsi" w:cstheme="minorHAnsi"/>
                <w:sz w:val="24"/>
                <w:szCs w:val="24"/>
              </w:rPr>
              <w:lastRenderedPageBreak/>
              <w:t>Por Acuerdo de Consejo de Ministros de 12 de diciembre de 2023</w:t>
            </w:r>
            <w:r>
              <w:rPr>
                <w:rFonts w:asciiTheme="minorHAnsi" w:hAnsiTheme="minorHAnsi" w:cstheme="minorHAnsi"/>
                <w:sz w:val="24"/>
                <w:szCs w:val="24"/>
              </w:rPr>
              <w:t>,</w:t>
            </w:r>
            <w:r w:rsidRPr="00AE1ABA">
              <w:rPr>
                <w:rFonts w:asciiTheme="minorHAnsi" w:hAnsiTheme="minorHAnsi" w:cstheme="minorHAnsi"/>
                <w:sz w:val="24"/>
                <w:szCs w:val="24"/>
              </w:rPr>
              <w:t xml:space="preserve"> se fijaron los objetivos de estabilidad presupuestaria para el subsector local en el trienio 2024-2026</w:t>
            </w:r>
            <w:r w:rsidR="00B63396">
              <w:rPr>
                <w:rFonts w:asciiTheme="minorHAnsi" w:hAnsiTheme="minorHAnsi" w:cstheme="minorHAnsi"/>
                <w:sz w:val="24"/>
                <w:szCs w:val="24"/>
              </w:rPr>
              <w:t xml:space="preserve">. </w:t>
            </w:r>
            <w:r w:rsidRPr="00AE1ABA">
              <w:rPr>
                <w:rFonts w:asciiTheme="minorHAnsi" w:hAnsiTheme="minorHAnsi" w:cstheme="minorHAnsi"/>
                <w:sz w:val="24"/>
                <w:szCs w:val="24"/>
              </w:rPr>
              <w:t xml:space="preserve">Estos objetivos se aprobaron por el </w:t>
            </w:r>
            <w:r w:rsidRPr="00AE1ABA">
              <w:rPr>
                <w:rFonts w:asciiTheme="minorHAnsi" w:hAnsiTheme="minorHAnsi" w:cstheme="minorHAnsi"/>
                <w:sz w:val="24"/>
                <w:szCs w:val="24"/>
              </w:rPr>
              <w:lastRenderedPageBreak/>
              <w:t>Congreso de los Diputados el pasado 10 de enero, pero se rechazaron por el Senado el 7 de febrero.</w:t>
            </w:r>
          </w:p>
          <w:p w14:paraId="00D4FABF" w14:textId="77777777" w:rsidR="00AE1ABA" w:rsidRPr="00AE1ABA" w:rsidRDefault="00AE1ABA" w:rsidP="00B63396">
            <w:pPr>
              <w:ind w:left="57" w:right="57"/>
              <w:jc w:val="both"/>
              <w:rPr>
                <w:rFonts w:asciiTheme="minorHAnsi" w:hAnsiTheme="minorHAnsi" w:cstheme="minorHAnsi"/>
                <w:sz w:val="24"/>
                <w:szCs w:val="24"/>
              </w:rPr>
            </w:pPr>
          </w:p>
          <w:p w14:paraId="05A42FE1" w14:textId="52388809" w:rsidR="00AE1ABA" w:rsidRPr="00AE1ABA" w:rsidRDefault="00AE1ABA" w:rsidP="00B63396">
            <w:pPr>
              <w:ind w:left="57" w:right="57"/>
              <w:jc w:val="both"/>
              <w:rPr>
                <w:rFonts w:asciiTheme="minorHAnsi" w:hAnsiTheme="minorHAnsi" w:cstheme="minorHAnsi"/>
                <w:sz w:val="24"/>
                <w:szCs w:val="24"/>
              </w:rPr>
            </w:pPr>
            <w:r w:rsidRPr="00AE1ABA">
              <w:rPr>
                <w:rFonts w:asciiTheme="minorHAnsi" w:hAnsiTheme="minorHAnsi" w:cstheme="minorHAnsi"/>
                <w:sz w:val="24"/>
                <w:szCs w:val="24"/>
              </w:rPr>
              <w:t>Posteriormente, el Consejo de Ministros, en virtud de lo previsto en el artículo 15.6 de la Ley Orgánica 2/2012, de 27 de abril, de Estabilidad Presupuestaria y Sostenibilidad Financiera (LOEPSF) adoptó, el 13 de febrero, un segundo acuerdo de establecimiento de objetivos, coincidente con el anterior, que fue ratificado de nuevo por el Congreso de los Diputados el día 29 de febrero y rechazado por el Senado el día 6 de marzo.</w:t>
            </w:r>
          </w:p>
          <w:p w14:paraId="06CD90F3" w14:textId="77777777" w:rsidR="00AE1ABA" w:rsidRPr="00AE1ABA" w:rsidRDefault="00AE1ABA" w:rsidP="00B63396">
            <w:pPr>
              <w:ind w:left="57" w:right="57"/>
              <w:jc w:val="both"/>
              <w:rPr>
                <w:rFonts w:asciiTheme="minorHAnsi" w:hAnsiTheme="minorHAnsi" w:cstheme="minorHAnsi"/>
                <w:sz w:val="24"/>
                <w:szCs w:val="24"/>
              </w:rPr>
            </w:pPr>
          </w:p>
          <w:p w14:paraId="173E80D2" w14:textId="5DA3EA56" w:rsidR="00AE1ABA" w:rsidRPr="00AE1ABA" w:rsidRDefault="00AE1ABA" w:rsidP="00B63396">
            <w:pPr>
              <w:ind w:left="57" w:right="57"/>
              <w:jc w:val="both"/>
              <w:rPr>
                <w:rFonts w:asciiTheme="minorHAnsi" w:hAnsiTheme="minorHAnsi" w:cstheme="minorHAnsi"/>
                <w:sz w:val="24"/>
                <w:szCs w:val="24"/>
              </w:rPr>
            </w:pPr>
            <w:r>
              <w:rPr>
                <w:rFonts w:asciiTheme="minorHAnsi" w:hAnsiTheme="minorHAnsi" w:cstheme="minorHAnsi"/>
                <w:sz w:val="24"/>
                <w:szCs w:val="24"/>
              </w:rPr>
              <w:t>C</w:t>
            </w:r>
            <w:r w:rsidRPr="00AE1ABA">
              <w:rPr>
                <w:rFonts w:asciiTheme="minorHAnsi" w:hAnsiTheme="minorHAnsi" w:cstheme="minorHAnsi"/>
                <w:sz w:val="24"/>
                <w:szCs w:val="24"/>
              </w:rPr>
              <w:t xml:space="preserve">onforme a lo previsto en el artículo 10 de la LOESPF, tienen carácter vinculante los objetivos de estabilidad presupuestaria establecidos para el subsector local en la </w:t>
            </w:r>
            <w:r w:rsidRPr="00B63396">
              <w:rPr>
                <w:rFonts w:asciiTheme="minorHAnsi" w:hAnsiTheme="minorHAnsi" w:cstheme="minorHAnsi"/>
                <w:b/>
                <w:bCs/>
                <w:sz w:val="24"/>
                <w:szCs w:val="24"/>
              </w:rPr>
              <w:t>Actualización del Programa de Estabilidad 2023-2026, de 28 de abril de 2023</w:t>
            </w:r>
            <w:r w:rsidRPr="00AE1ABA">
              <w:rPr>
                <w:rFonts w:asciiTheme="minorHAnsi" w:hAnsiTheme="minorHAnsi" w:cstheme="minorHAnsi"/>
                <w:sz w:val="24"/>
                <w:szCs w:val="24"/>
              </w:rPr>
              <w:t xml:space="preserve">, valorado favorablemente por el Consejo </w:t>
            </w:r>
          </w:p>
        </w:tc>
      </w:tr>
      <w:tr w:rsidR="00AE1ABA" w:rsidRPr="00CA2446" w14:paraId="4BF36968" w14:textId="77777777" w:rsidTr="00AE1ABA">
        <w:tc>
          <w:tcPr>
            <w:tcW w:w="4534" w:type="dxa"/>
            <w:tcBorders>
              <w:right w:val="single" w:sz="4" w:space="0" w:color="808080"/>
            </w:tcBorders>
          </w:tcPr>
          <w:p w14:paraId="77625788" w14:textId="77777777" w:rsidR="00AE1ABA" w:rsidRDefault="00AE1ABA" w:rsidP="00AE1ABA">
            <w:pPr>
              <w:ind w:right="170"/>
              <w:rPr>
                <w:rFonts w:asciiTheme="minorHAnsi" w:hAnsiTheme="minorHAnsi" w:cstheme="minorHAnsi"/>
                <w:sz w:val="24"/>
                <w:szCs w:val="24"/>
              </w:rPr>
            </w:pPr>
          </w:p>
          <w:p w14:paraId="51E6D60C" w14:textId="5BCCF307" w:rsidR="00AE1ABA" w:rsidRPr="00C64EB1" w:rsidRDefault="008D0725" w:rsidP="008D0725">
            <w:pPr>
              <w:ind w:right="170"/>
              <w:jc w:val="both"/>
              <w:rPr>
                <w:rFonts w:asciiTheme="minorHAnsi" w:hAnsiTheme="minorHAnsi" w:cstheme="minorHAnsi"/>
                <w:sz w:val="24"/>
                <w:szCs w:val="24"/>
              </w:rPr>
            </w:pPr>
            <w:r>
              <w:rPr>
                <w:rFonts w:asciiTheme="minorHAnsi" w:hAnsiTheme="minorHAnsi" w:cstheme="minorHAnsi"/>
                <w:sz w:val="24"/>
                <w:szCs w:val="24"/>
              </w:rPr>
              <w:t>A</w:t>
            </w:r>
            <w:r w:rsidRPr="008D0725">
              <w:rPr>
                <w:rFonts w:asciiTheme="minorHAnsi" w:hAnsiTheme="minorHAnsi" w:cstheme="minorHAnsi"/>
                <w:sz w:val="24"/>
                <w:szCs w:val="24"/>
              </w:rPr>
              <w:t>urrekontu Egonkortasunari eta Finantza Iraunkortasunari buruzko apirilaren 27ko 2/2012 Lege Organikoa betez, Arabako Lurralde Historikoaren 202</w:t>
            </w:r>
            <w:r w:rsidR="002C7614">
              <w:rPr>
                <w:rFonts w:asciiTheme="minorHAnsi" w:hAnsiTheme="minorHAnsi" w:cstheme="minorHAnsi"/>
                <w:sz w:val="24"/>
                <w:szCs w:val="24"/>
              </w:rPr>
              <w:t>5</w:t>
            </w:r>
            <w:r w:rsidRPr="008D0725">
              <w:rPr>
                <w:rFonts w:asciiTheme="minorHAnsi" w:hAnsiTheme="minorHAnsi" w:cstheme="minorHAnsi"/>
                <w:sz w:val="24"/>
                <w:szCs w:val="24"/>
              </w:rPr>
              <w:t>. urterako Kontu Orokorrarekin batera doan txosten hau egin da.</w:t>
            </w:r>
          </w:p>
        </w:tc>
        <w:tc>
          <w:tcPr>
            <w:tcW w:w="4536" w:type="dxa"/>
            <w:tcBorders>
              <w:left w:val="single" w:sz="4" w:space="0" w:color="808080"/>
            </w:tcBorders>
          </w:tcPr>
          <w:p w14:paraId="5DF3C2A2" w14:textId="77777777" w:rsidR="00AE1ABA" w:rsidRDefault="00AE1ABA" w:rsidP="00B63396">
            <w:pPr>
              <w:ind w:left="57" w:right="57"/>
              <w:jc w:val="both"/>
              <w:rPr>
                <w:rFonts w:asciiTheme="minorHAnsi" w:hAnsiTheme="minorHAnsi" w:cstheme="minorHAnsi"/>
                <w:sz w:val="24"/>
                <w:szCs w:val="24"/>
              </w:rPr>
            </w:pPr>
          </w:p>
          <w:p w14:paraId="360A8093" w14:textId="78987EA6" w:rsidR="00AE1ABA" w:rsidRPr="00AE1ABA" w:rsidRDefault="00AE1ABA" w:rsidP="00B63396">
            <w:pPr>
              <w:ind w:left="57" w:right="57"/>
              <w:jc w:val="both"/>
              <w:rPr>
                <w:rFonts w:asciiTheme="minorHAnsi" w:hAnsiTheme="minorHAnsi" w:cstheme="minorHAnsi"/>
                <w:sz w:val="24"/>
                <w:szCs w:val="24"/>
              </w:rPr>
            </w:pPr>
            <w:r w:rsidRPr="00AE1ABA">
              <w:rPr>
                <w:rFonts w:asciiTheme="minorHAnsi" w:hAnsiTheme="minorHAnsi" w:cstheme="minorHAnsi"/>
                <w:sz w:val="24"/>
                <w:szCs w:val="24"/>
              </w:rPr>
              <w:t xml:space="preserve">En cumplimiento de </w:t>
            </w:r>
            <w:r w:rsidR="00B63396">
              <w:rPr>
                <w:rFonts w:asciiTheme="minorHAnsi" w:hAnsiTheme="minorHAnsi" w:cstheme="minorHAnsi"/>
                <w:sz w:val="24"/>
                <w:szCs w:val="24"/>
              </w:rPr>
              <w:t xml:space="preserve">la </w:t>
            </w:r>
            <w:r w:rsidR="00B63396" w:rsidRPr="00B63396">
              <w:rPr>
                <w:rFonts w:asciiTheme="minorHAnsi" w:hAnsiTheme="minorHAnsi" w:cstheme="minorHAnsi"/>
                <w:sz w:val="24"/>
                <w:szCs w:val="24"/>
              </w:rPr>
              <w:t>Ley Orgánica 2/2012, de 27 de abril, de Estabilidad Presupuestaria y Sostenibilidad Financiera (LOEPSF)</w:t>
            </w:r>
            <w:r w:rsidRPr="00AE1ABA">
              <w:rPr>
                <w:rFonts w:asciiTheme="minorHAnsi" w:hAnsiTheme="minorHAnsi" w:cstheme="minorHAnsi"/>
                <w:sz w:val="24"/>
                <w:szCs w:val="24"/>
              </w:rPr>
              <w:t>, se elabora el presente Informe que acompaña a la Cuenta General del Territorio Histórico de Álava/Araba para el año 202</w:t>
            </w:r>
            <w:r w:rsidR="002C7614">
              <w:rPr>
                <w:rFonts w:asciiTheme="minorHAnsi" w:hAnsiTheme="minorHAnsi" w:cstheme="minorHAnsi"/>
                <w:sz w:val="24"/>
                <w:szCs w:val="24"/>
              </w:rPr>
              <w:t>5</w:t>
            </w:r>
            <w:r w:rsidRPr="00AE1ABA">
              <w:rPr>
                <w:rFonts w:asciiTheme="minorHAnsi" w:hAnsiTheme="minorHAnsi" w:cstheme="minorHAnsi"/>
                <w:sz w:val="24"/>
                <w:szCs w:val="24"/>
              </w:rPr>
              <w:t>.</w:t>
            </w:r>
          </w:p>
        </w:tc>
      </w:tr>
      <w:tr w:rsidR="00EC59D9" w:rsidRPr="00B23FA6" w14:paraId="1F12E633" w14:textId="77777777" w:rsidTr="00693004">
        <w:tc>
          <w:tcPr>
            <w:tcW w:w="4536" w:type="dxa"/>
            <w:tcBorders>
              <w:right w:val="single" w:sz="4" w:space="0" w:color="808080"/>
            </w:tcBorders>
          </w:tcPr>
          <w:p w14:paraId="11BC42D5" w14:textId="77777777" w:rsidR="00EC59D9" w:rsidRPr="00B23FA6" w:rsidRDefault="00EC59D9" w:rsidP="00F21E3E">
            <w:pPr>
              <w:pStyle w:val="Ttulo1"/>
              <w:shd w:val="clear" w:color="auto" w:fill="D9D9D9"/>
              <w:spacing w:before="60" w:after="60"/>
              <w:ind w:left="57" w:right="57"/>
              <w:jc w:val="both"/>
              <w:rPr>
                <w:rFonts w:asciiTheme="minorHAnsi" w:hAnsiTheme="minorHAnsi" w:cstheme="minorHAnsi"/>
                <w:b/>
                <w:szCs w:val="24"/>
              </w:rPr>
            </w:pPr>
            <w:r w:rsidRPr="00B23FA6">
              <w:rPr>
                <w:rFonts w:asciiTheme="minorHAnsi" w:hAnsiTheme="minorHAnsi" w:cstheme="minorHAnsi"/>
                <w:b/>
                <w:szCs w:val="24"/>
              </w:rPr>
              <w:lastRenderedPageBreak/>
              <w:t>ARABAKO FORU ALDUNDIAREN MENPEKO ADMINISTRAZIO PUBLIKOAREN SEKTOREAREN MUGAKETA</w:t>
            </w:r>
          </w:p>
          <w:p w14:paraId="29B3D317" w14:textId="77777777" w:rsidR="006F19A5" w:rsidRDefault="006F19A5" w:rsidP="006F19A5">
            <w:pPr>
              <w:ind w:left="57" w:right="57"/>
              <w:jc w:val="both"/>
              <w:rPr>
                <w:rFonts w:asciiTheme="minorHAnsi" w:hAnsiTheme="minorHAnsi" w:cstheme="minorHAnsi"/>
                <w:snapToGrid w:val="0"/>
                <w:sz w:val="24"/>
                <w:szCs w:val="24"/>
              </w:rPr>
            </w:pPr>
          </w:p>
          <w:p w14:paraId="445A4F39" w14:textId="70546EE4" w:rsidR="006F19A5" w:rsidRDefault="008D0725" w:rsidP="006F19A5">
            <w:pPr>
              <w:ind w:left="57" w:right="57"/>
              <w:jc w:val="both"/>
              <w:rPr>
                <w:rFonts w:asciiTheme="minorHAnsi" w:hAnsiTheme="minorHAnsi" w:cstheme="minorHAnsi"/>
                <w:snapToGrid w:val="0"/>
                <w:sz w:val="24"/>
                <w:szCs w:val="24"/>
              </w:rPr>
            </w:pPr>
            <w:r w:rsidRPr="008D0725">
              <w:rPr>
                <w:rFonts w:asciiTheme="minorHAnsi" w:hAnsiTheme="minorHAnsi" w:cstheme="minorHAnsi"/>
                <w:snapToGrid w:val="0"/>
                <w:sz w:val="24"/>
                <w:szCs w:val="24"/>
              </w:rPr>
              <w:t>Erakundeen sektorizazioa Kontseiluaren 1996ko ekainaren 25eko 2223/96 (EE) Erregelamenduan definituta eta mugatuta dago.</w:t>
            </w:r>
          </w:p>
          <w:p w14:paraId="65FD32E9" w14:textId="77777777" w:rsidR="006F19A5" w:rsidRPr="00B23FA6" w:rsidRDefault="006F19A5" w:rsidP="006F19A5">
            <w:pPr>
              <w:ind w:left="57" w:right="57"/>
              <w:jc w:val="both"/>
              <w:rPr>
                <w:rFonts w:asciiTheme="minorHAnsi" w:hAnsiTheme="minorHAnsi" w:cstheme="minorHAnsi"/>
                <w:snapToGrid w:val="0"/>
                <w:sz w:val="24"/>
                <w:szCs w:val="24"/>
              </w:rPr>
            </w:pPr>
          </w:p>
          <w:p w14:paraId="40ABC361" w14:textId="3DC042AC" w:rsidR="00EC59D9" w:rsidRDefault="008D0725" w:rsidP="006F19A5">
            <w:pPr>
              <w:ind w:left="57" w:right="57"/>
              <w:jc w:val="both"/>
              <w:rPr>
                <w:rFonts w:asciiTheme="minorHAnsi" w:hAnsiTheme="minorHAnsi" w:cstheme="minorHAnsi"/>
                <w:snapToGrid w:val="0"/>
                <w:sz w:val="24"/>
                <w:szCs w:val="24"/>
              </w:rPr>
            </w:pPr>
            <w:r w:rsidRPr="008D0725">
              <w:rPr>
                <w:rFonts w:asciiTheme="minorHAnsi" w:hAnsiTheme="minorHAnsi" w:cstheme="minorHAnsi"/>
                <w:snapToGrid w:val="0"/>
                <w:sz w:val="24"/>
                <w:szCs w:val="24"/>
              </w:rPr>
              <w:t>Espainiako estatuan, Estatuko Administrazioaren Kontu-hartzailetza Nagusiari (IGAE) dagokio erakundeak sektoretan banatzeko eta zein erakunderen mende dauden zehazteko eskumena, aurreko Erregelamendua aplikatuta.</w:t>
            </w:r>
          </w:p>
          <w:p w14:paraId="64D17F7D" w14:textId="5414D386" w:rsidR="006F19A5" w:rsidRDefault="006F19A5" w:rsidP="006F19A5">
            <w:pPr>
              <w:ind w:left="57" w:right="57"/>
              <w:jc w:val="both"/>
              <w:rPr>
                <w:rFonts w:asciiTheme="minorHAnsi" w:hAnsiTheme="minorHAnsi" w:cstheme="minorHAnsi"/>
                <w:snapToGrid w:val="0"/>
                <w:sz w:val="24"/>
                <w:szCs w:val="24"/>
              </w:rPr>
            </w:pPr>
          </w:p>
          <w:p w14:paraId="5000989A" w14:textId="77777777" w:rsidR="008D0725" w:rsidRDefault="008D0725" w:rsidP="006F19A5">
            <w:pPr>
              <w:ind w:left="57" w:right="57"/>
              <w:jc w:val="both"/>
              <w:rPr>
                <w:rFonts w:asciiTheme="minorHAnsi" w:hAnsiTheme="minorHAnsi" w:cstheme="minorHAnsi"/>
                <w:snapToGrid w:val="0"/>
                <w:sz w:val="24"/>
                <w:szCs w:val="24"/>
              </w:rPr>
            </w:pPr>
          </w:p>
          <w:p w14:paraId="53A4B2C4" w14:textId="7A40CE20" w:rsidR="008D0725" w:rsidRDefault="008D0725" w:rsidP="008D0725">
            <w:pPr>
              <w:spacing w:after="60"/>
              <w:ind w:left="57" w:right="57"/>
              <w:jc w:val="both"/>
              <w:rPr>
                <w:rFonts w:asciiTheme="minorHAnsi" w:hAnsiTheme="minorHAnsi" w:cstheme="minorHAnsi"/>
                <w:snapToGrid w:val="0"/>
                <w:sz w:val="24"/>
                <w:szCs w:val="24"/>
              </w:rPr>
            </w:pPr>
            <w:r w:rsidRPr="008D0725">
              <w:rPr>
                <w:rFonts w:asciiTheme="minorHAnsi" w:hAnsiTheme="minorHAnsi" w:cstheme="minorHAnsi"/>
                <w:snapToGrid w:val="0"/>
                <w:sz w:val="24"/>
                <w:szCs w:val="24"/>
              </w:rPr>
              <w:t>IGAEtik jasotako azken txostenaren arabera, 202</w:t>
            </w:r>
            <w:r w:rsidR="002C7614">
              <w:rPr>
                <w:rFonts w:asciiTheme="minorHAnsi" w:hAnsiTheme="minorHAnsi" w:cstheme="minorHAnsi"/>
                <w:snapToGrid w:val="0"/>
                <w:sz w:val="24"/>
                <w:szCs w:val="24"/>
              </w:rPr>
              <w:t>5</w:t>
            </w:r>
            <w:r w:rsidRPr="008D0725">
              <w:rPr>
                <w:rFonts w:asciiTheme="minorHAnsi" w:hAnsiTheme="minorHAnsi" w:cstheme="minorHAnsi"/>
                <w:snapToGrid w:val="0"/>
                <w:sz w:val="24"/>
                <w:szCs w:val="24"/>
              </w:rPr>
              <w:t>an aplikatu beharrekoa, Arabako Foru Aldundiaren mendeko Administrazio Publikoaren Sektorea osatzen duten erakundeak honako hauek dira:</w:t>
            </w:r>
          </w:p>
          <w:p w14:paraId="162372FA" w14:textId="5537AAEA" w:rsidR="00D00ED2" w:rsidRPr="00B23FA6" w:rsidRDefault="00D00ED2"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Foru Administrazioa:</w:t>
            </w:r>
          </w:p>
          <w:p w14:paraId="68FEA022" w14:textId="77777777" w:rsidR="00D00ED2" w:rsidRPr="00B23FA6" w:rsidRDefault="00D00ED2" w:rsidP="00F21E3E">
            <w:pPr>
              <w:numPr>
                <w:ilvl w:val="0"/>
                <w:numId w:val="4"/>
              </w:numPr>
              <w:spacing w:before="60" w:after="200"/>
              <w:ind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Arabako Foru Aldundia</w:t>
            </w:r>
          </w:p>
          <w:p w14:paraId="0B5224DA" w14:textId="77777777" w:rsidR="00D00ED2" w:rsidRPr="00B23FA6" w:rsidRDefault="00D00ED2" w:rsidP="00F21E3E">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B02DFE" w:rsidRPr="00B23FA6">
              <w:rPr>
                <w:rFonts w:asciiTheme="minorHAnsi" w:hAnsiTheme="minorHAnsi" w:cstheme="minorHAnsi"/>
                <w:snapToGrid w:val="0"/>
                <w:sz w:val="24"/>
                <w:szCs w:val="24"/>
              </w:rPr>
              <w:t>Foru erakunde autonomoak:</w:t>
            </w:r>
            <w:r w:rsidRPr="00B23FA6">
              <w:rPr>
                <w:rFonts w:asciiTheme="minorHAnsi" w:hAnsiTheme="minorHAnsi" w:cstheme="minorHAnsi"/>
                <w:snapToGrid w:val="0"/>
                <w:sz w:val="24"/>
                <w:szCs w:val="24"/>
              </w:rPr>
              <w:t xml:space="preserve"> </w:t>
            </w:r>
          </w:p>
          <w:p w14:paraId="695C7345" w14:textId="77777777" w:rsidR="00D00ED2" w:rsidRPr="00B23FA6" w:rsidRDefault="000249E2"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Gizarte Ongizaterako Foru Erakundea</w:t>
            </w:r>
            <w:r w:rsidR="00D00ED2" w:rsidRPr="00B23FA6">
              <w:rPr>
                <w:rFonts w:asciiTheme="minorHAnsi" w:hAnsiTheme="minorHAnsi" w:cstheme="minorHAnsi"/>
                <w:snapToGrid w:val="0"/>
                <w:sz w:val="24"/>
                <w:szCs w:val="24"/>
              </w:rPr>
              <w:t xml:space="preserve"> </w:t>
            </w:r>
          </w:p>
          <w:p w14:paraId="1ABF0120" w14:textId="77777777" w:rsidR="00D00ED2" w:rsidRPr="00B23FA6" w:rsidRDefault="000249E2" w:rsidP="00F21E3E">
            <w:pPr>
              <w:numPr>
                <w:ilvl w:val="0"/>
                <w:numId w:val="10"/>
              </w:numPr>
              <w:spacing w:before="60" w:after="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Gazteriaren Foru Erakundea</w:t>
            </w:r>
          </w:p>
          <w:p w14:paraId="2C9AE10C" w14:textId="3D033BED" w:rsidR="001149EF" w:rsidRPr="00B23FA6" w:rsidRDefault="001149EF" w:rsidP="00F21E3E">
            <w:pPr>
              <w:numPr>
                <w:ilvl w:val="0"/>
                <w:numId w:val="10"/>
              </w:numPr>
              <w:spacing w:before="60" w:after="20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Arabako </w:t>
            </w:r>
            <w:r w:rsidR="00B23FA6">
              <w:rPr>
                <w:rFonts w:asciiTheme="minorHAnsi" w:hAnsiTheme="minorHAnsi" w:cstheme="minorHAnsi"/>
                <w:snapToGrid w:val="0"/>
                <w:sz w:val="24"/>
                <w:szCs w:val="24"/>
              </w:rPr>
              <w:t>F</w:t>
            </w:r>
            <w:r w:rsidRPr="00B23FA6">
              <w:rPr>
                <w:rFonts w:asciiTheme="minorHAnsi" w:hAnsiTheme="minorHAnsi" w:cstheme="minorHAnsi"/>
                <w:snapToGrid w:val="0"/>
                <w:sz w:val="24"/>
                <w:szCs w:val="24"/>
              </w:rPr>
              <w:t>oru Suhiltzaileak</w:t>
            </w:r>
          </w:p>
          <w:p w14:paraId="4CB85A95" w14:textId="77777777" w:rsidR="00D00ED2" w:rsidRPr="00B23FA6" w:rsidRDefault="00D00ED2"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0249E2" w:rsidRPr="00B23FA6">
              <w:rPr>
                <w:rFonts w:asciiTheme="minorHAnsi" w:hAnsiTheme="minorHAnsi" w:cstheme="minorHAnsi"/>
                <w:snapToGrid w:val="0"/>
                <w:sz w:val="24"/>
                <w:szCs w:val="24"/>
              </w:rPr>
              <w:t>Merkataritzako sozietateak</w:t>
            </w:r>
          </w:p>
          <w:p w14:paraId="5777DC12" w14:textId="7680FDB0" w:rsidR="00D00ED2" w:rsidRPr="00B23FA6" w:rsidRDefault="000249E2"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w:t>
            </w:r>
            <w:r w:rsidR="00507417" w:rsidRPr="00B23FA6">
              <w:rPr>
                <w:rFonts w:asciiTheme="minorHAnsi" w:hAnsiTheme="minorHAnsi" w:cstheme="minorHAnsi"/>
                <w:snapToGrid w:val="0"/>
                <w:sz w:val="24"/>
                <w:szCs w:val="24"/>
              </w:rPr>
              <w:t xml:space="preserve"> Garapen Agentzia</w:t>
            </w:r>
            <w:r w:rsidRPr="00B23FA6">
              <w:rPr>
                <w:rFonts w:asciiTheme="minorHAnsi" w:hAnsiTheme="minorHAnsi" w:cstheme="minorHAnsi"/>
                <w:snapToGrid w:val="0"/>
                <w:sz w:val="24"/>
                <w:szCs w:val="24"/>
              </w:rPr>
              <w:t xml:space="preserve"> </w:t>
            </w:r>
            <w:r w:rsidR="0094665C" w:rsidRPr="00B23FA6">
              <w:rPr>
                <w:rFonts w:asciiTheme="minorHAnsi" w:hAnsiTheme="minorHAnsi" w:cstheme="minorHAnsi"/>
                <w:snapToGrid w:val="0"/>
                <w:sz w:val="24"/>
                <w:szCs w:val="24"/>
              </w:rPr>
              <w:t xml:space="preserve"> SA</w:t>
            </w:r>
          </w:p>
          <w:p w14:paraId="2C42857E" w14:textId="77777777" w:rsidR="00507417" w:rsidRPr="00B23FA6" w:rsidRDefault="00507417"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lastRenderedPageBreak/>
              <w:t>Arabako Kalkulu Gunea SA</w:t>
            </w:r>
          </w:p>
          <w:p w14:paraId="26A330FB" w14:textId="099D5355" w:rsidR="00507417" w:rsidRPr="00B23FA6" w:rsidRDefault="00507417" w:rsidP="0051571A">
            <w:pPr>
              <w:numPr>
                <w:ilvl w:val="0"/>
                <w:numId w:val="14"/>
              </w:numPr>
              <w:spacing w:before="60" w:after="12"/>
              <w:ind w:left="454" w:right="57" w:hanging="227"/>
              <w:rPr>
                <w:rFonts w:asciiTheme="minorHAnsi" w:hAnsiTheme="minorHAnsi" w:cstheme="minorHAnsi"/>
                <w:snapToGrid w:val="0"/>
                <w:sz w:val="24"/>
                <w:szCs w:val="24"/>
                <w:lang w:val="en-US"/>
              </w:rPr>
            </w:pPr>
            <w:r w:rsidRPr="00B23FA6">
              <w:rPr>
                <w:rFonts w:asciiTheme="minorHAnsi" w:hAnsiTheme="minorHAnsi" w:cstheme="minorHAnsi"/>
                <w:snapToGrid w:val="0"/>
                <w:sz w:val="24"/>
                <w:szCs w:val="24"/>
              </w:rPr>
              <w:t>Indesa 2010 SL</w:t>
            </w:r>
          </w:p>
          <w:p w14:paraId="55D780A9" w14:textId="5B8E22FF" w:rsidR="00AA2B8B" w:rsidRPr="00B23FA6" w:rsidRDefault="005A3C8E" w:rsidP="00AA2B8B">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Naturgolf S.A.</w:t>
            </w:r>
          </w:p>
          <w:p w14:paraId="0D6B2249" w14:textId="77777777" w:rsidR="002C7614" w:rsidRDefault="007857F7" w:rsidP="001A2F31">
            <w:pPr>
              <w:numPr>
                <w:ilvl w:val="0"/>
                <w:numId w:val="14"/>
              </w:numPr>
              <w:spacing w:before="60" w:after="200"/>
              <w:ind w:left="454" w:right="57" w:hanging="227"/>
              <w:rPr>
                <w:rFonts w:asciiTheme="minorHAnsi" w:hAnsiTheme="minorHAnsi" w:cstheme="minorHAnsi"/>
                <w:snapToGrid w:val="0"/>
                <w:sz w:val="24"/>
                <w:szCs w:val="24"/>
              </w:rPr>
            </w:pPr>
            <w:r w:rsidRPr="002C7614">
              <w:rPr>
                <w:rFonts w:asciiTheme="minorHAnsi" w:hAnsiTheme="minorHAnsi" w:cstheme="minorHAnsi"/>
                <w:snapToGrid w:val="0"/>
                <w:sz w:val="24"/>
                <w:szCs w:val="24"/>
              </w:rPr>
              <w:t>VIA Promoción del Aeropuerto de Vitoria S.A.</w:t>
            </w:r>
          </w:p>
          <w:p w14:paraId="7EA24165" w14:textId="06D0A589" w:rsidR="002C7614" w:rsidRPr="002C7614" w:rsidRDefault="002C7614" w:rsidP="001A2F31">
            <w:pPr>
              <w:numPr>
                <w:ilvl w:val="0"/>
                <w:numId w:val="14"/>
              </w:numPr>
              <w:spacing w:before="60" w:after="200"/>
              <w:ind w:left="454" w:right="57" w:hanging="227"/>
              <w:rPr>
                <w:rFonts w:asciiTheme="minorHAnsi" w:hAnsiTheme="minorHAnsi" w:cstheme="minorHAnsi"/>
                <w:snapToGrid w:val="0"/>
                <w:sz w:val="24"/>
                <w:szCs w:val="24"/>
              </w:rPr>
            </w:pPr>
            <w:r w:rsidRPr="002C7614">
              <w:rPr>
                <w:rFonts w:asciiTheme="minorHAnsi" w:hAnsiTheme="minorHAnsi" w:cstheme="minorHAnsi"/>
                <w:snapToGrid w:val="0"/>
                <w:sz w:val="24"/>
                <w:szCs w:val="24"/>
              </w:rPr>
              <w:t>Enargi Araba SAU (Akziodun bakarra: Arabako Foru Aldundia)</w:t>
            </w:r>
          </w:p>
          <w:p w14:paraId="07C131E9" w14:textId="77777777" w:rsidR="00D00ED2" w:rsidRPr="00B23FA6" w:rsidRDefault="00D00ED2" w:rsidP="00693004">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F</w:t>
            </w:r>
            <w:r w:rsidR="000249E2" w:rsidRPr="00B23FA6">
              <w:rPr>
                <w:rFonts w:asciiTheme="minorHAnsi" w:hAnsiTheme="minorHAnsi" w:cstheme="minorHAnsi"/>
                <w:snapToGrid w:val="0"/>
                <w:sz w:val="24"/>
                <w:szCs w:val="24"/>
              </w:rPr>
              <w:t>undazioak:</w:t>
            </w:r>
          </w:p>
          <w:p w14:paraId="19A46820" w14:textId="77777777" w:rsidR="00D00ED2" w:rsidRPr="00B23FA6" w:rsidRDefault="000249E2"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Santa Maria Katedrala Fundazioa</w:t>
            </w:r>
          </w:p>
          <w:p w14:paraId="533B5B1B" w14:textId="77777777" w:rsidR="00D00ED2" w:rsidRPr="00B23FA6" w:rsidRDefault="00497298"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Artium Fundazioa</w:t>
            </w:r>
          </w:p>
          <w:p w14:paraId="2722FF97" w14:textId="77777777" w:rsidR="00D00ED2" w:rsidRPr="00B23FA6" w:rsidRDefault="001149EF" w:rsidP="007857F7">
            <w:pPr>
              <w:numPr>
                <w:ilvl w:val="0"/>
                <w:numId w:val="16"/>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Kirolaraba</w:t>
            </w:r>
            <w:r w:rsidR="005D3105" w:rsidRPr="00B23FA6">
              <w:rPr>
                <w:rFonts w:asciiTheme="minorHAnsi" w:hAnsiTheme="minorHAnsi" w:cstheme="minorHAnsi"/>
                <w:snapToGrid w:val="0"/>
                <w:sz w:val="24"/>
                <w:szCs w:val="24"/>
              </w:rPr>
              <w:t xml:space="preserve"> Fundazioa </w:t>
            </w:r>
          </w:p>
          <w:p w14:paraId="04B40319" w14:textId="77777777" w:rsidR="007857F7" w:rsidRDefault="007857F7" w:rsidP="007857F7">
            <w:pPr>
              <w:numPr>
                <w:ilvl w:val="0"/>
                <w:numId w:val="16"/>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Añanako Gatz Harana Fundazioa</w:t>
            </w:r>
          </w:p>
          <w:p w14:paraId="3D63EECB" w14:textId="2CDAA8E5" w:rsidR="00AA2B8B" w:rsidRPr="00B23FA6" w:rsidRDefault="00AA2B8B" w:rsidP="007857F7">
            <w:pPr>
              <w:numPr>
                <w:ilvl w:val="0"/>
                <w:numId w:val="16"/>
              </w:numPr>
              <w:spacing w:before="60" w:after="12"/>
              <w:ind w:left="454" w:right="57" w:hanging="227"/>
              <w:rPr>
                <w:rFonts w:asciiTheme="minorHAnsi" w:hAnsiTheme="minorHAnsi" w:cstheme="minorHAnsi"/>
                <w:snapToGrid w:val="0"/>
                <w:sz w:val="24"/>
                <w:szCs w:val="24"/>
              </w:rPr>
            </w:pPr>
            <w:r>
              <w:rPr>
                <w:rFonts w:asciiTheme="minorHAnsi" w:hAnsiTheme="minorHAnsi" w:cstheme="minorHAnsi"/>
                <w:snapToGrid w:val="0"/>
                <w:sz w:val="24"/>
                <w:szCs w:val="24"/>
              </w:rPr>
              <w:t>Vitoria-Gasteiz, Araba Mobility Lab Fundazioa</w:t>
            </w:r>
          </w:p>
          <w:p w14:paraId="08E79540" w14:textId="77777777" w:rsidR="00D00ED2" w:rsidRPr="00B23FA6" w:rsidRDefault="00D00ED2" w:rsidP="00F21E3E">
            <w:pPr>
              <w:numPr>
                <w:ilvl w:val="0"/>
                <w:numId w:val="15"/>
              </w:numPr>
              <w:spacing w:before="60"/>
              <w:ind w:left="57" w:right="57"/>
              <w:rPr>
                <w:rFonts w:asciiTheme="minorHAnsi" w:hAnsiTheme="minorHAnsi" w:cstheme="minorHAnsi"/>
                <w:sz w:val="24"/>
                <w:szCs w:val="24"/>
              </w:rPr>
            </w:pPr>
          </w:p>
        </w:tc>
        <w:tc>
          <w:tcPr>
            <w:tcW w:w="4534" w:type="dxa"/>
            <w:tcBorders>
              <w:left w:val="single" w:sz="4" w:space="0" w:color="808080"/>
            </w:tcBorders>
          </w:tcPr>
          <w:p w14:paraId="37557072" w14:textId="77777777" w:rsidR="00EC59D9" w:rsidRPr="00B23FA6" w:rsidRDefault="00EC59D9" w:rsidP="00F21E3E">
            <w:pPr>
              <w:pStyle w:val="Ttulo1"/>
              <w:shd w:val="clear" w:color="auto" w:fill="D9D9D9"/>
              <w:spacing w:before="60" w:after="60"/>
              <w:ind w:left="57" w:right="57"/>
              <w:jc w:val="both"/>
              <w:rPr>
                <w:rFonts w:asciiTheme="minorHAnsi" w:hAnsiTheme="minorHAnsi" w:cstheme="minorHAnsi"/>
                <w:b/>
                <w:szCs w:val="24"/>
              </w:rPr>
            </w:pPr>
            <w:r w:rsidRPr="00B23FA6">
              <w:rPr>
                <w:rFonts w:asciiTheme="minorHAnsi" w:hAnsiTheme="minorHAnsi" w:cstheme="minorHAnsi"/>
                <w:b/>
                <w:szCs w:val="24"/>
              </w:rPr>
              <w:lastRenderedPageBreak/>
              <w:t xml:space="preserve">DELIMITACIÓN DEL SECTOR ADMINISTRACIÓN PÚBLICA DEPENDIENTE DE LA DIPUTACIÓN FORAL DE ÁLAVA </w:t>
            </w:r>
          </w:p>
          <w:p w14:paraId="37C8DEA8" w14:textId="77777777" w:rsidR="006F19A5" w:rsidRDefault="006F19A5" w:rsidP="006F19A5">
            <w:pPr>
              <w:ind w:left="57" w:right="57"/>
              <w:jc w:val="both"/>
              <w:rPr>
                <w:rFonts w:asciiTheme="minorHAnsi" w:hAnsiTheme="minorHAnsi" w:cstheme="minorHAnsi"/>
                <w:snapToGrid w:val="0"/>
                <w:sz w:val="24"/>
                <w:szCs w:val="24"/>
              </w:rPr>
            </w:pPr>
          </w:p>
          <w:p w14:paraId="63C7A818" w14:textId="3012B543"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La sectorización de las entidades se encuentra definida y limitada en el Reglamento (CE) 2223/96 del Consejo, de 25 de junio de 1996.</w:t>
            </w:r>
          </w:p>
          <w:p w14:paraId="58C0AA33" w14:textId="77777777" w:rsidR="006F19A5" w:rsidRPr="00B23FA6" w:rsidRDefault="006F19A5" w:rsidP="006F19A5">
            <w:pPr>
              <w:ind w:left="57" w:right="57"/>
              <w:jc w:val="both"/>
              <w:rPr>
                <w:rFonts w:asciiTheme="minorHAnsi" w:hAnsiTheme="minorHAnsi" w:cstheme="minorHAnsi"/>
                <w:snapToGrid w:val="0"/>
                <w:sz w:val="24"/>
                <w:szCs w:val="24"/>
              </w:rPr>
            </w:pPr>
          </w:p>
          <w:p w14:paraId="7D888305" w14:textId="724E3EB7"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En el estado español, la competencia para realizar la sectorización de las entidades y</w:t>
            </w:r>
            <w:r w:rsidR="002637A7" w:rsidRPr="00B23FA6">
              <w:rPr>
                <w:rFonts w:asciiTheme="minorHAnsi" w:hAnsiTheme="minorHAnsi" w:cstheme="minorHAnsi"/>
                <w:snapToGrid w:val="0"/>
                <w:sz w:val="24"/>
                <w:szCs w:val="24"/>
              </w:rPr>
              <w:t xml:space="preserve"> </w:t>
            </w:r>
            <w:r w:rsidRPr="00B23FA6">
              <w:rPr>
                <w:rFonts w:asciiTheme="minorHAnsi" w:hAnsiTheme="minorHAnsi" w:cstheme="minorHAnsi"/>
                <w:snapToGrid w:val="0"/>
                <w:sz w:val="24"/>
                <w:szCs w:val="24"/>
              </w:rPr>
              <w:t>determinar las entidades de las que dependen, aplicando el anterior Reglamento, corresponde a la Intervención General de la Administración del Estado (IGAE).</w:t>
            </w:r>
          </w:p>
          <w:p w14:paraId="3EC8EAAA" w14:textId="77777777" w:rsidR="006F19A5" w:rsidRPr="00B23FA6" w:rsidRDefault="006F19A5" w:rsidP="006F19A5">
            <w:pPr>
              <w:ind w:left="57" w:right="57"/>
              <w:jc w:val="both"/>
              <w:rPr>
                <w:rFonts w:asciiTheme="minorHAnsi" w:hAnsiTheme="minorHAnsi" w:cstheme="minorHAnsi"/>
                <w:snapToGrid w:val="0"/>
                <w:sz w:val="24"/>
                <w:szCs w:val="24"/>
              </w:rPr>
            </w:pPr>
          </w:p>
          <w:p w14:paraId="79176301" w14:textId="307B3051" w:rsidR="00EC59D9" w:rsidRPr="00B23FA6" w:rsidRDefault="005072F0"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De acuerdo con el último informe recibido de la IGAE, aplicable al año 20</w:t>
            </w:r>
            <w:r w:rsidR="00B23FA6">
              <w:rPr>
                <w:rFonts w:asciiTheme="minorHAnsi" w:hAnsiTheme="minorHAnsi" w:cstheme="minorHAnsi"/>
                <w:snapToGrid w:val="0"/>
                <w:sz w:val="24"/>
                <w:szCs w:val="24"/>
              </w:rPr>
              <w:t>2</w:t>
            </w:r>
            <w:r w:rsidR="002C7614">
              <w:rPr>
                <w:rFonts w:asciiTheme="minorHAnsi" w:hAnsiTheme="minorHAnsi" w:cstheme="minorHAnsi"/>
                <w:snapToGrid w:val="0"/>
                <w:sz w:val="24"/>
                <w:szCs w:val="24"/>
              </w:rPr>
              <w:t>5</w:t>
            </w:r>
            <w:r w:rsidRPr="00B23FA6">
              <w:rPr>
                <w:rFonts w:asciiTheme="minorHAnsi" w:hAnsiTheme="minorHAnsi" w:cstheme="minorHAnsi"/>
                <w:snapToGrid w:val="0"/>
                <w:sz w:val="24"/>
                <w:szCs w:val="24"/>
              </w:rPr>
              <w:t>, las entidades que conforman el Sector Administración Pública, dependiente de la Diputación Foral de Álava son las siguientes</w:t>
            </w:r>
            <w:r w:rsidR="00EC59D9" w:rsidRPr="00B23FA6">
              <w:rPr>
                <w:rFonts w:asciiTheme="minorHAnsi" w:hAnsiTheme="minorHAnsi" w:cstheme="minorHAnsi"/>
                <w:snapToGrid w:val="0"/>
                <w:sz w:val="24"/>
                <w:szCs w:val="24"/>
              </w:rPr>
              <w:t>:</w:t>
            </w:r>
          </w:p>
          <w:p w14:paraId="113E17E0"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Administración Foral</w:t>
            </w:r>
          </w:p>
          <w:p w14:paraId="16269F41" w14:textId="77777777" w:rsidR="00737E56" w:rsidRPr="00B23FA6" w:rsidRDefault="00737E56" w:rsidP="004B1404">
            <w:pPr>
              <w:numPr>
                <w:ilvl w:val="0"/>
                <w:numId w:val="4"/>
              </w:numPr>
              <w:spacing w:before="60" w:after="200"/>
              <w:ind w:left="57" w:right="57" w:firstLine="0"/>
              <w:rPr>
                <w:rFonts w:asciiTheme="minorHAnsi" w:hAnsiTheme="minorHAnsi" w:cstheme="minorHAnsi"/>
                <w:snapToGrid w:val="0"/>
                <w:sz w:val="24"/>
                <w:szCs w:val="24"/>
              </w:rPr>
            </w:pPr>
            <w:r w:rsidRPr="00B23FA6">
              <w:rPr>
                <w:rFonts w:asciiTheme="minorHAnsi" w:hAnsiTheme="minorHAnsi" w:cstheme="minorHAnsi"/>
                <w:snapToGrid w:val="0"/>
                <w:sz w:val="24"/>
                <w:szCs w:val="24"/>
              </w:rPr>
              <w:t>D</w:t>
            </w:r>
            <w:r w:rsidR="00196FCE" w:rsidRPr="00B23FA6">
              <w:rPr>
                <w:rFonts w:asciiTheme="minorHAnsi" w:hAnsiTheme="minorHAnsi" w:cstheme="minorHAnsi"/>
                <w:snapToGrid w:val="0"/>
                <w:sz w:val="24"/>
                <w:szCs w:val="24"/>
              </w:rPr>
              <w:t xml:space="preserve">iputación Foral de </w:t>
            </w:r>
            <w:r w:rsidR="00762DC6" w:rsidRPr="00B23FA6">
              <w:rPr>
                <w:rFonts w:asciiTheme="minorHAnsi" w:hAnsiTheme="minorHAnsi" w:cstheme="minorHAnsi"/>
                <w:snapToGrid w:val="0"/>
                <w:sz w:val="24"/>
                <w:szCs w:val="24"/>
              </w:rPr>
              <w:t>Ál</w:t>
            </w:r>
            <w:r w:rsidR="00196FCE" w:rsidRPr="00B23FA6">
              <w:rPr>
                <w:rFonts w:asciiTheme="minorHAnsi" w:hAnsiTheme="minorHAnsi" w:cstheme="minorHAnsi"/>
                <w:snapToGrid w:val="0"/>
                <w:sz w:val="24"/>
                <w:szCs w:val="24"/>
              </w:rPr>
              <w:t>ava</w:t>
            </w:r>
          </w:p>
          <w:p w14:paraId="62B840E6"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 xml:space="preserve">Organismos Autónomos Forales </w:t>
            </w:r>
          </w:p>
          <w:p w14:paraId="519EB1E9" w14:textId="77777777" w:rsidR="00196FCE" w:rsidRPr="00B23FA6" w:rsidRDefault="00196FCE"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Instituto Foral de Bienestar Social </w:t>
            </w:r>
          </w:p>
          <w:p w14:paraId="501C293C" w14:textId="77777777" w:rsidR="00196FCE" w:rsidRPr="00B23FA6" w:rsidRDefault="00196FCE"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Instituto Foral de </w:t>
            </w:r>
            <w:r w:rsidR="000249E2" w:rsidRPr="00B23FA6">
              <w:rPr>
                <w:rFonts w:asciiTheme="minorHAnsi" w:hAnsiTheme="minorHAnsi" w:cstheme="minorHAnsi"/>
                <w:snapToGrid w:val="0"/>
                <w:sz w:val="24"/>
                <w:szCs w:val="24"/>
              </w:rPr>
              <w:t xml:space="preserve">la </w:t>
            </w:r>
            <w:r w:rsidRPr="00B23FA6">
              <w:rPr>
                <w:rFonts w:asciiTheme="minorHAnsi" w:hAnsiTheme="minorHAnsi" w:cstheme="minorHAnsi"/>
                <w:snapToGrid w:val="0"/>
                <w:sz w:val="24"/>
                <w:szCs w:val="24"/>
              </w:rPr>
              <w:t xml:space="preserve">Juventud </w:t>
            </w:r>
          </w:p>
          <w:p w14:paraId="6366CAB8" w14:textId="77777777" w:rsidR="001149EF" w:rsidRPr="00B23FA6" w:rsidRDefault="001149EF" w:rsidP="00F21E3E">
            <w:pPr>
              <w:numPr>
                <w:ilvl w:val="0"/>
                <w:numId w:val="10"/>
              </w:numPr>
              <w:spacing w:before="60" w:after="20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Bomberos Forales de Álava</w:t>
            </w:r>
          </w:p>
          <w:p w14:paraId="797BF292"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 xml:space="preserve">Sociedades Mercantiles </w:t>
            </w:r>
          </w:p>
          <w:p w14:paraId="2315C34D" w14:textId="77777777" w:rsidR="00507417" w:rsidRPr="00B23FA6" w:rsidRDefault="00507417"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Álava Agencia de Desarrollo S.A.</w:t>
            </w:r>
          </w:p>
          <w:p w14:paraId="14F228FB" w14:textId="77777777" w:rsidR="00196FCE" w:rsidRPr="00B23FA6" w:rsidRDefault="00196FCE"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lastRenderedPageBreak/>
              <w:t xml:space="preserve">Centro de Cálculo de </w:t>
            </w:r>
            <w:r w:rsidR="00601F9B" w:rsidRPr="00B23FA6">
              <w:rPr>
                <w:rFonts w:asciiTheme="minorHAnsi" w:hAnsiTheme="minorHAnsi" w:cstheme="minorHAnsi"/>
                <w:snapToGrid w:val="0"/>
                <w:sz w:val="24"/>
                <w:szCs w:val="24"/>
              </w:rPr>
              <w:t>Á</w:t>
            </w:r>
            <w:r w:rsidRPr="00B23FA6">
              <w:rPr>
                <w:rFonts w:asciiTheme="minorHAnsi" w:hAnsiTheme="minorHAnsi" w:cstheme="minorHAnsi"/>
                <w:snapToGrid w:val="0"/>
                <w:sz w:val="24"/>
                <w:szCs w:val="24"/>
              </w:rPr>
              <w:t>lava, S.A.U.</w:t>
            </w:r>
          </w:p>
          <w:p w14:paraId="25585168" w14:textId="34ED2B27" w:rsidR="00507417" w:rsidRPr="00B23FA6" w:rsidRDefault="00507417" w:rsidP="0051571A">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Indesa 2010 S.L</w:t>
            </w:r>
            <w:r w:rsidR="00D66B42" w:rsidRPr="00B23FA6">
              <w:rPr>
                <w:rFonts w:asciiTheme="minorHAnsi" w:hAnsiTheme="minorHAnsi" w:cstheme="minorHAnsi"/>
                <w:snapToGrid w:val="0"/>
                <w:sz w:val="24"/>
                <w:szCs w:val="24"/>
              </w:rPr>
              <w:t xml:space="preserve"> </w:t>
            </w:r>
          </w:p>
          <w:p w14:paraId="28EFE7E3" w14:textId="76E16740" w:rsidR="00AA2B8B" w:rsidRPr="00B23FA6" w:rsidRDefault="005A3C8E" w:rsidP="00AA2B8B">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Naturgolf S.A.</w:t>
            </w:r>
          </w:p>
          <w:p w14:paraId="647F3340" w14:textId="77777777" w:rsidR="00D854A8" w:rsidRDefault="007857F7" w:rsidP="008947D4">
            <w:pPr>
              <w:numPr>
                <w:ilvl w:val="0"/>
                <w:numId w:val="14"/>
              </w:numPr>
              <w:spacing w:before="60" w:after="200"/>
              <w:ind w:left="454" w:right="57" w:hanging="227"/>
              <w:rPr>
                <w:rFonts w:asciiTheme="minorHAnsi" w:hAnsiTheme="minorHAnsi" w:cstheme="minorHAnsi"/>
                <w:snapToGrid w:val="0"/>
                <w:sz w:val="24"/>
                <w:szCs w:val="24"/>
              </w:rPr>
            </w:pPr>
            <w:r w:rsidRPr="00D854A8">
              <w:rPr>
                <w:rFonts w:asciiTheme="minorHAnsi" w:hAnsiTheme="minorHAnsi" w:cstheme="minorHAnsi"/>
                <w:snapToGrid w:val="0"/>
                <w:sz w:val="24"/>
                <w:szCs w:val="24"/>
              </w:rPr>
              <w:t>VIA Promoción del Aeropuerto de Vitoria S.A.</w:t>
            </w:r>
          </w:p>
          <w:p w14:paraId="193C1C12" w14:textId="24296E75" w:rsidR="002C7614" w:rsidRPr="00D854A8" w:rsidRDefault="002C7614" w:rsidP="008947D4">
            <w:pPr>
              <w:numPr>
                <w:ilvl w:val="0"/>
                <w:numId w:val="14"/>
              </w:numPr>
              <w:spacing w:before="60" w:after="200"/>
              <w:ind w:left="454" w:right="57" w:hanging="227"/>
              <w:rPr>
                <w:rFonts w:asciiTheme="minorHAnsi" w:hAnsiTheme="minorHAnsi" w:cstheme="minorHAnsi"/>
                <w:snapToGrid w:val="0"/>
                <w:sz w:val="24"/>
                <w:szCs w:val="24"/>
              </w:rPr>
            </w:pPr>
            <w:r w:rsidRPr="00D854A8">
              <w:rPr>
                <w:rFonts w:asciiTheme="minorHAnsi" w:hAnsiTheme="minorHAnsi" w:cstheme="minorHAnsi"/>
                <w:snapToGrid w:val="0"/>
                <w:sz w:val="24"/>
                <w:szCs w:val="24"/>
              </w:rPr>
              <w:t>Enargi Araba SAU (Único Accionista: Diputación Foral de Álava)</w:t>
            </w:r>
          </w:p>
          <w:p w14:paraId="41626CC5" w14:textId="77777777" w:rsidR="00196FCE" w:rsidRPr="00B23FA6" w:rsidRDefault="005107CD" w:rsidP="00693004">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Fundaciones</w:t>
            </w:r>
          </w:p>
          <w:p w14:paraId="77F39D5A" w14:textId="77777777" w:rsidR="00196FCE" w:rsidRPr="00B23FA6" w:rsidRDefault="00196FCE"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 xml:space="preserve">undación </w:t>
            </w:r>
            <w:r w:rsidRPr="00B23FA6">
              <w:rPr>
                <w:rFonts w:asciiTheme="minorHAnsi" w:hAnsiTheme="minorHAnsi" w:cstheme="minorHAnsi"/>
                <w:snapToGrid w:val="0"/>
                <w:sz w:val="24"/>
                <w:szCs w:val="24"/>
              </w:rPr>
              <w:t xml:space="preserve">Catedral Santa María </w:t>
            </w:r>
          </w:p>
          <w:p w14:paraId="57E87317" w14:textId="77777777" w:rsidR="00196FCE" w:rsidRPr="00B23FA6" w:rsidRDefault="00196FCE"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undación</w:t>
            </w:r>
            <w:r w:rsidRPr="00B23FA6">
              <w:rPr>
                <w:rFonts w:asciiTheme="minorHAnsi" w:hAnsiTheme="minorHAnsi" w:cstheme="minorHAnsi"/>
                <w:snapToGrid w:val="0"/>
                <w:sz w:val="24"/>
                <w:szCs w:val="24"/>
              </w:rPr>
              <w:t xml:space="preserve"> Artium de </w:t>
            </w:r>
            <w:r w:rsidR="00601F9B" w:rsidRPr="00B23FA6">
              <w:rPr>
                <w:rFonts w:asciiTheme="minorHAnsi" w:hAnsiTheme="minorHAnsi" w:cstheme="minorHAnsi"/>
                <w:snapToGrid w:val="0"/>
                <w:sz w:val="24"/>
                <w:szCs w:val="24"/>
              </w:rPr>
              <w:t>Á</w:t>
            </w:r>
            <w:r w:rsidRPr="00B23FA6">
              <w:rPr>
                <w:rFonts w:asciiTheme="minorHAnsi" w:hAnsiTheme="minorHAnsi" w:cstheme="minorHAnsi"/>
                <w:snapToGrid w:val="0"/>
                <w:sz w:val="24"/>
                <w:szCs w:val="24"/>
              </w:rPr>
              <w:t>lava</w:t>
            </w:r>
          </w:p>
          <w:p w14:paraId="0B941AB1" w14:textId="77777777" w:rsidR="00196FCE" w:rsidRPr="00B23FA6" w:rsidRDefault="00196FCE" w:rsidP="007857F7">
            <w:pPr>
              <w:numPr>
                <w:ilvl w:val="0"/>
                <w:numId w:val="16"/>
              </w:numPr>
              <w:spacing w:before="60" w:after="12"/>
              <w:ind w:left="454" w:right="57" w:hanging="227"/>
              <w:rPr>
                <w:rFonts w:asciiTheme="minorHAnsi" w:hAnsiTheme="minorHAnsi" w:cstheme="minorHAnsi"/>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undación</w:t>
            </w:r>
            <w:r w:rsidRPr="00B23FA6">
              <w:rPr>
                <w:rFonts w:asciiTheme="minorHAnsi" w:hAnsiTheme="minorHAnsi" w:cstheme="minorHAnsi"/>
                <w:snapToGrid w:val="0"/>
                <w:sz w:val="24"/>
                <w:szCs w:val="24"/>
              </w:rPr>
              <w:t xml:space="preserve"> </w:t>
            </w:r>
            <w:r w:rsidR="001149EF" w:rsidRPr="00B23FA6">
              <w:rPr>
                <w:rFonts w:asciiTheme="minorHAnsi" w:hAnsiTheme="minorHAnsi" w:cstheme="minorHAnsi"/>
                <w:snapToGrid w:val="0"/>
                <w:sz w:val="24"/>
                <w:szCs w:val="24"/>
              </w:rPr>
              <w:t>Kirolaraba</w:t>
            </w:r>
          </w:p>
          <w:p w14:paraId="1008E4FF" w14:textId="77777777" w:rsidR="007857F7" w:rsidRPr="00AA2B8B" w:rsidRDefault="007857F7" w:rsidP="007857F7">
            <w:pPr>
              <w:numPr>
                <w:ilvl w:val="0"/>
                <w:numId w:val="16"/>
              </w:numPr>
              <w:spacing w:before="60" w:after="12"/>
              <w:ind w:left="454" w:right="57" w:hanging="227"/>
              <w:rPr>
                <w:rFonts w:asciiTheme="minorHAnsi" w:hAnsiTheme="minorHAnsi" w:cstheme="minorHAnsi"/>
                <w:sz w:val="24"/>
                <w:szCs w:val="24"/>
              </w:rPr>
            </w:pPr>
            <w:r w:rsidRPr="00B23FA6">
              <w:rPr>
                <w:rFonts w:asciiTheme="minorHAnsi" w:hAnsiTheme="minorHAnsi" w:cstheme="minorHAnsi"/>
                <w:snapToGrid w:val="0"/>
                <w:sz w:val="24"/>
                <w:szCs w:val="24"/>
              </w:rPr>
              <w:t>Fundación Valle Salado de Añana</w:t>
            </w:r>
          </w:p>
          <w:p w14:paraId="4BD0A9E7" w14:textId="7F1FF629" w:rsidR="00AA2B8B" w:rsidRPr="00B23FA6" w:rsidRDefault="00AA2B8B" w:rsidP="007857F7">
            <w:pPr>
              <w:numPr>
                <w:ilvl w:val="0"/>
                <w:numId w:val="16"/>
              </w:numPr>
              <w:spacing w:before="60" w:after="12"/>
              <w:ind w:left="454" w:right="57" w:hanging="227"/>
              <w:rPr>
                <w:rFonts w:asciiTheme="minorHAnsi" w:hAnsiTheme="minorHAnsi" w:cstheme="minorHAnsi"/>
                <w:sz w:val="24"/>
                <w:szCs w:val="24"/>
              </w:rPr>
            </w:pPr>
            <w:r>
              <w:rPr>
                <w:rFonts w:asciiTheme="minorHAnsi" w:hAnsiTheme="minorHAnsi" w:cstheme="minorHAnsi"/>
                <w:sz w:val="24"/>
                <w:szCs w:val="24"/>
              </w:rPr>
              <w:t>Fundación Vitoria-Gasteiz, Araba Mobility Lab</w:t>
            </w:r>
          </w:p>
        </w:tc>
      </w:tr>
      <w:tr w:rsidR="00EC59D9" w:rsidRPr="00B23FA6" w14:paraId="597894F0" w14:textId="77777777" w:rsidTr="00693004">
        <w:tc>
          <w:tcPr>
            <w:tcW w:w="4536" w:type="dxa"/>
            <w:tcBorders>
              <w:right w:val="single" w:sz="4" w:space="0" w:color="808080"/>
            </w:tcBorders>
          </w:tcPr>
          <w:p w14:paraId="197C48F8" w14:textId="409FF6FB" w:rsidR="00EC59D9" w:rsidRDefault="00F21E3E" w:rsidP="00AA2B8B">
            <w:pPr>
              <w:spacing w:before="400"/>
              <w:ind w:left="57" w:right="57"/>
              <w:jc w:val="both"/>
              <w:rPr>
                <w:rFonts w:asciiTheme="minorHAnsi" w:hAnsiTheme="minorHAnsi" w:cstheme="minorHAnsi"/>
                <w:sz w:val="24"/>
                <w:szCs w:val="24"/>
              </w:rPr>
            </w:pPr>
            <w:r w:rsidRPr="00B23FA6">
              <w:rPr>
                <w:rFonts w:asciiTheme="minorHAnsi" w:hAnsiTheme="minorHAnsi" w:cstheme="minorHAnsi"/>
                <w:sz w:val="24"/>
                <w:szCs w:val="24"/>
              </w:rPr>
              <w:lastRenderedPageBreak/>
              <w:t xml:space="preserve">Aipatutako txostenaren arabera, </w:t>
            </w:r>
            <w:r w:rsidR="008D0725" w:rsidRPr="008D0725">
              <w:rPr>
                <w:rFonts w:asciiTheme="minorHAnsi" w:hAnsiTheme="minorHAnsi" w:cstheme="minorHAnsi"/>
                <w:sz w:val="24"/>
                <w:szCs w:val="24"/>
              </w:rPr>
              <w:t>erakunde hauek sailkatzeke daude:</w:t>
            </w:r>
            <w:r w:rsidRPr="00B23FA6">
              <w:rPr>
                <w:rFonts w:asciiTheme="minorHAnsi" w:hAnsiTheme="minorHAnsi" w:cstheme="minorHAnsi"/>
                <w:sz w:val="24"/>
                <w:szCs w:val="24"/>
              </w:rPr>
              <w:t>:</w:t>
            </w:r>
          </w:p>
          <w:p w14:paraId="0A2EB53B" w14:textId="77777777" w:rsidR="00AA2B8B" w:rsidRDefault="00AA2B8B" w:rsidP="00AA2B8B">
            <w:pPr>
              <w:ind w:left="57" w:right="57"/>
              <w:jc w:val="both"/>
              <w:rPr>
                <w:rFonts w:asciiTheme="minorHAnsi" w:hAnsiTheme="minorHAnsi" w:cstheme="minorHAnsi"/>
                <w:sz w:val="24"/>
                <w:szCs w:val="24"/>
              </w:rPr>
            </w:pPr>
          </w:p>
          <w:p w14:paraId="34B59AE7" w14:textId="77777777" w:rsidR="00AA2B8B" w:rsidRDefault="00AA2B8B" w:rsidP="00AA2B8B">
            <w:pPr>
              <w:ind w:left="57" w:right="57"/>
              <w:jc w:val="both"/>
              <w:rPr>
                <w:rFonts w:asciiTheme="minorHAnsi" w:hAnsiTheme="minorHAnsi" w:cstheme="minorHAnsi"/>
                <w:sz w:val="24"/>
                <w:szCs w:val="24"/>
              </w:rPr>
            </w:pPr>
          </w:p>
          <w:p w14:paraId="3315FFDB" w14:textId="4788ED2A" w:rsidR="00AA2B8B" w:rsidRPr="002C7614" w:rsidRDefault="00AA2B8B" w:rsidP="002C7614">
            <w:pPr>
              <w:ind w:left="57" w:right="57"/>
              <w:rPr>
                <w:rFonts w:asciiTheme="minorHAnsi" w:hAnsiTheme="minorHAnsi" w:cstheme="minorHAnsi"/>
                <w:snapToGrid w:val="0"/>
                <w:sz w:val="24"/>
                <w:szCs w:val="24"/>
              </w:rPr>
            </w:pPr>
          </w:p>
        </w:tc>
        <w:tc>
          <w:tcPr>
            <w:tcW w:w="4534" w:type="dxa"/>
            <w:tcBorders>
              <w:left w:val="single" w:sz="4" w:space="0" w:color="808080"/>
            </w:tcBorders>
          </w:tcPr>
          <w:p w14:paraId="659F6F70" w14:textId="77777777" w:rsidR="00EC59D9" w:rsidRDefault="005072F0" w:rsidP="00AA2B8B">
            <w:pPr>
              <w:spacing w:before="400"/>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Según el mencionado informe, las siguientes entidades se encuentran pendientes de clasificar:</w:t>
            </w:r>
          </w:p>
          <w:p w14:paraId="7D7C606D" w14:textId="77777777" w:rsidR="00AA2B8B" w:rsidRDefault="00AA2B8B" w:rsidP="00AA2B8B">
            <w:pPr>
              <w:ind w:left="57" w:right="57"/>
              <w:jc w:val="both"/>
              <w:rPr>
                <w:rFonts w:asciiTheme="minorHAnsi" w:hAnsiTheme="minorHAnsi" w:cstheme="minorHAnsi"/>
                <w:snapToGrid w:val="0"/>
                <w:sz w:val="24"/>
                <w:szCs w:val="24"/>
              </w:rPr>
            </w:pPr>
          </w:p>
          <w:p w14:paraId="6E05396A" w14:textId="657E5FD3" w:rsidR="00AA2B8B" w:rsidRPr="00AA2B8B" w:rsidRDefault="00AA2B8B" w:rsidP="002C7614">
            <w:pPr>
              <w:spacing w:before="60"/>
              <w:ind w:left="454" w:right="57"/>
              <w:rPr>
                <w:rFonts w:asciiTheme="minorHAnsi" w:hAnsiTheme="minorHAnsi" w:cstheme="minorHAnsi"/>
                <w:sz w:val="24"/>
                <w:szCs w:val="24"/>
              </w:rPr>
            </w:pPr>
          </w:p>
        </w:tc>
      </w:tr>
      <w:tr w:rsidR="00693004" w:rsidRPr="00B23FA6" w14:paraId="74F6EA13" w14:textId="77777777" w:rsidTr="00693004">
        <w:tc>
          <w:tcPr>
            <w:tcW w:w="4536" w:type="dxa"/>
            <w:tcBorders>
              <w:right w:val="single" w:sz="4" w:space="0" w:color="808080"/>
            </w:tcBorders>
          </w:tcPr>
          <w:p w14:paraId="1FFCEAC9" w14:textId="77777777" w:rsidR="00693004" w:rsidRPr="00B23FA6" w:rsidRDefault="00693004" w:rsidP="00BE2406">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Partzuergoak:</w:t>
            </w:r>
          </w:p>
          <w:p w14:paraId="44C7DE29"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Arabako Errioxako Ur Partzuergoa</w:t>
            </w:r>
          </w:p>
          <w:p w14:paraId="42A2AD20" w14:textId="74873E23"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Lautada-Elgea Mendilerroko Ur Partzuergoa</w:t>
            </w:r>
          </w:p>
          <w:p w14:paraId="75D8837B"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Mendi Harango Ur Partzuergoa</w:t>
            </w:r>
          </w:p>
          <w:p w14:paraId="0E39043E" w14:textId="77777777" w:rsidR="00693004" w:rsidRPr="00B23FA6" w:rsidRDefault="00693004" w:rsidP="00BE2406">
            <w:pPr>
              <w:numPr>
                <w:ilvl w:val="0"/>
                <w:numId w:val="15"/>
              </w:numPr>
              <w:spacing w:before="60"/>
              <w:ind w:left="454" w:right="57" w:hanging="227"/>
              <w:rPr>
                <w:rFonts w:asciiTheme="minorHAnsi" w:hAnsiTheme="minorHAnsi" w:cstheme="minorHAnsi"/>
                <w:sz w:val="24"/>
                <w:szCs w:val="24"/>
              </w:rPr>
            </w:pPr>
            <w:r>
              <w:rPr>
                <w:rFonts w:asciiTheme="minorHAnsi" w:hAnsiTheme="minorHAnsi" w:cstheme="minorHAnsi"/>
                <w:snapToGrid w:val="0"/>
                <w:sz w:val="24"/>
                <w:szCs w:val="24"/>
              </w:rPr>
              <w:t xml:space="preserve">Urbide - </w:t>
            </w:r>
            <w:r w:rsidRPr="00B23FA6">
              <w:rPr>
                <w:rFonts w:asciiTheme="minorHAnsi" w:hAnsiTheme="minorHAnsi" w:cstheme="minorHAnsi"/>
                <w:snapToGrid w:val="0"/>
                <w:sz w:val="24"/>
                <w:szCs w:val="24"/>
              </w:rPr>
              <w:t xml:space="preserve">Arabako Ur Partzuergoa </w:t>
            </w:r>
          </w:p>
        </w:tc>
        <w:tc>
          <w:tcPr>
            <w:tcW w:w="4534" w:type="dxa"/>
            <w:tcBorders>
              <w:left w:val="single" w:sz="4" w:space="0" w:color="808080"/>
            </w:tcBorders>
          </w:tcPr>
          <w:p w14:paraId="3C646A0F" w14:textId="77777777" w:rsidR="00693004" w:rsidRPr="00B23FA6" w:rsidRDefault="00693004" w:rsidP="00BE2406">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Consorcios</w:t>
            </w:r>
          </w:p>
          <w:p w14:paraId="73458961"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Consorcio Aguas  de Rioja Alavesa</w:t>
            </w:r>
          </w:p>
          <w:p w14:paraId="4DB43677" w14:textId="4BB82C3D"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Consorcio Aguas de la Llanada – Sierra de Elg</w:t>
            </w:r>
            <w:r w:rsidR="00AC35A9">
              <w:rPr>
                <w:rFonts w:asciiTheme="minorHAnsi" w:hAnsiTheme="minorHAnsi" w:cstheme="minorHAnsi"/>
                <w:snapToGrid w:val="0"/>
                <w:sz w:val="24"/>
                <w:szCs w:val="24"/>
              </w:rPr>
              <w:t>u</w:t>
            </w:r>
            <w:r w:rsidRPr="00B23FA6">
              <w:rPr>
                <w:rFonts w:asciiTheme="minorHAnsi" w:hAnsiTheme="minorHAnsi" w:cstheme="minorHAnsi"/>
                <w:snapToGrid w:val="0"/>
                <w:sz w:val="24"/>
                <w:szCs w:val="24"/>
              </w:rPr>
              <w:t xml:space="preserve">ea </w:t>
            </w:r>
          </w:p>
          <w:p w14:paraId="159A402F"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Consorcio Aguas Mendi Haran</w:t>
            </w:r>
          </w:p>
          <w:p w14:paraId="7A0034CF" w14:textId="626DCBE8" w:rsidR="00693004" w:rsidRPr="00B23FA6" w:rsidRDefault="00693004" w:rsidP="0051571A">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Consorcio de Aguas </w:t>
            </w:r>
            <w:r>
              <w:rPr>
                <w:rFonts w:asciiTheme="minorHAnsi" w:hAnsiTheme="minorHAnsi" w:cstheme="minorHAnsi"/>
                <w:snapToGrid w:val="0"/>
                <w:sz w:val="24"/>
                <w:szCs w:val="24"/>
              </w:rPr>
              <w:t>de Álava - Urbide</w:t>
            </w:r>
          </w:p>
        </w:tc>
      </w:tr>
      <w:tr w:rsidR="005072F0" w:rsidRPr="00B23FA6" w14:paraId="5E97C5FE" w14:textId="77777777" w:rsidTr="00693004">
        <w:tc>
          <w:tcPr>
            <w:tcW w:w="4536" w:type="dxa"/>
            <w:tcBorders>
              <w:right w:val="single" w:sz="4" w:space="0" w:color="808080"/>
            </w:tcBorders>
          </w:tcPr>
          <w:p w14:paraId="56924E38" w14:textId="77777777" w:rsidR="0051571A" w:rsidRDefault="0051571A" w:rsidP="0051571A">
            <w:pPr>
              <w:spacing w:before="60"/>
              <w:ind w:right="57"/>
              <w:rPr>
                <w:rFonts w:asciiTheme="minorHAnsi" w:hAnsiTheme="minorHAnsi" w:cstheme="minorHAnsi"/>
                <w:snapToGrid w:val="0"/>
                <w:sz w:val="24"/>
                <w:szCs w:val="24"/>
              </w:rPr>
            </w:pPr>
          </w:p>
          <w:p w14:paraId="2F0A8BFF" w14:textId="150A904C" w:rsidR="0051571A" w:rsidRPr="00AA2B8B" w:rsidRDefault="0051571A" w:rsidP="00AA2B8B">
            <w:pPr>
              <w:spacing w:before="60"/>
              <w:ind w:right="57"/>
              <w:rPr>
                <w:rFonts w:asciiTheme="minorHAnsi" w:hAnsiTheme="minorHAnsi" w:cstheme="minorHAnsi"/>
                <w:sz w:val="24"/>
                <w:szCs w:val="24"/>
              </w:rPr>
            </w:pPr>
          </w:p>
        </w:tc>
        <w:tc>
          <w:tcPr>
            <w:tcW w:w="4534" w:type="dxa"/>
            <w:tcBorders>
              <w:left w:val="single" w:sz="4" w:space="0" w:color="808080"/>
            </w:tcBorders>
          </w:tcPr>
          <w:p w14:paraId="38B93231" w14:textId="77777777" w:rsidR="0051571A" w:rsidRDefault="0051571A" w:rsidP="0051571A">
            <w:pPr>
              <w:spacing w:before="60"/>
              <w:ind w:right="57"/>
              <w:rPr>
                <w:rFonts w:asciiTheme="minorHAnsi" w:hAnsiTheme="minorHAnsi" w:cstheme="minorHAnsi"/>
                <w:snapToGrid w:val="0"/>
                <w:sz w:val="24"/>
                <w:szCs w:val="24"/>
              </w:rPr>
            </w:pPr>
          </w:p>
          <w:p w14:paraId="2CAF5D37" w14:textId="3604723A" w:rsidR="0051571A" w:rsidRPr="0051571A" w:rsidRDefault="0051571A" w:rsidP="00AA2B8B">
            <w:pPr>
              <w:spacing w:before="60"/>
              <w:ind w:left="454" w:right="57"/>
              <w:rPr>
                <w:rFonts w:asciiTheme="minorHAnsi" w:hAnsiTheme="minorHAnsi" w:cstheme="minorHAnsi"/>
                <w:snapToGrid w:val="0"/>
                <w:sz w:val="24"/>
                <w:szCs w:val="24"/>
              </w:rPr>
            </w:pPr>
          </w:p>
        </w:tc>
      </w:tr>
    </w:tbl>
    <w:p w14:paraId="58B435A9" w14:textId="77777777" w:rsidR="00BB3AC5" w:rsidRPr="00B23FA6" w:rsidRDefault="00BB3AC5">
      <w:pPr>
        <w:rPr>
          <w:rFonts w:asciiTheme="minorHAnsi" w:hAnsiTheme="minorHAnsi" w:cstheme="minorHAnsi"/>
          <w:sz w:val="24"/>
          <w:szCs w:val="24"/>
        </w:rPr>
      </w:pPr>
    </w:p>
    <w:p w14:paraId="147B7189" w14:textId="77777777" w:rsidR="00BB3AC5" w:rsidRPr="00B23FA6" w:rsidRDefault="00BB3AC5">
      <w:pPr>
        <w:rPr>
          <w:rFonts w:asciiTheme="minorHAnsi" w:hAnsiTheme="minorHAnsi" w:cstheme="minorHAnsi"/>
          <w:sz w:val="24"/>
          <w:szCs w:val="24"/>
        </w:rPr>
      </w:pPr>
    </w:p>
    <w:tbl>
      <w:tblPr>
        <w:tblW w:w="0" w:type="auto"/>
        <w:tblLook w:val="01E0" w:firstRow="1" w:lastRow="1" w:firstColumn="1" w:lastColumn="1" w:noHBand="0" w:noVBand="0"/>
      </w:tblPr>
      <w:tblGrid>
        <w:gridCol w:w="4535"/>
        <w:gridCol w:w="4535"/>
      </w:tblGrid>
      <w:tr w:rsidR="00497298" w:rsidRPr="004E3513" w14:paraId="2BF8C252" w14:textId="77777777" w:rsidTr="0097177D">
        <w:tc>
          <w:tcPr>
            <w:tcW w:w="4535" w:type="dxa"/>
            <w:tcBorders>
              <w:right w:val="single" w:sz="4" w:space="0" w:color="808080"/>
            </w:tcBorders>
          </w:tcPr>
          <w:p w14:paraId="5EBF3FC7" w14:textId="77777777" w:rsidR="00902460" w:rsidRPr="004E3513" w:rsidRDefault="008848FF" w:rsidP="00AD3A69">
            <w:pPr>
              <w:pStyle w:val="Ttulo1"/>
              <w:shd w:val="clear" w:color="auto" w:fill="D9D9D9"/>
              <w:spacing w:before="60" w:after="60"/>
              <w:ind w:left="57" w:right="57"/>
              <w:jc w:val="both"/>
              <w:rPr>
                <w:rFonts w:asciiTheme="minorHAnsi" w:hAnsiTheme="minorHAnsi" w:cstheme="minorHAnsi"/>
                <w:b/>
                <w:szCs w:val="24"/>
              </w:rPr>
            </w:pPr>
            <w:r w:rsidRPr="004E3513">
              <w:rPr>
                <w:rFonts w:asciiTheme="minorHAnsi" w:hAnsiTheme="minorHAnsi" w:cstheme="minorHAnsi"/>
                <w:b/>
                <w:szCs w:val="24"/>
              </w:rPr>
              <w:lastRenderedPageBreak/>
              <w:t>ARABAKO FORU ALDUNDIAREN MENPEKOA DEN SOZIETATE EZ-FINANTZARIOEN SEKTOREAREN MUGAKETA</w:t>
            </w:r>
          </w:p>
          <w:p w14:paraId="0242CFFE" w14:textId="77777777" w:rsidR="006F19A5" w:rsidRDefault="006F19A5" w:rsidP="006F19A5">
            <w:pPr>
              <w:ind w:left="57" w:right="57"/>
              <w:jc w:val="both"/>
              <w:rPr>
                <w:rFonts w:asciiTheme="minorHAnsi" w:hAnsiTheme="minorHAnsi" w:cstheme="minorHAnsi"/>
                <w:snapToGrid w:val="0"/>
                <w:sz w:val="24"/>
                <w:szCs w:val="24"/>
              </w:rPr>
            </w:pPr>
          </w:p>
          <w:p w14:paraId="69FE992C" w14:textId="7333B897" w:rsidR="00E1587A" w:rsidRDefault="008D0725" w:rsidP="006F19A5">
            <w:pPr>
              <w:ind w:left="57" w:right="57"/>
              <w:jc w:val="both"/>
              <w:rPr>
                <w:rFonts w:asciiTheme="minorHAnsi" w:hAnsiTheme="minorHAnsi" w:cstheme="minorHAnsi"/>
                <w:snapToGrid w:val="0"/>
                <w:sz w:val="24"/>
                <w:szCs w:val="24"/>
              </w:rPr>
            </w:pPr>
            <w:r w:rsidRPr="008D0725">
              <w:rPr>
                <w:rFonts w:asciiTheme="minorHAnsi" w:hAnsiTheme="minorHAnsi" w:cstheme="minorHAnsi"/>
                <w:snapToGrid w:val="0"/>
                <w:sz w:val="24"/>
                <w:szCs w:val="24"/>
              </w:rPr>
              <w:t>Erakundeen sektorizazioa Kontseiluaren 1996ko ekainaren 25eko 2223/96 (EE) Erregelamenduan definituta eta mugatuta dago.</w:t>
            </w:r>
          </w:p>
          <w:p w14:paraId="564E24C3" w14:textId="0EE5312C" w:rsidR="006F19A5" w:rsidRDefault="006F19A5" w:rsidP="006F19A5">
            <w:pPr>
              <w:ind w:left="57" w:right="57"/>
              <w:jc w:val="both"/>
              <w:rPr>
                <w:rFonts w:asciiTheme="minorHAnsi" w:hAnsiTheme="minorHAnsi" w:cstheme="minorHAnsi"/>
                <w:snapToGrid w:val="0"/>
                <w:sz w:val="24"/>
                <w:szCs w:val="24"/>
              </w:rPr>
            </w:pPr>
          </w:p>
          <w:p w14:paraId="67470BB1" w14:textId="0918E726" w:rsidR="00E1587A" w:rsidRDefault="008D0725" w:rsidP="006F19A5">
            <w:pPr>
              <w:ind w:left="57" w:right="57"/>
              <w:jc w:val="both"/>
              <w:rPr>
                <w:rFonts w:asciiTheme="minorHAnsi" w:hAnsiTheme="minorHAnsi" w:cstheme="minorHAnsi"/>
                <w:snapToGrid w:val="0"/>
                <w:sz w:val="24"/>
                <w:szCs w:val="24"/>
              </w:rPr>
            </w:pPr>
            <w:r w:rsidRPr="008D0725">
              <w:rPr>
                <w:rFonts w:asciiTheme="minorHAnsi" w:hAnsiTheme="minorHAnsi" w:cstheme="minorHAnsi"/>
                <w:snapToGrid w:val="0"/>
                <w:sz w:val="24"/>
                <w:szCs w:val="24"/>
              </w:rPr>
              <w:t>Espainiako estatuan, Estatuko Administrazioaren Kontu-hartzailetza Nagusiari (IGAE) dagokio erakundeak sektoretan banatzeko eta zein erakunderen mende dauden zehazteko eskumena, aurreko Erregelamendua aplikatuta.</w:t>
            </w:r>
          </w:p>
          <w:p w14:paraId="7E04C962" w14:textId="18AEAC6A" w:rsidR="006F19A5" w:rsidRDefault="006F19A5" w:rsidP="006F19A5">
            <w:pPr>
              <w:ind w:left="57" w:right="57"/>
              <w:jc w:val="both"/>
              <w:rPr>
                <w:rFonts w:asciiTheme="minorHAnsi" w:hAnsiTheme="minorHAnsi" w:cstheme="minorHAnsi"/>
                <w:snapToGrid w:val="0"/>
                <w:sz w:val="24"/>
                <w:szCs w:val="24"/>
              </w:rPr>
            </w:pPr>
          </w:p>
          <w:p w14:paraId="00192312" w14:textId="5F6324BB" w:rsidR="006F19A5" w:rsidRDefault="006F19A5" w:rsidP="006F19A5">
            <w:pPr>
              <w:ind w:left="57" w:right="57"/>
              <w:jc w:val="both"/>
              <w:rPr>
                <w:rFonts w:asciiTheme="minorHAnsi" w:hAnsiTheme="minorHAnsi" w:cstheme="minorHAnsi"/>
                <w:snapToGrid w:val="0"/>
                <w:sz w:val="24"/>
                <w:szCs w:val="24"/>
              </w:rPr>
            </w:pPr>
          </w:p>
          <w:p w14:paraId="798506CD" w14:textId="77777777" w:rsidR="006F19A5" w:rsidRPr="004E3513" w:rsidRDefault="006F19A5" w:rsidP="006F19A5">
            <w:pPr>
              <w:ind w:left="57" w:right="57"/>
              <w:jc w:val="both"/>
              <w:rPr>
                <w:rFonts w:asciiTheme="minorHAnsi" w:hAnsiTheme="minorHAnsi" w:cstheme="minorHAnsi"/>
                <w:snapToGrid w:val="0"/>
                <w:sz w:val="24"/>
                <w:szCs w:val="24"/>
              </w:rPr>
            </w:pPr>
          </w:p>
          <w:p w14:paraId="2B9875EB" w14:textId="0EDC26A2" w:rsidR="00E1587A" w:rsidRPr="004E3513" w:rsidRDefault="00E1587A"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IGAErengandik aztergai dugun gai honi, 20</w:t>
            </w:r>
            <w:r w:rsidR="0051571A">
              <w:rPr>
                <w:rFonts w:asciiTheme="minorHAnsi" w:hAnsiTheme="minorHAnsi" w:cstheme="minorHAnsi"/>
                <w:snapToGrid w:val="0"/>
                <w:sz w:val="24"/>
                <w:szCs w:val="24"/>
              </w:rPr>
              <w:t>2</w:t>
            </w:r>
            <w:r w:rsidR="00D854A8">
              <w:rPr>
                <w:rFonts w:asciiTheme="minorHAnsi" w:hAnsiTheme="minorHAnsi" w:cstheme="minorHAnsi"/>
                <w:snapToGrid w:val="0"/>
                <w:sz w:val="24"/>
                <w:szCs w:val="24"/>
              </w:rPr>
              <w:t>5</w:t>
            </w:r>
            <w:r w:rsidRPr="004E3513">
              <w:rPr>
                <w:rFonts w:asciiTheme="minorHAnsi" w:hAnsiTheme="minorHAnsi" w:cstheme="minorHAnsi"/>
                <w:snapToGrid w:val="0"/>
                <w:sz w:val="24"/>
                <w:szCs w:val="24"/>
              </w:rPr>
              <w:t xml:space="preserve"> urteari aplika dakiokeenari, dagokionez jaso dugun azken txostenean ezarri denaren ildotik Arabako Foru Aldundiaren menpeko administrazio publikoaren sektorearen barruan ondoko hauek daude:</w:t>
            </w:r>
          </w:p>
          <w:p w14:paraId="12F09270" w14:textId="77777777" w:rsidR="0094665C" w:rsidRPr="004E3513" w:rsidRDefault="0094665C" w:rsidP="00AD3A69">
            <w:pPr>
              <w:ind w:left="57" w:right="57"/>
              <w:jc w:val="both"/>
              <w:rPr>
                <w:rFonts w:asciiTheme="minorHAnsi" w:hAnsiTheme="minorHAnsi" w:cstheme="minorHAnsi"/>
                <w:snapToGrid w:val="0"/>
                <w:sz w:val="24"/>
                <w:szCs w:val="24"/>
              </w:rPr>
            </w:pPr>
          </w:p>
          <w:p w14:paraId="322E92E7" w14:textId="77777777" w:rsidR="0094665C" w:rsidRPr="004E3513" w:rsidRDefault="0094665C"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Merkataritzako sozietateak:</w:t>
            </w:r>
          </w:p>
          <w:p w14:paraId="3FC674F2" w14:textId="77777777" w:rsidR="0094665C" w:rsidRPr="004E3513" w:rsidRDefault="0094665C" w:rsidP="00AD3A69">
            <w:pPr>
              <w:numPr>
                <w:ilvl w:val="0"/>
                <w:numId w:val="16"/>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Arabat - Arabako Bideak </w:t>
            </w:r>
            <w:r w:rsidR="00B44DF2" w:rsidRPr="004E3513">
              <w:rPr>
                <w:rFonts w:asciiTheme="minorHAnsi" w:hAnsiTheme="minorHAnsi" w:cstheme="minorHAnsi"/>
                <w:snapToGrid w:val="0"/>
                <w:sz w:val="24"/>
                <w:szCs w:val="24"/>
              </w:rPr>
              <w:t xml:space="preserve"> SAU</w:t>
            </w:r>
          </w:p>
          <w:p w14:paraId="3B813744" w14:textId="1B685408" w:rsidR="00B44DF2" w:rsidRPr="004E3513" w:rsidRDefault="00B44DF2"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-Aldundiaren parte artesa duten merkataritzako sozietateak:</w:t>
            </w:r>
          </w:p>
          <w:p w14:paraId="6731ECE4" w14:textId="77777777" w:rsidR="00B44DF2" w:rsidRPr="004E3513" w:rsidRDefault="00B44DF2" w:rsidP="00AD3A69">
            <w:pPr>
              <w:numPr>
                <w:ilvl w:val="0"/>
                <w:numId w:val="15"/>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Vitoria-Gasteizko Garraioko Zentroa SA (CTV) </w:t>
            </w:r>
            <w:r w:rsidR="00BB3AC5" w:rsidRPr="004E3513">
              <w:rPr>
                <w:rFonts w:asciiTheme="minorHAnsi" w:hAnsiTheme="minorHAnsi" w:cstheme="minorHAnsi"/>
                <w:snapToGrid w:val="0"/>
                <w:sz w:val="24"/>
                <w:szCs w:val="24"/>
              </w:rPr>
              <w:t>(Arabako Lanak SAUren menpekoa)</w:t>
            </w:r>
          </w:p>
          <w:p w14:paraId="0159C1B8" w14:textId="77777777" w:rsidR="00497298" w:rsidRPr="004E3513" w:rsidRDefault="00497298" w:rsidP="00AD3A69">
            <w:pPr>
              <w:ind w:left="57" w:right="57"/>
              <w:jc w:val="both"/>
              <w:rPr>
                <w:rFonts w:asciiTheme="minorHAnsi" w:hAnsiTheme="minorHAnsi" w:cstheme="minorHAnsi"/>
                <w:sz w:val="24"/>
                <w:szCs w:val="24"/>
              </w:rPr>
            </w:pPr>
          </w:p>
        </w:tc>
        <w:tc>
          <w:tcPr>
            <w:tcW w:w="4535" w:type="dxa"/>
            <w:tcBorders>
              <w:left w:val="single" w:sz="4" w:space="0" w:color="808080"/>
            </w:tcBorders>
          </w:tcPr>
          <w:p w14:paraId="6B696FFB" w14:textId="77777777" w:rsidR="00497298" w:rsidRPr="004E3513" w:rsidRDefault="00497298" w:rsidP="00AD3A69">
            <w:pPr>
              <w:pStyle w:val="Ttulo1"/>
              <w:shd w:val="clear" w:color="auto" w:fill="D9D9D9"/>
              <w:spacing w:before="60" w:after="240"/>
              <w:ind w:left="57" w:right="57"/>
              <w:jc w:val="both"/>
              <w:rPr>
                <w:rFonts w:asciiTheme="minorHAnsi" w:hAnsiTheme="minorHAnsi" w:cstheme="minorHAnsi"/>
                <w:b/>
                <w:szCs w:val="24"/>
              </w:rPr>
            </w:pPr>
            <w:r w:rsidRPr="004E3513">
              <w:rPr>
                <w:rFonts w:asciiTheme="minorHAnsi" w:hAnsiTheme="minorHAnsi" w:cstheme="minorHAnsi"/>
                <w:b/>
                <w:szCs w:val="24"/>
              </w:rPr>
              <w:t xml:space="preserve">DELIMITACIÓN DEL SECTOR SOCIEDADES NO FINANCIERAS DEPENDIENTE DE LA DIPUTACIÓN FORAL DE ÁLAVA </w:t>
            </w:r>
          </w:p>
          <w:p w14:paraId="113B4543" w14:textId="77777777" w:rsidR="006F19A5" w:rsidRDefault="006F19A5" w:rsidP="006F19A5">
            <w:pPr>
              <w:ind w:left="57" w:right="57"/>
              <w:jc w:val="both"/>
              <w:rPr>
                <w:rFonts w:asciiTheme="minorHAnsi" w:hAnsiTheme="minorHAnsi" w:cstheme="minorHAnsi"/>
                <w:snapToGrid w:val="0"/>
                <w:sz w:val="24"/>
                <w:szCs w:val="24"/>
              </w:rPr>
            </w:pPr>
          </w:p>
          <w:p w14:paraId="46F9DC9B" w14:textId="29DCD4F6" w:rsidR="00497298"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La sectorización de las entidades se encuentra definida y limitada en el Reglamento (CE) 2223/96 del Consejo, de 25 de junio de 1996.</w:t>
            </w:r>
          </w:p>
          <w:p w14:paraId="17E2AEFF" w14:textId="6E602701" w:rsidR="006F19A5" w:rsidRDefault="006F19A5" w:rsidP="006F19A5">
            <w:pPr>
              <w:ind w:left="57" w:right="57"/>
              <w:jc w:val="both"/>
              <w:rPr>
                <w:rFonts w:asciiTheme="minorHAnsi" w:hAnsiTheme="minorHAnsi" w:cstheme="minorHAnsi"/>
                <w:snapToGrid w:val="0"/>
                <w:sz w:val="24"/>
                <w:szCs w:val="24"/>
              </w:rPr>
            </w:pPr>
          </w:p>
          <w:p w14:paraId="7A910564" w14:textId="1EF43ABD" w:rsidR="00497298"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En el estado español, la competencia para realizar la sectorización de las entidades y</w:t>
            </w:r>
            <w:r w:rsidR="00340307" w:rsidRPr="004E3513">
              <w:rPr>
                <w:rFonts w:asciiTheme="minorHAnsi" w:hAnsiTheme="minorHAnsi" w:cstheme="minorHAnsi"/>
                <w:snapToGrid w:val="0"/>
                <w:sz w:val="24"/>
                <w:szCs w:val="24"/>
              </w:rPr>
              <w:t xml:space="preserve">  </w:t>
            </w:r>
            <w:r w:rsidRPr="004E3513">
              <w:rPr>
                <w:rFonts w:asciiTheme="minorHAnsi" w:hAnsiTheme="minorHAnsi" w:cstheme="minorHAnsi"/>
                <w:snapToGrid w:val="0"/>
                <w:sz w:val="24"/>
                <w:szCs w:val="24"/>
              </w:rPr>
              <w:t>determinar las entidades de las que dependen, aplicando el anterior Reglamento, corresponde a la Intervención General de la Administración del Estado (IGAE).</w:t>
            </w:r>
          </w:p>
          <w:p w14:paraId="1A7E16A4" w14:textId="72374AF8" w:rsidR="006F19A5" w:rsidRDefault="006F19A5" w:rsidP="006F19A5">
            <w:pPr>
              <w:ind w:left="57" w:right="57"/>
              <w:jc w:val="both"/>
              <w:rPr>
                <w:rFonts w:asciiTheme="minorHAnsi" w:hAnsiTheme="minorHAnsi" w:cstheme="minorHAnsi"/>
                <w:snapToGrid w:val="0"/>
                <w:sz w:val="24"/>
                <w:szCs w:val="24"/>
              </w:rPr>
            </w:pPr>
          </w:p>
          <w:p w14:paraId="4E44118A" w14:textId="77777777" w:rsidR="006F19A5" w:rsidRPr="004E3513" w:rsidRDefault="006F19A5" w:rsidP="006F19A5">
            <w:pPr>
              <w:ind w:left="57" w:right="57"/>
              <w:jc w:val="both"/>
              <w:rPr>
                <w:rFonts w:asciiTheme="minorHAnsi" w:hAnsiTheme="minorHAnsi" w:cstheme="minorHAnsi"/>
                <w:snapToGrid w:val="0"/>
                <w:sz w:val="24"/>
                <w:szCs w:val="24"/>
              </w:rPr>
            </w:pPr>
          </w:p>
          <w:p w14:paraId="2888BA6D" w14:textId="298B2217" w:rsidR="00497298" w:rsidRPr="004E3513"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Atendiendo a lo enunciado en el último informe recibido de la IGAE, aplicable al año 20</w:t>
            </w:r>
            <w:r w:rsidR="0051571A">
              <w:rPr>
                <w:rFonts w:asciiTheme="minorHAnsi" w:hAnsiTheme="minorHAnsi" w:cstheme="minorHAnsi"/>
                <w:snapToGrid w:val="0"/>
                <w:sz w:val="24"/>
                <w:szCs w:val="24"/>
              </w:rPr>
              <w:t>2</w:t>
            </w:r>
            <w:r w:rsidR="00D854A8">
              <w:rPr>
                <w:rFonts w:asciiTheme="minorHAnsi" w:hAnsiTheme="minorHAnsi" w:cstheme="minorHAnsi"/>
                <w:snapToGrid w:val="0"/>
                <w:sz w:val="24"/>
                <w:szCs w:val="24"/>
              </w:rPr>
              <w:t>5</w:t>
            </w:r>
            <w:r w:rsidRPr="004E3513">
              <w:rPr>
                <w:rFonts w:asciiTheme="minorHAnsi" w:hAnsiTheme="minorHAnsi" w:cstheme="minorHAnsi"/>
                <w:snapToGrid w:val="0"/>
                <w:sz w:val="24"/>
                <w:szCs w:val="24"/>
              </w:rPr>
              <w:t xml:space="preserve">, en relación a esta materia, las entidades que conforman el Sector Sociedades no Financieras dependientes de la Diputación Foral de </w:t>
            </w:r>
            <w:r w:rsidR="00340307" w:rsidRPr="004E3513">
              <w:rPr>
                <w:rFonts w:asciiTheme="minorHAnsi" w:hAnsiTheme="minorHAnsi" w:cstheme="minorHAnsi"/>
                <w:snapToGrid w:val="0"/>
                <w:sz w:val="24"/>
                <w:szCs w:val="24"/>
              </w:rPr>
              <w:t>Á</w:t>
            </w:r>
            <w:r w:rsidRPr="004E3513">
              <w:rPr>
                <w:rFonts w:asciiTheme="minorHAnsi" w:hAnsiTheme="minorHAnsi" w:cstheme="minorHAnsi"/>
                <w:snapToGrid w:val="0"/>
                <w:sz w:val="24"/>
                <w:szCs w:val="24"/>
              </w:rPr>
              <w:t>lava son las siguientes</w:t>
            </w:r>
            <w:r w:rsidR="00651081" w:rsidRPr="004E3513">
              <w:rPr>
                <w:rFonts w:asciiTheme="minorHAnsi" w:hAnsiTheme="minorHAnsi" w:cstheme="minorHAnsi"/>
                <w:snapToGrid w:val="0"/>
                <w:sz w:val="24"/>
                <w:szCs w:val="24"/>
              </w:rPr>
              <w:t>:</w:t>
            </w:r>
          </w:p>
          <w:p w14:paraId="2064AD0F" w14:textId="77777777" w:rsidR="0094665C" w:rsidRPr="004E3513" w:rsidRDefault="0094665C" w:rsidP="00AD3A69">
            <w:pPr>
              <w:ind w:left="57" w:right="57"/>
              <w:jc w:val="both"/>
              <w:rPr>
                <w:rFonts w:asciiTheme="minorHAnsi" w:hAnsiTheme="minorHAnsi" w:cstheme="minorHAnsi"/>
                <w:snapToGrid w:val="0"/>
                <w:sz w:val="24"/>
                <w:szCs w:val="24"/>
              </w:rPr>
            </w:pPr>
          </w:p>
          <w:p w14:paraId="514FDA89" w14:textId="77777777" w:rsidR="00902460" w:rsidRPr="004E3513" w:rsidRDefault="00902460"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 Sociedades Mercantiles </w:t>
            </w:r>
          </w:p>
          <w:p w14:paraId="7F7F9B8C" w14:textId="77777777" w:rsidR="00902460" w:rsidRPr="004E3513" w:rsidRDefault="00902460" w:rsidP="00AD3A69">
            <w:pPr>
              <w:numPr>
                <w:ilvl w:val="0"/>
                <w:numId w:val="14"/>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Vías de Álava S.A.U.</w:t>
            </w:r>
          </w:p>
          <w:p w14:paraId="5D7F4BA2" w14:textId="77777777" w:rsidR="00B44DF2" w:rsidRPr="004E3513" w:rsidRDefault="00B44DF2"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Sociedades Mercantiles Participadas</w:t>
            </w:r>
          </w:p>
          <w:p w14:paraId="778576C4" w14:textId="77777777" w:rsidR="00B44DF2" w:rsidRPr="004E3513" w:rsidRDefault="00B44DF2" w:rsidP="00AD3A69">
            <w:pPr>
              <w:numPr>
                <w:ilvl w:val="0"/>
                <w:numId w:val="14"/>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Centro de Transportes de Vitoria S.A (CTV) (dependiente de </w:t>
            </w:r>
            <w:r w:rsidR="00601F9B" w:rsidRPr="004E3513">
              <w:rPr>
                <w:rFonts w:asciiTheme="minorHAnsi" w:hAnsiTheme="minorHAnsi" w:cstheme="minorHAnsi"/>
                <w:snapToGrid w:val="0"/>
                <w:sz w:val="24"/>
                <w:szCs w:val="24"/>
              </w:rPr>
              <w:t>Á</w:t>
            </w:r>
            <w:r w:rsidRPr="004E3513">
              <w:rPr>
                <w:rFonts w:asciiTheme="minorHAnsi" w:hAnsiTheme="minorHAnsi" w:cstheme="minorHAnsi"/>
                <w:snapToGrid w:val="0"/>
                <w:sz w:val="24"/>
                <w:szCs w:val="24"/>
              </w:rPr>
              <w:t>lava Agencia de Desarrollo S.A.).</w:t>
            </w:r>
          </w:p>
          <w:p w14:paraId="562A3324" w14:textId="77777777" w:rsidR="00BB3AC5" w:rsidRPr="004E3513" w:rsidRDefault="00BB3AC5" w:rsidP="00AD3A69">
            <w:pPr>
              <w:ind w:left="57" w:right="57"/>
              <w:jc w:val="both"/>
              <w:rPr>
                <w:rFonts w:asciiTheme="minorHAnsi" w:hAnsiTheme="minorHAnsi" w:cstheme="minorHAnsi"/>
                <w:sz w:val="24"/>
                <w:szCs w:val="24"/>
              </w:rPr>
            </w:pPr>
          </w:p>
        </w:tc>
      </w:tr>
      <w:tr w:rsidR="00BB3AC5" w:rsidRPr="004E3513" w14:paraId="130AA776" w14:textId="77777777" w:rsidTr="0097177D">
        <w:tc>
          <w:tcPr>
            <w:tcW w:w="4535" w:type="dxa"/>
            <w:tcBorders>
              <w:right w:val="single" w:sz="4" w:space="0" w:color="808080"/>
            </w:tcBorders>
          </w:tcPr>
          <w:p w14:paraId="0143A041" w14:textId="77777777" w:rsidR="00BB3AC5" w:rsidRPr="004E3513" w:rsidRDefault="00BB3AC5" w:rsidP="00BB3AC5">
            <w:pPr>
              <w:rPr>
                <w:rFonts w:asciiTheme="minorHAnsi" w:hAnsiTheme="minorHAnsi" w:cstheme="minorHAnsi"/>
                <w:sz w:val="24"/>
                <w:szCs w:val="24"/>
              </w:rPr>
            </w:pPr>
          </w:p>
        </w:tc>
        <w:tc>
          <w:tcPr>
            <w:tcW w:w="4535" w:type="dxa"/>
            <w:tcBorders>
              <w:left w:val="single" w:sz="4" w:space="0" w:color="808080"/>
            </w:tcBorders>
          </w:tcPr>
          <w:p w14:paraId="1A6796A3" w14:textId="77777777" w:rsidR="00BB3AC5" w:rsidRPr="004E3513" w:rsidRDefault="00BB3AC5" w:rsidP="00BB3AC5">
            <w:pPr>
              <w:rPr>
                <w:rFonts w:asciiTheme="minorHAnsi" w:hAnsiTheme="minorHAnsi" w:cstheme="minorHAnsi"/>
                <w:sz w:val="24"/>
                <w:szCs w:val="24"/>
              </w:rPr>
            </w:pPr>
          </w:p>
        </w:tc>
      </w:tr>
      <w:tr w:rsidR="001E5090" w:rsidRPr="004E3513" w14:paraId="25A707E3" w14:textId="77777777" w:rsidTr="001E5090">
        <w:trPr>
          <w:trHeight w:val="737"/>
        </w:trPr>
        <w:tc>
          <w:tcPr>
            <w:tcW w:w="4535" w:type="dxa"/>
            <w:tcBorders>
              <w:right w:val="single" w:sz="4" w:space="0" w:color="808080"/>
            </w:tcBorders>
          </w:tcPr>
          <w:p w14:paraId="46F86325" w14:textId="07839A7D" w:rsidR="001E5090" w:rsidRPr="004E3513" w:rsidRDefault="001E5090" w:rsidP="001E5090">
            <w:pPr>
              <w:pStyle w:val="Ttulo1"/>
              <w:shd w:val="clear" w:color="auto" w:fill="D9D9D9"/>
              <w:spacing w:before="240" w:after="240"/>
              <w:ind w:left="57" w:right="57"/>
              <w:jc w:val="both"/>
              <w:rPr>
                <w:rFonts w:asciiTheme="minorHAnsi" w:hAnsiTheme="minorHAnsi" w:cstheme="minorHAnsi"/>
                <w:b/>
                <w:szCs w:val="24"/>
              </w:rPr>
            </w:pPr>
            <w:r w:rsidRPr="004E3513">
              <w:rPr>
                <w:rFonts w:asciiTheme="minorHAnsi" w:hAnsiTheme="minorHAnsi" w:cstheme="minorHAnsi"/>
                <w:b/>
                <w:szCs w:val="24"/>
              </w:rPr>
              <w:lastRenderedPageBreak/>
              <w:t>GASTU ARAUA</w:t>
            </w:r>
          </w:p>
        </w:tc>
        <w:tc>
          <w:tcPr>
            <w:tcW w:w="4535" w:type="dxa"/>
            <w:tcBorders>
              <w:left w:val="single" w:sz="4" w:space="0" w:color="808080"/>
            </w:tcBorders>
          </w:tcPr>
          <w:p w14:paraId="42006ECA" w14:textId="2B172EBD" w:rsidR="001E5090" w:rsidRPr="004E3513" w:rsidRDefault="001E5090" w:rsidP="001E5090">
            <w:pPr>
              <w:pStyle w:val="Ttulo1"/>
              <w:shd w:val="clear" w:color="auto" w:fill="D9D9D9"/>
              <w:spacing w:before="240" w:after="240"/>
              <w:ind w:left="57" w:right="57"/>
              <w:jc w:val="both"/>
              <w:rPr>
                <w:rFonts w:asciiTheme="minorHAnsi" w:hAnsiTheme="minorHAnsi" w:cstheme="minorHAnsi"/>
                <w:szCs w:val="24"/>
              </w:rPr>
            </w:pPr>
            <w:r w:rsidRPr="004E3513">
              <w:rPr>
                <w:rFonts w:asciiTheme="minorHAnsi" w:hAnsiTheme="minorHAnsi" w:cstheme="minorHAnsi"/>
                <w:b/>
                <w:szCs w:val="24"/>
              </w:rPr>
              <w:t>REGLA DE GASTO</w:t>
            </w:r>
          </w:p>
        </w:tc>
      </w:tr>
      <w:tr w:rsidR="00BB3AC5" w:rsidRPr="004E3513" w14:paraId="4204F8D2" w14:textId="77777777" w:rsidTr="0097177D">
        <w:tc>
          <w:tcPr>
            <w:tcW w:w="4535" w:type="dxa"/>
            <w:tcBorders>
              <w:right w:val="single" w:sz="4" w:space="0" w:color="808080"/>
            </w:tcBorders>
          </w:tcPr>
          <w:p w14:paraId="2A880657" w14:textId="3415BD66" w:rsidR="009A0498" w:rsidRDefault="008D0725" w:rsidP="009A0498">
            <w:pPr>
              <w:ind w:left="57" w:right="57"/>
              <w:jc w:val="both"/>
              <w:rPr>
                <w:rFonts w:asciiTheme="minorHAnsi" w:hAnsiTheme="minorHAnsi" w:cstheme="minorHAnsi"/>
                <w:snapToGrid w:val="0"/>
                <w:sz w:val="24"/>
                <w:szCs w:val="24"/>
              </w:rPr>
            </w:pPr>
            <w:r>
              <w:rPr>
                <w:rFonts w:asciiTheme="minorHAnsi" w:hAnsiTheme="minorHAnsi" w:cstheme="minorHAnsi"/>
                <w:snapToGrid w:val="0"/>
                <w:sz w:val="24"/>
                <w:szCs w:val="24"/>
              </w:rPr>
              <w:t>AEIFLO</w:t>
            </w:r>
            <w:r w:rsidRPr="008D0725">
              <w:rPr>
                <w:rFonts w:asciiTheme="minorHAnsi" w:hAnsiTheme="minorHAnsi" w:cstheme="minorHAnsi"/>
                <w:snapToGrid w:val="0"/>
                <w:sz w:val="24"/>
                <w:szCs w:val="24"/>
              </w:rPr>
              <w:t>k, 12. artikuluan, Gastu Arauaren definizioa ezartzen du, bai eta haren aplikagarritasuna eta galdagarritasuna ere.</w:t>
            </w:r>
            <w:r w:rsidR="00BB3AC5" w:rsidRPr="004E3513">
              <w:rPr>
                <w:rFonts w:asciiTheme="minorHAnsi" w:hAnsiTheme="minorHAnsi" w:cstheme="minorHAnsi"/>
                <w:snapToGrid w:val="0"/>
                <w:sz w:val="24"/>
                <w:szCs w:val="24"/>
              </w:rPr>
              <w:t>.</w:t>
            </w:r>
          </w:p>
          <w:p w14:paraId="2148D6F9" w14:textId="77777777" w:rsidR="008D0725" w:rsidRDefault="008D0725" w:rsidP="001E5090">
            <w:pPr>
              <w:ind w:left="57" w:right="57"/>
              <w:jc w:val="both"/>
              <w:rPr>
                <w:rFonts w:asciiTheme="minorHAnsi" w:hAnsiTheme="minorHAnsi" w:cstheme="minorHAnsi"/>
                <w:snapToGrid w:val="0"/>
                <w:sz w:val="24"/>
                <w:szCs w:val="24"/>
              </w:rPr>
            </w:pPr>
          </w:p>
          <w:p w14:paraId="67192668" w14:textId="77777777" w:rsidR="001E5090" w:rsidRDefault="001E5090" w:rsidP="001E5090">
            <w:pPr>
              <w:ind w:left="57" w:right="57"/>
              <w:jc w:val="both"/>
              <w:rPr>
                <w:rFonts w:asciiTheme="minorHAnsi" w:hAnsiTheme="minorHAnsi" w:cstheme="minorHAnsi"/>
                <w:snapToGrid w:val="0"/>
                <w:sz w:val="24"/>
                <w:szCs w:val="24"/>
              </w:rPr>
            </w:pPr>
          </w:p>
          <w:p w14:paraId="28380200" w14:textId="5B159C47" w:rsidR="005B7E91" w:rsidRPr="00142CB7" w:rsidRDefault="008D0725" w:rsidP="008D0725">
            <w:pPr>
              <w:spacing w:before="120" w:after="120"/>
              <w:ind w:left="57" w:right="57"/>
              <w:jc w:val="both"/>
              <w:rPr>
                <w:rFonts w:asciiTheme="minorHAnsi" w:hAnsiTheme="minorHAnsi" w:cstheme="minorHAnsi"/>
                <w:snapToGrid w:val="0"/>
                <w:sz w:val="24"/>
                <w:szCs w:val="24"/>
                <w:lang w:val="en-US"/>
              </w:rPr>
            </w:pPr>
            <w:r w:rsidRPr="001E5090">
              <w:rPr>
                <w:rFonts w:asciiTheme="minorHAnsi" w:hAnsiTheme="minorHAnsi" w:cstheme="minorHAnsi"/>
                <w:snapToGrid w:val="0"/>
                <w:sz w:val="24"/>
                <w:szCs w:val="24"/>
                <w:lang w:val="en-US"/>
              </w:rPr>
              <w:t xml:space="preserve">Gastu-araua lehen aipatutako legearen 3. </w:t>
            </w:r>
            <w:r w:rsidR="001E5090" w:rsidRPr="00142CB7">
              <w:rPr>
                <w:rFonts w:asciiTheme="minorHAnsi" w:hAnsiTheme="minorHAnsi" w:cstheme="minorHAnsi"/>
                <w:snapToGrid w:val="0"/>
                <w:sz w:val="24"/>
                <w:szCs w:val="24"/>
                <w:lang w:val="en-US"/>
              </w:rPr>
              <w:t>A</w:t>
            </w:r>
            <w:r w:rsidRPr="00142CB7">
              <w:rPr>
                <w:rFonts w:asciiTheme="minorHAnsi" w:hAnsiTheme="minorHAnsi" w:cstheme="minorHAnsi"/>
                <w:snapToGrid w:val="0"/>
                <w:sz w:val="24"/>
                <w:szCs w:val="24"/>
                <w:lang w:val="en-US"/>
              </w:rPr>
              <w:t>rtikuluan ezarritako aurrekontu-egonkortasunaren printzipioa betetzeko behar den osagaietako bat da.</w:t>
            </w:r>
          </w:p>
        </w:tc>
        <w:tc>
          <w:tcPr>
            <w:tcW w:w="4535" w:type="dxa"/>
            <w:tcBorders>
              <w:left w:val="single" w:sz="4" w:space="0" w:color="808080"/>
            </w:tcBorders>
          </w:tcPr>
          <w:p w14:paraId="2E899859" w14:textId="77777777" w:rsidR="00BB3AC5" w:rsidRDefault="00BB3AC5" w:rsidP="00AD3A69">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La LOEPSF establece, en su artículo 12, la definición de la Regla de Gasto, así como su aplicabilidad y exigibilidad.</w:t>
            </w:r>
          </w:p>
          <w:p w14:paraId="28EC98E3" w14:textId="77777777" w:rsidR="008D0725" w:rsidRDefault="008D0725" w:rsidP="00AD3A69">
            <w:pPr>
              <w:ind w:left="57" w:right="57"/>
              <w:jc w:val="both"/>
              <w:rPr>
                <w:rFonts w:asciiTheme="minorHAnsi" w:hAnsiTheme="minorHAnsi" w:cstheme="minorHAnsi"/>
                <w:snapToGrid w:val="0"/>
                <w:sz w:val="24"/>
                <w:szCs w:val="24"/>
              </w:rPr>
            </w:pPr>
          </w:p>
          <w:p w14:paraId="63E77EC4" w14:textId="77777777" w:rsidR="001E5090" w:rsidRPr="004E3513" w:rsidRDefault="001E5090" w:rsidP="00AD3A69">
            <w:pPr>
              <w:ind w:left="57" w:right="57"/>
              <w:jc w:val="both"/>
              <w:rPr>
                <w:rFonts w:asciiTheme="minorHAnsi" w:hAnsiTheme="minorHAnsi" w:cstheme="minorHAnsi"/>
                <w:snapToGrid w:val="0"/>
                <w:sz w:val="24"/>
                <w:szCs w:val="24"/>
              </w:rPr>
            </w:pPr>
          </w:p>
          <w:p w14:paraId="1D7CE2CD" w14:textId="77777777" w:rsidR="00BB3AC5" w:rsidRDefault="009A0498" w:rsidP="001E5090">
            <w:pPr>
              <w:ind w:left="57" w:right="57"/>
              <w:jc w:val="both"/>
              <w:rPr>
                <w:rFonts w:asciiTheme="minorHAnsi" w:hAnsiTheme="minorHAnsi" w:cstheme="minorHAnsi"/>
                <w:snapToGrid w:val="0"/>
                <w:sz w:val="24"/>
                <w:szCs w:val="24"/>
              </w:rPr>
            </w:pPr>
            <w:r w:rsidRPr="009A0498">
              <w:rPr>
                <w:rFonts w:asciiTheme="minorHAnsi" w:hAnsiTheme="minorHAnsi" w:cstheme="minorHAnsi"/>
                <w:snapToGrid w:val="0"/>
                <w:sz w:val="24"/>
                <w:szCs w:val="24"/>
              </w:rPr>
              <w:t>La Regla de Gasto es uno de los componentes necesarios para poder cumplir con el Principio de Estabilidad Presupuestaria establecido en el artículo 3 de la Ley antes citada</w:t>
            </w:r>
          </w:p>
          <w:p w14:paraId="5D6D37DD" w14:textId="5A64E43A" w:rsidR="001E5090" w:rsidRPr="004E3513" w:rsidRDefault="001E5090" w:rsidP="008D0725">
            <w:pPr>
              <w:spacing w:before="120" w:after="120"/>
              <w:ind w:left="57" w:right="57"/>
              <w:jc w:val="both"/>
              <w:rPr>
                <w:rFonts w:asciiTheme="minorHAnsi" w:hAnsiTheme="minorHAnsi" w:cstheme="minorHAnsi"/>
                <w:sz w:val="24"/>
                <w:szCs w:val="24"/>
              </w:rPr>
            </w:pPr>
          </w:p>
        </w:tc>
      </w:tr>
      <w:tr w:rsidR="00DA26F8" w:rsidRPr="004E3513" w14:paraId="5C7AA725" w14:textId="77777777" w:rsidTr="00DA26F8">
        <w:tc>
          <w:tcPr>
            <w:tcW w:w="4535" w:type="dxa"/>
            <w:tcBorders>
              <w:right w:val="single" w:sz="4" w:space="0" w:color="808080"/>
            </w:tcBorders>
          </w:tcPr>
          <w:p w14:paraId="53554C7F" w14:textId="77777777" w:rsidR="00DA26F8" w:rsidRDefault="001E5090" w:rsidP="001E5090">
            <w:pPr>
              <w:ind w:right="57"/>
              <w:jc w:val="both"/>
              <w:rPr>
                <w:rFonts w:asciiTheme="minorHAnsi" w:hAnsiTheme="minorHAnsi" w:cstheme="minorHAnsi"/>
                <w:sz w:val="24"/>
                <w:szCs w:val="24"/>
              </w:rPr>
            </w:pPr>
            <w:r w:rsidRPr="001E5090">
              <w:rPr>
                <w:rFonts w:asciiTheme="minorHAnsi" w:hAnsiTheme="minorHAnsi" w:cstheme="minorHAnsi"/>
                <w:sz w:val="24"/>
                <w:szCs w:val="24"/>
              </w:rPr>
              <w:t>Gastu-araua automatikoki aplikatzen da, administrazio publiko guztientzako aurrekontu-egonkortasunaren eta zor publikoaren helburuak ezartzeko akordioaren parte izan beharrik gabe.</w:t>
            </w:r>
          </w:p>
          <w:p w14:paraId="26A309A2" w14:textId="77777777" w:rsidR="001E5090" w:rsidRDefault="001E5090" w:rsidP="001E5090">
            <w:pPr>
              <w:ind w:right="57"/>
              <w:jc w:val="both"/>
              <w:rPr>
                <w:rFonts w:asciiTheme="minorHAnsi" w:hAnsiTheme="minorHAnsi" w:cstheme="minorHAnsi"/>
                <w:sz w:val="24"/>
                <w:szCs w:val="24"/>
              </w:rPr>
            </w:pPr>
          </w:p>
          <w:p w14:paraId="61EBECEC" w14:textId="77777777" w:rsidR="001E5090" w:rsidRDefault="001E5090" w:rsidP="001E5090">
            <w:pPr>
              <w:ind w:right="57"/>
              <w:jc w:val="both"/>
              <w:rPr>
                <w:rFonts w:asciiTheme="minorHAnsi" w:hAnsiTheme="minorHAnsi" w:cstheme="minorHAnsi"/>
                <w:sz w:val="24"/>
                <w:szCs w:val="24"/>
              </w:rPr>
            </w:pPr>
          </w:p>
          <w:p w14:paraId="79171BDA" w14:textId="77777777" w:rsidR="001E5090" w:rsidRDefault="001E5090" w:rsidP="001E5090">
            <w:pPr>
              <w:ind w:right="57"/>
              <w:jc w:val="both"/>
              <w:rPr>
                <w:rFonts w:asciiTheme="minorHAnsi" w:hAnsiTheme="minorHAnsi" w:cstheme="minorHAnsi"/>
                <w:sz w:val="24"/>
                <w:szCs w:val="24"/>
              </w:rPr>
            </w:pPr>
          </w:p>
          <w:p w14:paraId="0D9C6218" w14:textId="55F0EE90" w:rsidR="001E5090" w:rsidRPr="004E3513" w:rsidRDefault="001E5090" w:rsidP="001E5090">
            <w:pPr>
              <w:spacing w:before="120" w:after="120"/>
              <w:ind w:right="57"/>
              <w:jc w:val="both"/>
              <w:rPr>
                <w:rFonts w:asciiTheme="minorHAnsi" w:hAnsiTheme="minorHAnsi" w:cstheme="minorHAnsi"/>
                <w:sz w:val="24"/>
                <w:szCs w:val="24"/>
              </w:rPr>
            </w:pPr>
            <w:r w:rsidRPr="001E5090">
              <w:rPr>
                <w:rFonts w:asciiTheme="minorHAnsi" w:hAnsiTheme="minorHAnsi" w:cstheme="minorHAnsi"/>
                <w:sz w:val="24"/>
                <w:szCs w:val="24"/>
              </w:rPr>
              <w:t xml:space="preserve">Aplikagarria da </w:t>
            </w:r>
            <w:r>
              <w:rPr>
                <w:rFonts w:asciiTheme="minorHAnsi" w:hAnsiTheme="minorHAnsi" w:cstheme="minorHAnsi"/>
                <w:sz w:val="24"/>
                <w:szCs w:val="24"/>
              </w:rPr>
              <w:t>AEFILO</w:t>
            </w:r>
            <w:r w:rsidRPr="001E5090">
              <w:rPr>
                <w:rFonts w:asciiTheme="minorHAnsi" w:hAnsiTheme="minorHAnsi" w:cstheme="minorHAnsi"/>
                <w:sz w:val="24"/>
                <w:szCs w:val="24"/>
              </w:rPr>
              <w:t>ren 12.2, 3 eta 4. artikuluetan xedatutakoa 2024rako gastu-araua zehazteko; arau hori beharrezkoa da toki-erakundeen aurrekontuak egiteko, eta errespetatu egin beharko da ekitaldi-itxierako likidazioan.</w:t>
            </w:r>
          </w:p>
        </w:tc>
        <w:tc>
          <w:tcPr>
            <w:tcW w:w="4535" w:type="dxa"/>
            <w:tcBorders>
              <w:left w:val="single" w:sz="4" w:space="0" w:color="808080"/>
            </w:tcBorders>
          </w:tcPr>
          <w:p w14:paraId="2021E105" w14:textId="79080DEE" w:rsidR="00DA26F8" w:rsidRPr="00DA26F8" w:rsidRDefault="00470EED" w:rsidP="001E5090">
            <w:pPr>
              <w:ind w:left="57" w:right="57"/>
              <w:jc w:val="both"/>
              <w:rPr>
                <w:rFonts w:asciiTheme="minorHAnsi" w:hAnsiTheme="minorHAnsi" w:cstheme="minorHAnsi"/>
                <w:sz w:val="24"/>
                <w:szCs w:val="24"/>
              </w:rPr>
            </w:pPr>
            <w:r>
              <w:rPr>
                <w:rFonts w:asciiTheme="minorHAnsi" w:hAnsiTheme="minorHAnsi" w:cstheme="minorHAnsi"/>
                <w:sz w:val="24"/>
                <w:szCs w:val="24"/>
              </w:rPr>
              <w:t>La</w:t>
            </w:r>
            <w:r w:rsidR="00DA26F8" w:rsidRPr="00DA26F8">
              <w:rPr>
                <w:rFonts w:asciiTheme="minorHAnsi" w:hAnsiTheme="minorHAnsi" w:cstheme="minorHAnsi"/>
                <w:sz w:val="24"/>
                <w:szCs w:val="24"/>
              </w:rPr>
              <w:t xml:space="preserve"> regla de gasto se aplica de forma automática, sin necesidad de que forme parte del acuerdo de establecimiento de los objetivos de estabilidad presupuestaria y de deuda pública para el conjunto de Administraciones Públicas.</w:t>
            </w:r>
          </w:p>
          <w:p w14:paraId="4EC2535C" w14:textId="77777777" w:rsidR="00DA26F8" w:rsidRDefault="00DA26F8" w:rsidP="001E5090">
            <w:pPr>
              <w:ind w:left="57"/>
              <w:rPr>
                <w:rFonts w:asciiTheme="minorHAnsi" w:hAnsiTheme="minorHAnsi" w:cstheme="minorHAnsi"/>
                <w:sz w:val="24"/>
                <w:szCs w:val="24"/>
              </w:rPr>
            </w:pPr>
          </w:p>
          <w:p w14:paraId="0B2633FB" w14:textId="77777777" w:rsidR="001E5090" w:rsidRPr="00DA26F8" w:rsidRDefault="001E5090" w:rsidP="001E5090">
            <w:pPr>
              <w:ind w:left="57"/>
              <w:rPr>
                <w:rFonts w:asciiTheme="minorHAnsi" w:hAnsiTheme="minorHAnsi" w:cstheme="minorHAnsi"/>
                <w:sz w:val="24"/>
                <w:szCs w:val="24"/>
              </w:rPr>
            </w:pPr>
          </w:p>
          <w:p w14:paraId="08A432C1" w14:textId="77777777" w:rsidR="00DA26F8" w:rsidRDefault="00DA26F8" w:rsidP="001E5090">
            <w:pPr>
              <w:spacing w:before="120" w:after="120"/>
              <w:ind w:left="57" w:right="57"/>
              <w:jc w:val="both"/>
              <w:rPr>
                <w:rFonts w:asciiTheme="minorHAnsi" w:hAnsiTheme="minorHAnsi" w:cstheme="minorHAnsi"/>
                <w:sz w:val="24"/>
                <w:szCs w:val="24"/>
              </w:rPr>
            </w:pPr>
            <w:r w:rsidRPr="00DA26F8">
              <w:rPr>
                <w:rFonts w:asciiTheme="minorHAnsi" w:hAnsiTheme="minorHAnsi" w:cstheme="minorHAnsi"/>
                <w:sz w:val="24"/>
                <w:szCs w:val="24"/>
              </w:rPr>
              <w:t>Resulta de aplicación lo dispuesto en el artículo 12.2, 3 y 4 de la LOEPSF para la determinación de la regla de gasto en 2024, necesaria para la elaboración de los presupuestos de las entidades locales y que deberá respetarse en la liquidación al cierre del ejercicio.</w:t>
            </w:r>
          </w:p>
          <w:p w14:paraId="07AB94DD" w14:textId="470E66E7" w:rsidR="001E5090" w:rsidRPr="004E3513" w:rsidRDefault="001E5090" w:rsidP="001E5090">
            <w:pPr>
              <w:spacing w:before="120" w:after="120"/>
              <w:ind w:left="57" w:right="57"/>
              <w:jc w:val="both"/>
              <w:rPr>
                <w:rFonts w:asciiTheme="minorHAnsi" w:hAnsiTheme="minorHAnsi" w:cstheme="minorHAnsi"/>
                <w:sz w:val="24"/>
                <w:szCs w:val="24"/>
              </w:rPr>
            </w:pPr>
          </w:p>
        </w:tc>
      </w:tr>
      <w:tr w:rsidR="00470EED" w:rsidRPr="0097177D" w14:paraId="3CC70D44" w14:textId="77777777" w:rsidTr="00470EED">
        <w:tc>
          <w:tcPr>
            <w:tcW w:w="4535" w:type="dxa"/>
            <w:tcBorders>
              <w:right w:val="single" w:sz="4" w:space="0" w:color="808080"/>
            </w:tcBorders>
          </w:tcPr>
          <w:p w14:paraId="1BAE6AE5" w14:textId="344359FA" w:rsidR="00470EED" w:rsidRDefault="001E5090" w:rsidP="001E5090">
            <w:pPr>
              <w:spacing w:before="120" w:after="120"/>
              <w:ind w:right="57"/>
              <w:jc w:val="both"/>
              <w:rPr>
                <w:rFonts w:asciiTheme="minorHAnsi" w:hAnsiTheme="minorHAnsi" w:cstheme="minorHAnsi"/>
                <w:sz w:val="24"/>
                <w:szCs w:val="24"/>
              </w:rPr>
            </w:pPr>
            <w:r w:rsidRPr="001E5090">
              <w:rPr>
                <w:rFonts w:asciiTheme="minorHAnsi" w:hAnsiTheme="minorHAnsi" w:cstheme="minorHAnsi"/>
                <w:sz w:val="24"/>
                <w:szCs w:val="24"/>
              </w:rPr>
              <w:t>Gastu-araua kalkulatzeko, Espainiako ekonomiaren 202</w:t>
            </w:r>
            <w:r w:rsidR="00D854A8">
              <w:rPr>
                <w:rFonts w:asciiTheme="minorHAnsi" w:hAnsiTheme="minorHAnsi" w:cstheme="minorHAnsi"/>
                <w:sz w:val="24"/>
                <w:szCs w:val="24"/>
              </w:rPr>
              <w:t>5</w:t>
            </w:r>
            <w:r w:rsidRPr="001E5090">
              <w:rPr>
                <w:rFonts w:asciiTheme="minorHAnsi" w:hAnsiTheme="minorHAnsi" w:cstheme="minorHAnsi"/>
                <w:sz w:val="24"/>
                <w:szCs w:val="24"/>
              </w:rPr>
              <w:t xml:space="preserve">ko epe ertaineko Barne Produktu Gordinaren hazkunde-tasa ( % </w:t>
            </w:r>
            <w:r w:rsidR="00D854A8">
              <w:rPr>
                <w:rFonts w:asciiTheme="minorHAnsi" w:hAnsiTheme="minorHAnsi" w:cstheme="minorHAnsi"/>
                <w:sz w:val="24"/>
                <w:szCs w:val="24"/>
              </w:rPr>
              <w:t>3,2</w:t>
            </w:r>
            <w:r w:rsidRPr="001E5090">
              <w:rPr>
                <w:rFonts w:asciiTheme="minorHAnsi" w:hAnsiTheme="minorHAnsi" w:cstheme="minorHAnsi"/>
                <w:sz w:val="24"/>
                <w:szCs w:val="24"/>
              </w:rPr>
              <w:t xml:space="preserve">) aurreko ekitaldiko likidazioari dagokion Foru Administrazioaren gastu konputagarriarekin biderkatu behar da, </w:t>
            </w:r>
            <w:r w:rsidRPr="001E5090">
              <w:rPr>
                <w:rFonts w:asciiTheme="minorHAnsi" w:hAnsiTheme="minorHAnsi" w:cstheme="minorHAnsi"/>
                <w:sz w:val="24"/>
                <w:szCs w:val="24"/>
              </w:rPr>
              <w:lastRenderedPageBreak/>
              <w:t>arau-aldaketen ondoriozko bilketaren igoera iraunkorren ondoriozko zenbatekoa handituz, eta arau-aldaketen ondoriozko bilketaren gutxitzeei dagozkien zenbatekoak murriztuz.</w:t>
            </w:r>
          </w:p>
          <w:p w14:paraId="1044AEE9" w14:textId="77777777" w:rsidR="009717D9" w:rsidRDefault="009717D9" w:rsidP="001E5090">
            <w:pPr>
              <w:spacing w:before="120" w:after="120"/>
              <w:ind w:right="57"/>
              <w:jc w:val="both"/>
              <w:rPr>
                <w:rFonts w:asciiTheme="minorHAnsi" w:hAnsiTheme="minorHAnsi" w:cstheme="minorHAnsi"/>
                <w:sz w:val="24"/>
                <w:szCs w:val="24"/>
              </w:rPr>
            </w:pPr>
          </w:p>
          <w:p w14:paraId="5B67E196" w14:textId="77777777" w:rsidR="009717D9" w:rsidRDefault="009717D9" w:rsidP="001E5090">
            <w:pPr>
              <w:spacing w:before="120" w:after="120"/>
              <w:ind w:right="57"/>
              <w:jc w:val="both"/>
              <w:rPr>
                <w:rFonts w:asciiTheme="minorHAnsi" w:hAnsiTheme="minorHAnsi" w:cstheme="minorHAnsi"/>
                <w:sz w:val="24"/>
                <w:szCs w:val="24"/>
              </w:rPr>
            </w:pPr>
          </w:p>
          <w:p w14:paraId="09B1FFF4" w14:textId="77777777" w:rsidR="009717D9" w:rsidRDefault="009717D9" w:rsidP="001E5090">
            <w:pPr>
              <w:spacing w:before="120" w:after="120"/>
              <w:ind w:right="57"/>
              <w:jc w:val="both"/>
              <w:rPr>
                <w:rFonts w:asciiTheme="minorHAnsi" w:hAnsiTheme="minorHAnsi" w:cstheme="minorHAnsi"/>
                <w:sz w:val="24"/>
                <w:szCs w:val="24"/>
              </w:rPr>
            </w:pPr>
          </w:p>
          <w:p w14:paraId="2C71DAFC" w14:textId="50D692BE" w:rsidR="009717D9" w:rsidRDefault="009717D9" w:rsidP="001E5090">
            <w:pPr>
              <w:spacing w:before="120" w:after="120"/>
              <w:ind w:right="57"/>
              <w:jc w:val="both"/>
              <w:rPr>
                <w:rFonts w:asciiTheme="minorHAnsi" w:hAnsiTheme="minorHAnsi" w:cstheme="minorHAnsi"/>
                <w:sz w:val="24"/>
                <w:szCs w:val="24"/>
              </w:rPr>
            </w:pPr>
            <w:r w:rsidRPr="009717D9">
              <w:rPr>
                <w:rFonts w:asciiTheme="minorHAnsi" w:hAnsiTheme="minorHAnsi" w:cstheme="minorHAnsi"/>
                <w:sz w:val="24"/>
                <w:szCs w:val="24"/>
              </w:rPr>
              <w:t>Erantsitako tauletan jasotako datuen arabera, foru-sektore publikoa osatzen duten erakundeen gastu konputagarria, 202</w:t>
            </w:r>
            <w:r w:rsidR="00D854A8">
              <w:rPr>
                <w:rFonts w:asciiTheme="minorHAnsi" w:hAnsiTheme="minorHAnsi" w:cstheme="minorHAnsi"/>
                <w:sz w:val="24"/>
                <w:szCs w:val="24"/>
              </w:rPr>
              <w:t>5</w:t>
            </w:r>
            <w:r w:rsidRPr="009717D9">
              <w:rPr>
                <w:rFonts w:asciiTheme="minorHAnsi" w:hAnsiTheme="minorHAnsi" w:cstheme="minorHAnsi"/>
                <w:sz w:val="24"/>
                <w:szCs w:val="24"/>
              </w:rPr>
              <w:t xml:space="preserve">ko ekitaldian, </w:t>
            </w:r>
            <w:r w:rsidR="00D854A8" w:rsidRPr="00D854A8">
              <w:rPr>
                <w:rFonts w:asciiTheme="minorHAnsi" w:hAnsiTheme="minorHAnsi" w:cstheme="minorHAnsi"/>
                <w:sz w:val="24"/>
                <w:szCs w:val="24"/>
              </w:rPr>
              <w:t>536.706.532,22</w:t>
            </w:r>
            <w:r w:rsidR="00D854A8">
              <w:rPr>
                <w:rFonts w:asciiTheme="minorHAnsi" w:hAnsiTheme="minorHAnsi" w:cstheme="minorHAnsi"/>
                <w:sz w:val="24"/>
                <w:szCs w:val="24"/>
              </w:rPr>
              <w:t xml:space="preserve"> </w:t>
            </w:r>
            <w:r w:rsidRPr="009717D9">
              <w:rPr>
                <w:rFonts w:asciiTheme="minorHAnsi" w:hAnsiTheme="minorHAnsi" w:cstheme="minorHAnsi"/>
                <w:sz w:val="24"/>
                <w:szCs w:val="24"/>
              </w:rPr>
              <w:t>eurokoa da guztira.</w:t>
            </w:r>
          </w:p>
          <w:p w14:paraId="16E114A2" w14:textId="77777777" w:rsidR="009717D9" w:rsidRDefault="009717D9" w:rsidP="001E5090">
            <w:pPr>
              <w:spacing w:before="120" w:after="120"/>
              <w:ind w:right="57"/>
              <w:jc w:val="both"/>
              <w:rPr>
                <w:rFonts w:asciiTheme="minorHAnsi" w:hAnsiTheme="minorHAnsi" w:cstheme="minorHAnsi"/>
                <w:sz w:val="24"/>
                <w:szCs w:val="24"/>
              </w:rPr>
            </w:pPr>
          </w:p>
          <w:p w14:paraId="2EBEFFAF" w14:textId="1ABABCD6" w:rsidR="009717D9" w:rsidRPr="0097177D" w:rsidRDefault="009717D9" w:rsidP="001E5090">
            <w:pPr>
              <w:spacing w:before="120" w:after="120"/>
              <w:ind w:right="57"/>
              <w:jc w:val="both"/>
              <w:rPr>
                <w:rFonts w:asciiTheme="minorHAnsi" w:hAnsiTheme="minorHAnsi" w:cstheme="minorHAnsi"/>
                <w:sz w:val="24"/>
                <w:szCs w:val="24"/>
              </w:rPr>
            </w:pPr>
            <w:r>
              <w:rPr>
                <w:rFonts w:asciiTheme="minorHAnsi" w:hAnsiTheme="minorHAnsi" w:cstheme="minorHAnsi"/>
                <w:sz w:val="24"/>
                <w:szCs w:val="24"/>
              </w:rPr>
              <w:t>Z</w:t>
            </w:r>
            <w:r w:rsidRPr="009717D9">
              <w:rPr>
                <w:rFonts w:asciiTheme="minorHAnsi" w:hAnsiTheme="minorHAnsi" w:cstheme="minorHAnsi"/>
                <w:sz w:val="24"/>
                <w:szCs w:val="24"/>
              </w:rPr>
              <w:t>enbateko hori ezarritako gastu-mugaren barruan dago, eta indarrean dagoen araudia betetzen du.</w:t>
            </w:r>
          </w:p>
        </w:tc>
        <w:tc>
          <w:tcPr>
            <w:tcW w:w="4535" w:type="dxa"/>
            <w:tcBorders>
              <w:left w:val="single" w:sz="4" w:space="0" w:color="808080"/>
            </w:tcBorders>
          </w:tcPr>
          <w:p w14:paraId="2B6DCB3B" w14:textId="0E341149" w:rsidR="00470EED" w:rsidRDefault="00470EED" w:rsidP="00B87EAD">
            <w:pPr>
              <w:spacing w:before="120" w:after="120"/>
              <w:ind w:left="57" w:right="57"/>
              <w:jc w:val="both"/>
              <w:rPr>
                <w:rFonts w:asciiTheme="minorHAnsi" w:hAnsiTheme="minorHAnsi" w:cstheme="minorHAnsi"/>
                <w:sz w:val="24"/>
                <w:szCs w:val="24"/>
              </w:rPr>
            </w:pPr>
            <w:r w:rsidRPr="0097177D">
              <w:rPr>
                <w:rFonts w:asciiTheme="minorHAnsi" w:hAnsiTheme="minorHAnsi" w:cstheme="minorHAnsi"/>
                <w:sz w:val="24"/>
                <w:szCs w:val="24"/>
              </w:rPr>
              <w:lastRenderedPageBreak/>
              <w:t>El cálculo de la Regla de Gasto se obtiene multiplicando la Tasa de referencia de crecimiento del Producto Interior Bruto de medio plazo de la economía española para el año 20</w:t>
            </w:r>
            <w:r>
              <w:rPr>
                <w:rFonts w:asciiTheme="minorHAnsi" w:hAnsiTheme="minorHAnsi" w:cstheme="minorHAnsi"/>
                <w:sz w:val="24"/>
                <w:szCs w:val="24"/>
              </w:rPr>
              <w:t>2</w:t>
            </w:r>
            <w:r w:rsidR="00D854A8">
              <w:rPr>
                <w:rFonts w:asciiTheme="minorHAnsi" w:hAnsiTheme="minorHAnsi" w:cstheme="minorHAnsi"/>
                <w:sz w:val="24"/>
                <w:szCs w:val="24"/>
              </w:rPr>
              <w:t>5</w:t>
            </w:r>
            <w:r w:rsidRPr="0097177D">
              <w:rPr>
                <w:rFonts w:asciiTheme="minorHAnsi" w:hAnsiTheme="minorHAnsi" w:cstheme="minorHAnsi"/>
                <w:sz w:val="24"/>
                <w:szCs w:val="24"/>
              </w:rPr>
              <w:t xml:space="preserve">, cifrado en el </w:t>
            </w:r>
            <w:r w:rsidR="00D854A8">
              <w:rPr>
                <w:rFonts w:asciiTheme="minorHAnsi" w:hAnsiTheme="minorHAnsi" w:cstheme="minorHAnsi"/>
                <w:sz w:val="24"/>
                <w:szCs w:val="24"/>
              </w:rPr>
              <w:t>3,2</w:t>
            </w:r>
            <w:r w:rsidRPr="0097177D">
              <w:rPr>
                <w:rFonts w:asciiTheme="minorHAnsi" w:hAnsiTheme="minorHAnsi" w:cstheme="minorHAnsi"/>
                <w:sz w:val="24"/>
                <w:szCs w:val="24"/>
              </w:rPr>
              <w:t xml:space="preserve">%,por el Gasto Computable de la Administración Foral </w:t>
            </w:r>
            <w:r w:rsidRPr="0097177D">
              <w:rPr>
                <w:rFonts w:asciiTheme="minorHAnsi" w:hAnsiTheme="minorHAnsi" w:cstheme="minorHAnsi"/>
                <w:sz w:val="24"/>
                <w:szCs w:val="24"/>
              </w:rPr>
              <w:lastRenderedPageBreak/>
              <w:t>correspondiente a la liquidación del ejercicio anterior, incrementando el importe resultante en los aumentos permanentes de la recaudación debidos a cambios normativos, y disminuyendo los importes correspondientes a las minoraciones de la recaudación debidos a cambios normativos.</w:t>
            </w:r>
          </w:p>
          <w:p w14:paraId="5C87D79A" w14:textId="77777777" w:rsidR="00495D76" w:rsidRDefault="00495D76" w:rsidP="00B87EAD">
            <w:pPr>
              <w:spacing w:before="120" w:after="120"/>
              <w:ind w:left="57" w:right="57"/>
              <w:jc w:val="both"/>
              <w:rPr>
                <w:rFonts w:asciiTheme="minorHAnsi" w:hAnsiTheme="minorHAnsi" w:cstheme="minorHAnsi"/>
                <w:sz w:val="24"/>
                <w:szCs w:val="24"/>
              </w:rPr>
            </w:pPr>
          </w:p>
          <w:p w14:paraId="1BEFD8C9" w14:textId="5B3FD492" w:rsidR="00BC6F54" w:rsidRPr="009717D9" w:rsidRDefault="00BC6F54" w:rsidP="00B87EAD">
            <w:pPr>
              <w:spacing w:before="120" w:after="120"/>
              <w:ind w:left="57" w:right="57"/>
              <w:jc w:val="both"/>
              <w:rPr>
                <w:rFonts w:asciiTheme="minorHAnsi" w:hAnsiTheme="minorHAnsi" w:cstheme="minorHAnsi"/>
                <w:sz w:val="24"/>
                <w:szCs w:val="24"/>
              </w:rPr>
            </w:pPr>
            <w:r w:rsidRPr="009717D9">
              <w:rPr>
                <w:rFonts w:asciiTheme="minorHAnsi" w:hAnsiTheme="minorHAnsi" w:cstheme="minorHAnsi"/>
                <w:sz w:val="24"/>
                <w:szCs w:val="24"/>
              </w:rPr>
              <w:t>De acuerdo con los datos reflejados en los cuadros anexos, el gasto computable de las entidades que integran el sector público foral asciende, en el ejercicio 202</w:t>
            </w:r>
            <w:r w:rsidR="00D854A8">
              <w:rPr>
                <w:rFonts w:asciiTheme="minorHAnsi" w:hAnsiTheme="minorHAnsi" w:cstheme="minorHAnsi"/>
                <w:sz w:val="24"/>
                <w:szCs w:val="24"/>
              </w:rPr>
              <w:t>5</w:t>
            </w:r>
            <w:r w:rsidRPr="009717D9">
              <w:rPr>
                <w:rFonts w:asciiTheme="minorHAnsi" w:hAnsiTheme="minorHAnsi" w:cstheme="minorHAnsi"/>
                <w:sz w:val="24"/>
                <w:szCs w:val="24"/>
              </w:rPr>
              <w:t xml:space="preserve">, a un total de </w:t>
            </w:r>
            <w:r w:rsidR="00D854A8" w:rsidRPr="00D854A8">
              <w:rPr>
                <w:rFonts w:asciiTheme="minorHAnsi" w:hAnsiTheme="minorHAnsi" w:cstheme="minorHAnsi"/>
                <w:sz w:val="24"/>
                <w:szCs w:val="24"/>
              </w:rPr>
              <w:t>536.706.532,22</w:t>
            </w:r>
            <w:r w:rsidRPr="009717D9">
              <w:rPr>
                <w:rFonts w:asciiTheme="minorHAnsi" w:hAnsiTheme="minorHAnsi" w:cstheme="minorHAnsi"/>
                <w:sz w:val="24"/>
                <w:szCs w:val="24"/>
              </w:rPr>
              <w:t>euros.</w:t>
            </w:r>
          </w:p>
          <w:p w14:paraId="7239374B" w14:textId="77777777" w:rsidR="009717D9" w:rsidRDefault="009717D9" w:rsidP="00B87EAD">
            <w:pPr>
              <w:spacing w:before="120" w:after="120"/>
              <w:ind w:left="57" w:right="57"/>
              <w:jc w:val="both"/>
              <w:rPr>
                <w:rFonts w:asciiTheme="minorHAnsi" w:hAnsiTheme="minorHAnsi" w:cstheme="minorHAnsi"/>
                <w:sz w:val="24"/>
                <w:szCs w:val="24"/>
              </w:rPr>
            </w:pPr>
          </w:p>
          <w:p w14:paraId="7063B942" w14:textId="0F23F9F7" w:rsidR="00BC6F54" w:rsidRPr="0097177D" w:rsidRDefault="00BC6F54" w:rsidP="00B87EAD">
            <w:pPr>
              <w:spacing w:before="120" w:after="120"/>
              <w:ind w:left="57" w:right="57"/>
              <w:jc w:val="both"/>
              <w:rPr>
                <w:rFonts w:asciiTheme="minorHAnsi" w:hAnsiTheme="minorHAnsi" w:cstheme="minorHAnsi"/>
                <w:sz w:val="24"/>
                <w:szCs w:val="24"/>
              </w:rPr>
            </w:pPr>
            <w:r w:rsidRPr="009717D9">
              <w:rPr>
                <w:rFonts w:asciiTheme="minorHAnsi" w:hAnsiTheme="minorHAnsi" w:cstheme="minorHAnsi"/>
                <w:sz w:val="24"/>
                <w:szCs w:val="24"/>
              </w:rPr>
              <w:t>Dicho importe se encuentra dentro del límite de gasto establecido, cumpliendo así con la normativa vigente.</w:t>
            </w:r>
          </w:p>
        </w:tc>
      </w:tr>
    </w:tbl>
    <w:p w14:paraId="00853844" w14:textId="77777777" w:rsidR="00DC7F5E" w:rsidRPr="004E3513" w:rsidRDefault="00DC7F5E">
      <w:pPr>
        <w:rPr>
          <w:rFonts w:asciiTheme="minorHAnsi" w:hAnsiTheme="minorHAnsi" w:cstheme="minorHAnsi"/>
          <w:sz w:val="24"/>
          <w:szCs w:val="24"/>
        </w:rPr>
        <w:sectPr w:rsidR="00DC7F5E" w:rsidRPr="004E3513" w:rsidSect="002C4DDC">
          <w:headerReference w:type="default" r:id="rId8"/>
          <w:headerReference w:type="first" r:id="rId9"/>
          <w:type w:val="continuous"/>
          <w:pgSz w:w="11906" w:h="16838" w:code="9"/>
          <w:pgMar w:top="1418" w:right="1418" w:bottom="1418" w:left="1418" w:header="720" w:footer="720" w:gutter="0"/>
          <w:cols w:space="720"/>
          <w:titlePg/>
        </w:sectPr>
      </w:pPr>
    </w:p>
    <w:p w14:paraId="60398465" w14:textId="26146C61" w:rsidR="00F32A65" w:rsidRDefault="00F32A65"/>
    <w:p w14:paraId="19990540" w14:textId="34CA3625" w:rsidR="00F32A65" w:rsidRPr="00AF7435" w:rsidRDefault="00F32A65" w:rsidP="00F32A65">
      <w:pPr>
        <w:shd w:val="clear" w:color="auto" w:fill="D9D9D9"/>
        <w:rPr>
          <w:rFonts w:ascii="Arial" w:hAnsi="Arial" w:cs="Arial"/>
          <w:b/>
          <w:sz w:val="20"/>
        </w:rPr>
      </w:pPr>
      <w:r>
        <w:rPr>
          <w:rFonts w:ascii="Arial" w:hAnsi="Arial" w:cs="Arial"/>
          <w:b/>
          <w:sz w:val="20"/>
        </w:rPr>
        <w:t>ARABAKO FORU ALDUNDIAREN</w:t>
      </w:r>
      <w:r w:rsidRPr="00DC7F5E">
        <w:rPr>
          <w:rFonts w:ascii="Arial" w:hAnsi="Arial" w:cs="Arial"/>
          <w:b/>
          <w:sz w:val="20"/>
        </w:rPr>
        <w:t xml:space="preserve"> gastu arauaren kalkulua 20</w:t>
      </w:r>
      <w:r w:rsidR="004E3513">
        <w:rPr>
          <w:rFonts w:ascii="Arial" w:hAnsi="Arial" w:cs="Arial"/>
          <w:b/>
          <w:sz w:val="20"/>
        </w:rPr>
        <w:t>2</w:t>
      </w:r>
      <w:r w:rsidR="0025064D">
        <w:rPr>
          <w:rFonts w:ascii="Arial" w:hAnsi="Arial" w:cs="Arial"/>
          <w:b/>
          <w:sz w:val="20"/>
        </w:rPr>
        <w:t>5</w:t>
      </w:r>
      <w:r w:rsidRPr="00DC7F5E">
        <w:rPr>
          <w:rFonts w:ascii="Arial" w:hAnsi="Arial" w:cs="Arial"/>
          <w:b/>
          <w:sz w:val="20"/>
        </w:rPr>
        <w:t>rako</w:t>
      </w:r>
      <w:r w:rsidRPr="00AF7435">
        <w:rPr>
          <w:rFonts w:ascii="Arial" w:hAnsi="Arial" w:cs="Arial"/>
          <w:b/>
          <w:sz w:val="20"/>
        </w:rPr>
        <w:t xml:space="preserve"> / </w:t>
      </w:r>
    </w:p>
    <w:p w14:paraId="1E6B2F49" w14:textId="2E2823B7"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DIPUTACIÓN FORAL DE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4E3513">
        <w:rPr>
          <w:rFonts w:ascii="Arial" w:hAnsi="Arial" w:cs="Arial"/>
          <w:b/>
          <w:sz w:val="20"/>
        </w:rPr>
        <w:t>2</w:t>
      </w:r>
      <w:r w:rsidR="0025064D">
        <w:rPr>
          <w:rFonts w:ascii="Arial" w:hAnsi="Arial" w:cs="Arial"/>
          <w:b/>
          <w:sz w:val="20"/>
        </w:rPr>
        <w:t>5</w:t>
      </w:r>
    </w:p>
    <w:p w14:paraId="1101BE7E" w14:textId="77777777" w:rsidR="00F32A65" w:rsidRDefault="00F32A65"/>
    <w:p w14:paraId="0B09DB29" w14:textId="5AC556EA" w:rsidR="00F32A65" w:rsidRDefault="004C69E7" w:rsidP="00C60861">
      <w:pPr>
        <w:jc w:val="center"/>
      </w:pPr>
      <w:r w:rsidRPr="004C69E7">
        <w:rPr>
          <w:noProof/>
        </w:rPr>
        <w:drawing>
          <wp:inline distT="0" distB="0" distL="0" distR="0" wp14:anchorId="05E573FC" wp14:editId="485F91D8">
            <wp:extent cx="5759450" cy="6115050"/>
            <wp:effectExtent l="0" t="0" r="0" b="0"/>
            <wp:docPr id="3530266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115050"/>
                    </a:xfrm>
                    <a:prstGeom prst="rect">
                      <a:avLst/>
                    </a:prstGeom>
                    <a:noFill/>
                    <a:ln>
                      <a:noFill/>
                    </a:ln>
                  </pic:spPr>
                </pic:pic>
              </a:graphicData>
            </a:graphic>
          </wp:inline>
        </w:drawing>
      </w:r>
      <w:r w:rsidR="00F32A65">
        <w:br w:type="page"/>
      </w:r>
    </w:p>
    <w:p w14:paraId="14295ADC" w14:textId="77777777" w:rsidR="00F32A65" w:rsidRDefault="00F32A65"/>
    <w:p w14:paraId="118F6EC9" w14:textId="7508FB19" w:rsidR="00F32A65" w:rsidRPr="00AF7435" w:rsidRDefault="00F32A65" w:rsidP="00F32A65">
      <w:pPr>
        <w:shd w:val="clear" w:color="auto" w:fill="D9D9D9"/>
        <w:rPr>
          <w:rFonts w:ascii="Arial" w:hAnsi="Arial" w:cs="Arial"/>
          <w:b/>
          <w:sz w:val="20"/>
        </w:rPr>
      </w:pPr>
      <w:r>
        <w:rPr>
          <w:rFonts w:ascii="Arial" w:hAnsi="Arial" w:cs="Arial"/>
          <w:b/>
          <w:sz w:val="20"/>
        </w:rPr>
        <w:t>ERAKUNDE AUTONOMOEN</w:t>
      </w:r>
      <w:r w:rsidRPr="00DC7F5E">
        <w:rPr>
          <w:rFonts w:ascii="Arial" w:hAnsi="Arial" w:cs="Arial"/>
          <w:b/>
          <w:sz w:val="20"/>
        </w:rPr>
        <w:t xml:space="preserve"> gastu arauaren kalkulua 20</w:t>
      </w:r>
      <w:r w:rsidR="001A0F3A">
        <w:rPr>
          <w:rFonts w:ascii="Arial" w:hAnsi="Arial" w:cs="Arial"/>
          <w:b/>
          <w:sz w:val="20"/>
        </w:rPr>
        <w:t>2</w:t>
      </w:r>
      <w:r w:rsidR="000C100F">
        <w:rPr>
          <w:rFonts w:ascii="Arial" w:hAnsi="Arial" w:cs="Arial"/>
          <w:b/>
          <w:sz w:val="20"/>
        </w:rPr>
        <w:t>5</w:t>
      </w:r>
      <w:r w:rsidRPr="00DC7F5E">
        <w:rPr>
          <w:rFonts w:ascii="Arial" w:hAnsi="Arial" w:cs="Arial"/>
          <w:b/>
          <w:sz w:val="20"/>
        </w:rPr>
        <w:t>rako</w:t>
      </w:r>
      <w:r w:rsidRPr="00AF7435">
        <w:rPr>
          <w:rFonts w:ascii="Arial" w:hAnsi="Arial" w:cs="Arial"/>
          <w:b/>
          <w:sz w:val="20"/>
        </w:rPr>
        <w:t xml:space="preserve"> / </w:t>
      </w:r>
    </w:p>
    <w:p w14:paraId="4699C5B9" w14:textId="37FFCB8A"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los ORGANISMOS AUTÓNOMOS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0C100F">
        <w:rPr>
          <w:rFonts w:ascii="Arial" w:hAnsi="Arial" w:cs="Arial"/>
          <w:b/>
          <w:sz w:val="20"/>
        </w:rPr>
        <w:t>5</w:t>
      </w:r>
    </w:p>
    <w:p w14:paraId="14432699" w14:textId="77777777" w:rsidR="00F32A65" w:rsidRDefault="00F32A65"/>
    <w:p w14:paraId="6F2C6DA2" w14:textId="26FE6A04" w:rsidR="0040005A" w:rsidRPr="003156ED" w:rsidRDefault="003156ED">
      <w:pPr>
        <w:rPr>
          <w:rFonts w:ascii="Arial" w:hAnsi="Arial" w:cs="Arial"/>
          <w:sz w:val="20"/>
        </w:rPr>
      </w:pPr>
      <w:r w:rsidRPr="003156ED">
        <w:rPr>
          <w:rFonts w:ascii="Arial" w:hAnsi="Arial" w:cs="Arial"/>
          <w:sz w:val="20"/>
        </w:rPr>
        <w:t>Gizarte Ongizaterako Foru Erakundea, Gazteriaren Foru Erakundea eta Arabako Foru Suhiltzaileak/</w:t>
      </w:r>
    </w:p>
    <w:p w14:paraId="0935DAEC" w14:textId="4CF13D3D" w:rsidR="003156ED" w:rsidRPr="003156ED" w:rsidRDefault="003156ED">
      <w:pPr>
        <w:rPr>
          <w:rFonts w:ascii="Arial" w:hAnsi="Arial" w:cs="Arial"/>
          <w:sz w:val="20"/>
        </w:rPr>
      </w:pPr>
      <w:r w:rsidRPr="003156ED">
        <w:rPr>
          <w:rFonts w:ascii="Arial" w:hAnsi="Arial" w:cs="Arial"/>
          <w:sz w:val="20"/>
        </w:rPr>
        <w:t>Instituto Foral de Bienestar Social, Instituto Foral de la Juventud, Bomberos Forales de Álava</w:t>
      </w:r>
    </w:p>
    <w:p w14:paraId="1676C695" w14:textId="5B563168" w:rsidR="00F32A65" w:rsidRDefault="00F32A65">
      <w:pPr>
        <w:rPr>
          <w:noProof/>
        </w:rPr>
      </w:pPr>
    </w:p>
    <w:p w14:paraId="14B2441E" w14:textId="55112D04" w:rsidR="003156ED" w:rsidRDefault="008256B5">
      <w:r w:rsidRPr="008256B5">
        <w:rPr>
          <w:noProof/>
        </w:rPr>
        <w:drawing>
          <wp:inline distT="0" distB="0" distL="0" distR="0" wp14:anchorId="41638F06" wp14:editId="40AE6CEC">
            <wp:extent cx="5759450" cy="5743575"/>
            <wp:effectExtent l="0" t="0" r="0" b="9525"/>
            <wp:docPr id="129993855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743575"/>
                    </a:xfrm>
                    <a:prstGeom prst="rect">
                      <a:avLst/>
                    </a:prstGeom>
                    <a:noFill/>
                    <a:ln>
                      <a:noFill/>
                    </a:ln>
                  </pic:spPr>
                </pic:pic>
              </a:graphicData>
            </a:graphic>
          </wp:inline>
        </w:drawing>
      </w:r>
    </w:p>
    <w:p w14:paraId="65ACF6CD" w14:textId="77777777" w:rsidR="00F32A65" w:rsidRDefault="00F32A65"/>
    <w:p w14:paraId="37850AE9" w14:textId="77777777" w:rsidR="00F32A65" w:rsidRDefault="00F32A65">
      <w:r>
        <w:br w:type="page"/>
      </w:r>
    </w:p>
    <w:p w14:paraId="060070D4" w14:textId="1CE7BBCE" w:rsidR="009D70BB" w:rsidRDefault="00F32A65" w:rsidP="00F32A65">
      <w:pPr>
        <w:shd w:val="clear" w:color="auto" w:fill="D9D9D9"/>
        <w:rPr>
          <w:rFonts w:ascii="Arial" w:hAnsi="Arial" w:cs="Arial"/>
          <w:b/>
          <w:sz w:val="20"/>
        </w:rPr>
      </w:pPr>
      <w:r>
        <w:rPr>
          <w:rFonts w:ascii="Arial" w:hAnsi="Arial" w:cs="Arial"/>
          <w:b/>
          <w:sz w:val="20"/>
        </w:rPr>
        <w:lastRenderedPageBreak/>
        <w:t>FORU SOZIETATE PUBLIKOEN</w:t>
      </w:r>
      <w:r w:rsidRPr="00DC7F5E">
        <w:rPr>
          <w:rFonts w:ascii="Arial" w:hAnsi="Arial" w:cs="Arial"/>
          <w:b/>
          <w:sz w:val="20"/>
        </w:rPr>
        <w:t xml:space="preserve"> gastu arauaren kalkulua 20</w:t>
      </w:r>
      <w:r w:rsidR="001A0F3A">
        <w:rPr>
          <w:rFonts w:ascii="Arial" w:hAnsi="Arial" w:cs="Arial"/>
          <w:b/>
          <w:sz w:val="20"/>
        </w:rPr>
        <w:t>2</w:t>
      </w:r>
      <w:r w:rsidR="00564300">
        <w:rPr>
          <w:rFonts w:ascii="Arial" w:hAnsi="Arial" w:cs="Arial"/>
          <w:b/>
          <w:sz w:val="20"/>
        </w:rPr>
        <w:t>5</w:t>
      </w:r>
      <w:r w:rsidRPr="00DC7F5E">
        <w:rPr>
          <w:rFonts w:ascii="Arial" w:hAnsi="Arial" w:cs="Arial"/>
          <w:b/>
          <w:sz w:val="20"/>
        </w:rPr>
        <w:t>rako</w:t>
      </w:r>
      <w:r w:rsidRPr="00AF7435">
        <w:rPr>
          <w:rFonts w:ascii="Arial" w:hAnsi="Arial" w:cs="Arial"/>
          <w:b/>
          <w:sz w:val="20"/>
        </w:rPr>
        <w:t xml:space="preserve"> / </w:t>
      </w:r>
    </w:p>
    <w:p w14:paraId="59F522DF" w14:textId="3FB053AE"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SOCIEDADES PÚBLICAS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564300">
        <w:rPr>
          <w:rFonts w:ascii="Arial" w:hAnsi="Arial" w:cs="Arial"/>
          <w:b/>
          <w:sz w:val="20"/>
        </w:rPr>
        <w:t>5</w:t>
      </w:r>
    </w:p>
    <w:p w14:paraId="2C47A525" w14:textId="77777777" w:rsidR="00F32A65" w:rsidRDefault="00F32A65"/>
    <w:p w14:paraId="53975801" w14:textId="400DB7D3" w:rsidR="00F32A65" w:rsidRDefault="00B24B7F" w:rsidP="001A0F3A">
      <w:pPr>
        <w:jc w:val="center"/>
      </w:pPr>
      <w:r w:rsidRPr="00B24B7F">
        <w:rPr>
          <w:noProof/>
        </w:rPr>
        <w:drawing>
          <wp:inline distT="0" distB="0" distL="0" distR="0" wp14:anchorId="58DD070E" wp14:editId="24A88440">
            <wp:extent cx="5759450" cy="6448425"/>
            <wp:effectExtent l="0" t="0" r="0" b="9525"/>
            <wp:docPr id="113007286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448425"/>
                    </a:xfrm>
                    <a:prstGeom prst="rect">
                      <a:avLst/>
                    </a:prstGeom>
                    <a:noFill/>
                    <a:ln>
                      <a:noFill/>
                    </a:ln>
                  </pic:spPr>
                </pic:pic>
              </a:graphicData>
            </a:graphic>
          </wp:inline>
        </w:drawing>
      </w:r>
    </w:p>
    <w:p w14:paraId="6265F6E3" w14:textId="77777777" w:rsidR="001C1658" w:rsidRDefault="001C1658">
      <w:r>
        <w:br w:type="page"/>
      </w:r>
    </w:p>
    <w:p w14:paraId="7CBD5FAB" w14:textId="25FB3945" w:rsidR="009D70BB" w:rsidRDefault="001C1658" w:rsidP="001C1658">
      <w:pPr>
        <w:shd w:val="clear" w:color="auto" w:fill="D9D9D9"/>
        <w:rPr>
          <w:rFonts w:ascii="Arial" w:hAnsi="Arial" w:cs="Arial"/>
          <w:b/>
          <w:szCs w:val="22"/>
        </w:rPr>
      </w:pPr>
      <w:r>
        <w:rPr>
          <w:rFonts w:ascii="Arial" w:hAnsi="Arial" w:cs="Arial"/>
          <w:b/>
          <w:sz w:val="20"/>
        </w:rPr>
        <w:lastRenderedPageBreak/>
        <w:t>FORU FUNDAZIOEN</w:t>
      </w:r>
      <w:r w:rsidRPr="00DC7F5E">
        <w:rPr>
          <w:rFonts w:ascii="Arial" w:hAnsi="Arial" w:cs="Arial"/>
          <w:b/>
          <w:sz w:val="20"/>
        </w:rPr>
        <w:t xml:space="preserve"> gastu arauaren kalkulua 20</w:t>
      </w:r>
      <w:r w:rsidR="001A0F3A">
        <w:rPr>
          <w:rFonts w:ascii="Arial" w:hAnsi="Arial" w:cs="Arial"/>
          <w:b/>
          <w:sz w:val="20"/>
        </w:rPr>
        <w:t>2</w:t>
      </w:r>
      <w:r w:rsidR="00A045F5">
        <w:rPr>
          <w:rFonts w:ascii="Arial" w:hAnsi="Arial" w:cs="Arial"/>
          <w:b/>
          <w:sz w:val="20"/>
        </w:rPr>
        <w:t>5</w:t>
      </w:r>
      <w:r w:rsidRPr="00DC7F5E">
        <w:rPr>
          <w:rFonts w:ascii="Arial" w:hAnsi="Arial" w:cs="Arial"/>
          <w:b/>
          <w:sz w:val="20"/>
        </w:rPr>
        <w:t>rako</w:t>
      </w:r>
      <w:r w:rsidRPr="00AF7435">
        <w:rPr>
          <w:rFonts w:ascii="Arial" w:hAnsi="Arial" w:cs="Arial"/>
          <w:b/>
          <w:sz w:val="20"/>
        </w:rPr>
        <w:t xml:space="preserve"> </w:t>
      </w:r>
      <w:r w:rsidRPr="00231F31">
        <w:rPr>
          <w:rFonts w:ascii="Arial" w:hAnsi="Arial" w:cs="Arial"/>
          <w:b/>
          <w:szCs w:val="22"/>
        </w:rPr>
        <w:t xml:space="preserve">/ </w:t>
      </w:r>
    </w:p>
    <w:p w14:paraId="080C10F8" w14:textId="353C1086" w:rsidR="001C1658" w:rsidRPr="00AF7435" w:rsidRDefault="001C1658" w:rsidP="001C1658">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FUNDACIONES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A045F5">
        <w:rPr>
          <w:rFonts w:ascii="Arial" w:hAnsi="Arial" w:cs="Arial"/>
          <w:b/>
          <w:sz w:val="20"/>
        </w:rPr>
        <w:t>5</w:t>
      </w:r>
    </w:p>
    <w:p w14:paraId="51F3B8A8" w14:textId="77777777" w:rsidR="001C1658" w:rsidRDefault="001C1658"/>
    <w:p w14:paraId="5D7DA09E" w14:textId="77217084" w:rsidR="001C1658" w:rsidRDefault="00104CCC">
      <w:r w:rsidRPr="00104CCC">
        <w:rPr>
          <w:noProof/>
        </w:rPr>
        <w:drawing>
          <wp:inline distT="0" distB="0" distL="0" distR="0" wp14:anchorId="018709AB" wp14:editId="35EEDC84">
            <wp:extent cx="5759450" cy="6662420"/>
            <wp:effectExtent l="0" t="0" r="0" b="5080"/>
            <wp:docPr id="91361513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6662420"/>
                    </a:xfrm>
                    <a:prstGeom prst="rect">
                      <a:avLst/>
                    </a:prstGeom>
                    <a:noFill/>
                    <a:ln>
                      <a:noFill/>
                    </a:ln>
                  </pic:spPr>
                </pic:pic>
              </a:graphicData>
            </a:graphic>
          </wp:inline>
        </w:drawing>
      </w:r>
    </w:p>
    <w:p w14:paraId="1EDA2C97" w14:textId="77777777" w:rsidR="00E5611A" w:rsidRDefault="00E5611A">
      <w:pPr>
        <w:sectPr w:rsidR="00E5611A" w:rsidSect="00B34A32">
          <w:headerReference w:type="first" r:id="rId14"/>
          <w:pgSz w:w="11906" w:h="16838" w:code="9"/>
          <w:pgMar w:top="1418" w:right="1418" w:bottom="1418" w:left="1418" w:header="720" w:footer="720" w:gutter="0"/>
          <w:cols w:space="720"/>
          <w:titlePg/>
          <w:docGrid w:linePitch="299"/>
        </w:sectPr>
      </w:pPr>
    </w:p>
    <w:p w14:paraId="73BE8430" w14:textId="77777777" w:rsidR="00B34A32" w:rsidRDefault="00B34A32"/>
    <w:p w14:paraId="600A0EA3" w14:textId="4F05FC3A" w:rsidR="00B34A32" w:rsidRPr="00AF7435" w:rsidRDefault="00B34A32" w:rsidP="00B34A32">
      <w:pPr>
        <w:shd w:val="clear" w:color="auto" w:fill="D9D9D9"/>
        <w:rPr>
          <w:rFonts w:ascii="Arial" w:hAnsi="Arial" w:cs="Arial"/>
          <w:b/>
          <w:sz w:val="20"/>
        </w:rPr>
      </w:pPr>
      <w:r>
        <w:rPr>
          <w:rFonts w:ascii="Arial" w:hAnsi="Arial" w:cs="Arial"/>
          <w:b/>
          <w:sz w:val="20"/>
        </w:rPr>
        <w:t>ARABAKO FORU SEKTORE PUBLIKOAREN</w:t>
      </w:r>
      <w:r w:rsidRPr="00DC7F5E">
        <w:rPr>
          <w:rFonts w:ascii="Arial" w:hAnsi="Arial" w:cs="Arial"/>
          <w:b/>
          <w:sz w:val="20"/>
        </w:rPr>
        <w:t xml:space="preserve"> gastu arauaren kalkulua 20</w:t>
      </w:r>
      <w:r>
        <w:rPr>
          <w:rFonts w:ascii="Arial" w:hAnsi="Arial" w:cs="Arial"/>
          <w:b/>
          <w:sz w:val="20"/>
        </w:rPr>
        <w:t>2</w:t>
      </w:r>
      <w:r w:rsidR="00EB3FEE">
        <w:rPr>
          <w:rFonts w:ascii="Arial" w:hAnsi="Arial" w:cs="Arial"/>
          <w:b/>
          <w:sz w:val="20"/>
        </w:rPr>
        <w:t>5</w:t>
      </w:r>
      <w:r w:rsidRPr="00DC7F5E">
        <w:rPr>
          <w:rFonts w:ascii="Arial" w:hAnsi="Arial" w:cs="Arial"/>
          <w:b/>
          <w:sz w:val="20"/>
        </w:rPr>
        <w:t>rako</w:t>
      </w:r>
      <w:r w:rsidRPr="00AF7435">
        <w:rPr>
          <w:rFonts w:ascii="Arial" w:hAnsi="Arial" w:cs="Arial"/>
          <w:b/>
          <w:sz w:val="20"/>
        </w:rPr>
        <w:t xml:space="preserve"> / </w:t>
      </w:r>
    </w:p>
    <w:p w14:paraId="7CE07507" w14:textId="1F579928" w:rsidR="00B34A32" w:rsidRPr="00AF7435" w:rsidRDefault="00B34A32" w:rsidP="00B34A32">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del SECTOR PÚBLICO FORAL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Pr>
          <w:rFonts w:ascii="Arial" w:hAnsi="Arial" w:cs="Arial"/>
          <w:b/>
          <w:sz w:val="20"/>
        </w:rPr>
        <w:t>2</w:t>
      </w:r>
      <w:r w:rsidR="00EB3FEE">
        <w:rPr>
          <w:rFonts w:ascii="Arial" w:hAnsi="Arial" w:cs="Arial"/>
          <w:b/>
          <w:sz w:val="20"/>
        </w:rPr>
        <w:t>5</w:t>
      </w:r>
    </w:p>
    <w:p w14:paraId="12275008" w14:textId="77777777" w:rsidR="00B34A32" w:rsidRDefault="00B34A32"/>
    <w:p w14:paraId="2FA66884" w14:textId="77777777" w:rsidR="004F7F3C" w:rsidRDefault="004F7F3C"/>
    <w:p w14:paraId="6493610C" w14:textId="77777777" w:rsidR="004F7F3C" w:rsidRDefault="004F7F3C"/>
    <w:p w14:paraId="453BC0B6" w14:textId="77777777" w:rsidR="004F7F3C" w:rsidRDefault="004F7F3C"/>
    <w:p w14:paraId="38F75904" w14:textId="243F858B" w:rsidR="00B34A32" w:rsidRDefault="004F7F3C" w:rsidP="00B34A32">
      <w:pPr>
        <w:jc w:val="center"/>
      </w:pPr>
      <w:r w:rsidRPr="004F7F3C">
        <w:rPr>
          <w:noProof/>
        </w:rPr>
        <w:drawing>
          <wp:inline distT="0" distB="0" distL="0" distR="0" wp14:anchorId="7A19D6A0" wp14:editId="1F6BBB7C">
            <wp:extent cx="5759450" cy="4495800"/>
            <wp:effectExtent l="0" t="0" r="0" b="0"/>
            <wp:docPr id="233907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495800"/>
                    </a:xfrm>
                    <a:prstGeom prst="rect">
                      <a:avLst/>
                    </a:prstGeom>
                    <a:noFill/>
                    <a:ln>
                      <a:noFill/>
                    </a:ln>
                  </pic:spPr>
                </pic:pic>
              </a:graphicData>
            </a:graphic>
          </wp:inline>
        </w:drawing>
      </w:r>
    </w:p>
    <w:p w14:paraId="2FEFD653" w14:textId="77777777" w:rsidR="00F32A65" w:rsidRDefault="00F32A65"/>
    <w:p w14:paraId="567EB25D" w14:textId="7FEBA7D0" w:rsidR="00F32A65" w:rsidRPr="0031265C" w:rsidRDefault="00F32A65" w:rsidP="00F32A65">
      <w:pPr>
        <w:jc w:val="center"/>
      </w:pPr>
    </w:p>
    <w:p w14:paraId="5750F93A" w14:textId="77777777" w:rsidR="00DC7F5E" w:rsidRDefault="00DC7F5E" w:rsidP="005327E7">
      <w:pPr>
        <w:jc w:val="center"/>
      </w:pPr>
    </w:p>
    <w:p w14:paraId="558D7100" w14:textId="366B8EC5" w:rsidR="001135AF" w:rsidRDefault="001135AF" w:rsidP="005327E7">
      <w:pPr>
        <w:jc w:val="center"/>
        <w:sectPr w:rsidR="001135AF" w:rsidSect="00B34A32">
          <w:pgSz w:w="11906" w:h="16838" w:code="9"/>
          <w:pgMar w:top="1418" w:right="1418" w:bottom="1418" w:left="1418" w:header="720" w:footer="720" w:gutter="0"/>
          <w:cols w:space="720"/>
          <w:titlePg/>
          <w:docGrid w:linePitch="299"/>
        </w:sectPr>
      </w:pPr>
    </w:p>
    <w:tbl>
      <w:tblPr>
        <w:tblW w:w="0" w:type="auto"/>
        <w:tblLook w:val="01E0" w:firstRow="1" w:lastRow="1" w:firstColumn="1" w:lastColumn="1" w:noHBand="0" w:noVBand="0"/>
      </w:tblPr>
      <w:tblGrid>
        <w:gridCol w:w="4527"/>
        <w:gridCol w:w="4543"/>
      </w:tblGrid>
      <w:tr w:rsidR="000C21F3" w:rsidRPr="00AB0C97" w14:paraId="59A9D529" w14:textId="77777777" w:rsidTr="00AB0C97">
        <w:tc>
          <w:tcPr>
            <w:tcW w:w="4527" w:type="dxa"/>
            <w:tcBorders>
              <w:right w:val="single" w:sz="4" w:space="0" w:color="808080"/>
            </w:tcBorders>
          </w:tcPr>
          <w:p w14:paraId="2E34F753" w14:textId="77777777" w:rsidR="000C21F3" w:rsidRPr="00AB0C97" w:rsidRDefault="000C21F3" w:rsidP="005133A3">
            <w:pPr>
              <w:pStyle w:val="Ttulo1"/>
              <w:shd w:val="clear" w:color="auto" w:fill="D9D9D9"/>
              <w:spacing w:before="60" w:after="60"/>
              <w:ind w:right="57"/>
              <w:rPr>
                <w:rFonts w:asciiTheme="minorHAnsi" w:hAnsiTheme="minorHAnsi" w:cstheme="minorHAnsi"/>
                <w:b/>
                <w:szCs w:val="24"/>
              </w:rPr>
            </w:pPr>
            <w:r w:rsidRPr="00AB0C97">
              <w:rPr>
                <w:rFonts w:asciiTheme="minorHAnsi" w:hAnsiTheme="minorHAnsi" w:cstheme="minorHAnsi"/>
                <w:b/>
                <w:szCs w:val="24"/>
              </w:rPr>
              <w:lastRenderedPageBreak/>
              <w:t>AURREKONTUETAKO EGONKORTASUN HELBURUA</w:t>
            </w:r>
          </w:p>
          <w:p w14:paraId="4100FB53" w14:textId="77777777" w:rsidR="000C21F3" w:rsidRPr="00AB0C97" w:rsidRDefault="000C21F3" w:rsidP="005133A3">
            <w:pPr>
              <w:ind w:right="57"/>
              <w:rPr>
                <w:rFonts w:asciiTheme="minorHAnsi" w:hAnsiTheme="minorHAnsi" w:cstheme="minorHAnsi"/>
                <w:snapToGrid w:val="0"/>
                <w:sz w:val="24"/>
                <w:szCs w:val="24"/>
                <w:u w:val="single"/>
              </w:rPr>
            </w:pPr>
          </w:p>
          <w:p w14:paraId="5DB686A0" w14:textId="77777777" w:rsidR="000C21F3" w:rsidRPr="00AB0C97" w:rsidRDefault="0059786F" w:rsidP="005133A3">
            <w:pPr>
              <w:ind w:right="57"/>
              <w:jc w:val="both"/>
              <w:rPr>
                <w:rFonts w:asciiTheme="minorHAnsi" w:hAnsiTheme="minorHAnsi" w:cstheme="minorHAnsi"/>
                <w:snapToGrid w:val="0"/>
                <w:sz w:val="24"/>
                <w:szCs w:val="24"/>
              </w:rPr>
            </w:pPr>
            <w:r w:rsidRPr="00AB0C97">
              <w:rPr>
                <w:rFonts w:asciiTheme="minorHAnsi" w:hAnsiTheme="minorHAnsi" w:cstheme="minorHAnsi"/>
                <w:snapToGrid w:val="0"/>
                <w:sz w:val="24"/>
                <w:szCs w:val="24"/>
              </w:rPr>
              <w:t>Aurrekontuetako egonkortasun oinarria AEIFLOko 3. artikuluan ezarri da eta testuaren 11. artikuluan gauzatzen eta garatzen da.</w:t>
            </w:r>
          </w:p>
          <w:p w14:paraId="3E57A269" w14:textId="77777777" w:rsidR="003448B6" w:rsidRPr="00AB0C97" w:rsidRDefault="003448B6" w:rsidP="005133A3">
            <w:pPr>
              <w:ind w:right="57"/>
              <w:jc w:val="both"/>
              <w:rPr>
                <w:rFonts w:asciiTheme="minorHAnsi" w:hAnsiTheme="minorHAnsi" w:cstheme="minorHAnsi"/>
                <w:snapToGrid w:val="0"/>
                <w:sz w:val="24"/>
                <w:szCs w:val="24"/>
              </w:rPr>
            </w:pPr>
          </w:p>
        </w:tc>
        <w:tc>
          <w:tcPr>
            <w:tcW w:w="4543" w:type="dxa"/>
            <w:tcBorders>
              <w:left w:val="single" w:sz="4" w:space="0" w:color="808080"/>
            </w:tcBorders>
          </w:tcPr>
          <w:p w14:paraId="42FE5A68" w14:textId="77777777" w:rsidR="000C21F3" w:rsidRPr="00AB0C97" w:rsidRDefault="000C21F3" w:rsidP="005133A3">
            <w:pPr>
              <w:pStyle w:val="Ttulo1"/>
              <w:shd w:val="clear" w:color="auto" w:fill="D9D9D9"/>
              <w:spacing w:before="60" w:after="60"/>
              <w:ind w:left="57"/>
              <w:jc w:val="both"/>
              <w:rPr>
                <w:rFonts w:asciiTheme="minorHAnsi" w:hAnsiTheme="minorHAnsi" w:cstheme="minorHAnsi"/>
                <w:b/>
                <w:szCs w:val="24"/>
              </w:rPr>
            </w:pPr>
            <w:r w:rsidRPr="00AB0C97">
              <w:rPr>
                <w:rFonts w:asciiTheme="minorHAnsi" w:hAnsiTheme="minorHAnsi" w:cstheme="minorHAnsi"/>
                <w:b/>
                <w:szCs w:val="24"/>
              </w:rPr>
              <w:t>OBJETIVO DE ESTABILIDAD PRESUPUESTARIA</w:t>
            </w:r>
          </w:p>
          <w:p w14:paraId="32DF0D77" w14:textId="77777777" w:rsidR="000C21F3" w:rsidRPr="00AB0C97" w:rsidRDefault="000C21F3" w:rsidP="00C26615">
            <w:pPr>
              <w:rPr>
                <w:rFonts w:asciiTheme="minorHAnsi" w:hAnsiTheme="minorHAnsi" w:cstheme="minorHAnsi"/>
                <w:snapToGrid w:val="0"/>
                <w:sz w:val="24"/>
                <w:szCs w:val="24"/>
              </w:rPr>
            </w:pPr>
          </w:p>
          <w:p w14:paraId="32146539" w14:textId="77777777" w:rsidR="0059786F" w:rsidRPr="00AB0C97" w:rsidRDefault="000C21F3" w:rsidP="005133A3">
            <w:pPr>
              <w:jc w:val="both"/>
              <w:rPr>
                <w:rFonts w:asciiTheme="minorHAnsi" w:hAnsiTheme="minorHAnsi" w:cstheme="minorHAnsi"/>
                <w:sz w:val="24"/>
                <w:szCs w:val="24"/>
              </w:rPr>
            </w:pPr>
            <w:r w:rsidRPr="00AB0C97">
              <w:rPr>
                <w:rFonts w:asciiTheme="minorHAnsi" w:hAnsiTheme="minorHAnsi" w:cstheme="minorHAnsi"/>
                <w:sz w:val="24"/>
                <w:szCs w:val="24"/>
              </w:rPr>
              <w:t>El principio de Estabilidad Presupuestaria se establece en el artículo 3 de la LOEPSF y se instrumenta en el artículo 11.</w:t>
            </w:r>
          </w:p>
          <w:p w14:paraId="537C1120" w14:textId="045301F2" w:rsidR="000C21F3" w:rsidRPr="00AB0C97" w:rsidRDefault="000C21F3" w:rsidP="005133A3">
            <w:pPr>
              <w:jc w:val="both"/>
              <w:rPr>
                <w:rFonts w:asciiTheme="minorHAnsi" w:hAnsiTheme="minorHAnsi" w:cstheme="minorHAnsi"/>
                <w:sz w:val="24"/>
                <w:szCs w:val="24"/>
              </w:rPr>
            </w:pPr>
          </w:p>
        </w:tc>
      </w:tr>
      <w:tr w:rsidR="00470EED" w:rsidRPr="00AB0C97" w14:paraId="19EFD18C" w14:textId="77777777" w:rsidTr="00B87EAD">
        <w:tc>
          <w:tcPr>
            <w:tcW w:w="4527" w:type="dxa"/>
            <w:tcBorders>
              <w:right w:val="single" w:sz="4" w:space="0" w:color="808080"/>
            </w:tcBorders>
          </w:tcPr>
          <w:p w14:paraId="5F83F902" w14:textId="77777777" w:rsidR="00470EED" w:rsidRPr="00AD4683" w:rsidRDefault="00470EED" w:rsidP="00B87EAD">
            <w:pPr>
              <w:spacing w:before="240" w:after="120"/>
              <w:ind w:right="57"/>
              <w:jc w:val="both"/>
              <w:rPr>
                <w:rFonts w:asciiTheme="minorHAnsi" w:hAnsiTheme="minorHAnsi" w:cstheme="minorHAnsi"/>
                <w:snapToGrid w:val="0"/>
                <w:sz w:val="24"/>
                <w:szCs w:val="24"/>
              </w:rPr>
            </w:pPr>
            <w:r w:rsidRPr="00AD4683">
              <w:rPr>
                <w:rFonts w:asciiTheme="minorHAnsi" w:hAnsiTheme="minorHAnsi" w:cstheme="minorHAnsi"/>
                <w:sz w:val="24"/>
                <w:szCs w:val="24"/>
              </w:rPr>
              <w:t>Aurrekontu egonkortasunari eta finantza iraunkortasunari buruzko 2/2012 Lege Organikoak, azken xedapenetako hirugarrenean foru araubide berezia finkatzen du gai honetan, eta haren garapenean berresten da berezitasun hori (urriaren 1eko HAP/2105/2012 Agindua, Aurrekontu egonkortasunari eta finantza iraunkortasunari buruzko Legearen informazio obligazioak garatzen dituena).</w:t>
            </w:r>
          </w:p>
        </w:tc>
        <w:tc>
          <w:tcPr>
            <w:tcW w:w="4543" w:type="dxa"/>
            <w:tcBorders>
              <w:left w:val="single" w:sz="4" w:space="0" w:color="808080"/>
            </w:tcBorders>
          </w:tcPr>
          <w:p w14:paraId="64F4AF23" w14:textId="77777777" w:rsidR="00470EED" w:rsidRPr="00AD4683" w:rsidRDefault="00470EED" w:rsidP="00B87EAD">
            <w:pPr>
              <w:spacing w:before="240" w:after="120"/>
              <w:jc w:val="both"/>
              <w:rPr>
                <w:rFonts w:asciiTheme="minorHAnsi" w:hAnsiTheme="minorHAnsi" w:cstheme="minorHAnsi"/>
                <w:sz w:val="24"/>
                <w:szCs w:val="24"/>
              </w:rPr>
            </w:pPr>
            <w:r w:rsidRPr="00AD4683">
              <w:rPr>
                <w:rFonts w:asciiTheme="minorHAnsi" w:hAnsiTheme="minorHAnsi" w:cstheme="minorHAnsi"/>
                <w:sz w:val="24"/>
                <w:szCs w:val="24"/>
              </w:rPr>
              <w:t>La Ley Orgánica 2/2012, de Estabilidad Presupuestaria y Sostenibilidad Financiera, establece en su Disposición Final Tercera un régimen foral específico en esta materia, especificidad que viene refrendada en el desarrollo reglamentario de la misma (Orden  HAP/2105/2012, de 1 octubre, de desarrollo obligaciones información Ley de Estabilidad Presupuestaria y Sostenibilidad Financiera).</w:t>
            </w:r>
          </w:p>
        </w:tc>
      </w:tr>
      <w:tr w:rsidR="00470EED" w:rsidRPr="00AB0C97" w14:paraId="2C0F5C2D" w14:textId="77777777" w:rsidTr="00B87EAD">
        <w:tc>
          <w:tcPr>
            <w:tcW w:w="4527" w:type="dxa"/>
            <w:tcBorders>
              <w:right w:val="single" w:sz="4" w:space="0" w:color="808080"/>
            </w:tcBorders>
          </w:tcPr>
          <w:p w14:paraId="2A288A93" w14:textId="77777777" w:rsidR="00470EED" w:rsidRPr="00AD4683" w:rsidRDefault="00470EED" w:rsidP="00470EED">
            <w:pPr>
              <w:spacing w:before="240" w:after="120"/>
              <w:ind w:right="57"/>
              <w:jc w:val="both"/>
              <w:rPr>
                <w:rFonts w:asciiTheme="minorHAnsi" w:hAnsiTheme="minorHAnsi" w:cstheme="minorHAnsi"/>
                <w:sz w:val="24"/>
                <w:szCs w:val="24"/>
              </w:rPr>
            </w:pPr>
            <w:r w:rsidRPr="00AD4683">
              <w:rPr>
                <w:rFonts w:asciiTheme="minorHAnsi" w:hAnsiTheme="minorHAnsi" w:cstheme="minorHAnsi"/>
                <w:sz w:val="24"/>
                <w:szCs w:val="24"/>
              </w:rPr>
              <w:t>““2. Lege honetan xedatutakoa Euskal Autonomia Erkidegoari aplikatzeko garaian, bere foru araubidea dela eta, Ekonomia itunari buruzko Legean xedatutakoa beteko da” (2/2012 Lege Organikoaren azken xedapenetako hirugarrena).</w:t>
            </w:r>
          </w:p>
          <w:p w14:paraId="204696B1" w14:textId="7058EE7C" w:rsidR="00470EED" w:rsidRPr="00AB0C97" w:rsidRDefault="00470EED" w:rsidP="00470EED">
            <w:pPr>
              <w:spacing w:before="240" w:after="120"/>
              <w:ind w:right="57"/>
              <w:jc w:val="both"/>
              <w:rPr>
                <w:rFonts w:asciiTheme="minorHAnsi" w:hAnsiTheme="minorHAnsi" w:cstheme="minorHAnsi"/>
                <w:snapToGrid w:val="0"/>
                <w:sz w:val="24"/>
                <w:szCs w:val="24"/>
              </w:rPr>
            </w:pPr>
            <w:r>
              <w:t>”</w:t>
            </w:r>
            <w:r w:rsidRPr="00906F4C">
              <w:rPr>
                <w:rFonts w:asciiTheme="minorHAnsi" w:hAnsiTheme="minorHAnsi" w:cstheme="minorHAnsi"/>
                <w:sz w:val="24"/>
                <w:szCs w:val="24"/>
              </w:rPr>
              <w:t xml:space="preserve">Agindu honetan jasotakoa apirilaren 27ko 2/2012 Lege Organikoaren amaierako hirugarren xedapenean jasotakoari jarraituz aplikatuko zaie Nafarroako Foru Erkidegoari eta Euskal Autonomia Erkidegoari, eragotzi gabe Ekonomia Itunaren Batzorde Mistoan eta Koordinazio Batzordean, hurrenez hurren, erabaki daitezkeen foru araubidetik eratorritako berezitasunak” </w:t>
            </w:r>
            <w:r w:rsidRPr="00906F4C">
              <w:rPr>
                <w:rFonts w:asciiTheme="minorHAnsi" w:hAnsiTheme="minorHAnsi" w:cstheme="minorHAnsi"/>
                <w:sz w:val="24"/>
                <w:szCs w:val="24"/>
              </w:rPr>
              <w:lastRenderedPageBreak/>
              <w:t>(HAP/2105/2012 Aginduaren xedapen gehigarri bakarra)</w:t>
            </w:r>
          </w:p>
        </w:tc>
        <w:tc>
          <w:tcPr>
            <w:tcW w:w="4543" w:type="dxa"/>
            <w:tcBorders>
              <w:left w:val="single" w:sz="4" w:space="0" w:color="808080"/>
            </w:tcBorders>
          </w:tcPr>
          <w:p w14:paraId="43525F45" w14:textId="77777777" w:rsidR="00470EED" w:rsidRPr="00470EED"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lastRenderedPageBreak/>
              <w:t>“2. En virtud de su régimen foral, la aplicación a la Comunidad Autónoma del País Vasco de lo dispuesto en esta Ley, se entenderá sin perjuicio de lo dispuesto en la Ley del Concierto Económico” (Disposición Final Tercera Ley Orgánica 2/2012).</w:t>
            </w:r>
          </w:p>
          <w:p w14:paraId="4F0FCBEE" w14:textId="4A1DBE65" w:rsidR="00470EED" w:rsidRPr="00AB0C97"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t xml:space="preserve">“La presente Orden será de aplicación a la Comunidad Foral de Navarra y a la Comunidad Autónoma del País Vasco de conformidad con lo dispuesto en la disposición final tercera de la Ley Orgánica 2/2012, de 27 de abril y sin perjuicio de que en el seno de la Comisión Mixta del Concierto y la Comisión Coordinadora, respectivamente, se puedan acordar especialidades derivadas del régimen foral” </w:t>
            </w:r>
            <w:r w:rsidRPr="00470EED">
              <w:rPr>
                <w:rFonts w:asciiTheme="minorHAnsi" w:hAnsiTheme="minorHAnsi" w:cstheme="minorHAnsi"/>
                <w:sz w:val="24"/>
                <w:szCs w:val="24"/>
              </w:rPr>
              <w:lastRenderedPageBreak/>
              <w:t>(Disposición adicional única Orden  HAP/2105/2012).</w:t>
            </w:r>
          </w:p>
        </w:tc>
      </w:tr>
      <w:tr w:rsidR="00470EED" w:rsidRPr="00AB0C97" w14:paraId="26ADBAB3" w14:textId="77777777" w:rsidTr="00B87EAD">
        <w:tc>
          <w:tcPr>
            <w:tcW w:w="4527" w:type="dxa"/>
            <w:tcBorders>
              <w:right w:val="single" w:sz="4" w:space="0" w:color="808080"/>
            </w:tcBorders>
          </w:tcPr>
          <w:p w14:paraId="5CEF6885" w14:textId="7E6068B5" w:rsidR="00470EED" w:rsidRPr="00AB0C97" w:rsidRDefault="00470EED" w:rsidP="00B87EAD">
            <w:pPr>
              <w:spacing w:before="240" w:after="120"/>
              <w:ind w:right="57"/>
              <w:jc w:val="both"/>
              <w:rPr>
                <w:rFonts w:asciiTheme="minorHAnsi" w:hAnsiTheme="minorHAnsi" w:cstheme="minorHAnsi"/>
                <w:snapToGrid w:val="0"/>
                <w:sz w:val="24"/>
                <w:szCs w:val="24"/>
              </w:rPr>
            </w:pPr>
            <w:r w:rsidRPr="00470EED">
              <w:rPr>
                <w:rFonts w:asciiTheme="minorHAnsi" w:hAnsiTheme="minorHAnsi" w:cstheme="minorHAnsi"/>
                <w:snapToGrid w:val="0"/>
                <w:sz w:val="24"/>
                <w:szCs w:val="24"/>
              </w:rPr>
              <w:lastRenderedPageBreak/>
              <w:t>Euskal Autonomia Erkidegoaren erreferentzia ulertzen da Arabako, Gipuzkoako eta Bizkaiko aldundietako foru ogasunetara luza daitekeela, ekonomia itunaren eta lurralde historikoetako legearen berezitasuna dela eta; izan ere, foru aldundiei eskumenak ematen dizkie, kasu batzuetan bakarrik estatuari (zerga araubidea) eta beste ba:tzuetan beste autonomia erkidegoei dagozkienak.</w:t>
            </w:r>
          </w:p>
        </w:tc>
        <w:tc>
          <w:tcPr>
            <w:tcW w:w="4543" w:type="dxa"/>
            <w:tcBorders>
              <w:left w:val="single" w:sz="4" w:space="0" w:color="808080"/>
            </w:tcBorders>
          </w:tcPr>
          <w:p w14:paraId="6789A5E2" w14:textId="60509AE4" w:rsidR="00470EED" w:rsidRPr="00AB0C97" w:rsidRDefault="00470EED" w:rsidP="00B87EA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t>La referencia a la Comunidad Autónoma del País Vasco debe entenderse extensiva a las Haciendas Forales de las Diputaciones de Álava, Gipuzkoa y Bizkaia, dada la singularidad del Concierto Económico y de la Ley de Territorios Históricos, que confieren competencias a las Diputaciones Forales que, en otros casos, tan solo las ostenta el Estado (régimen tributario) y en otros, corresponderían a otras Comunidades Autónomas:</w:t>
            </w:r>
          </w:p>
        </w:tc>
      </w:tr>
      <w:tr w:rsidR="00470EED" w:rsidRPr="00AB0C97" w14:paraId="5BD71083" w14:textId="77777777" w:rsidTr="00B87EAD">
        <w:tc>
          <w:tcPr>
            <w:tcW w:w="4527" w:type="dxa"/>
            <w:tcBorders>
              <w:right w:val="single" w:sz="4" w:space="0" w:color="808080"/>
            </w:tcBorders>
          </w:tcPr>
          <w:p w14:paraId="777DA223" w14:textId="77777777" w:rsidR="00470EED" w:rsidRPr="00470EED" w:rsidRDefault="00470EED" w:rsidP="00470EED">
            <w:pPr>
              <w:spacing w:before="240" w:after="120"/>
              <w:ind w:right="57"/>
              <w:jc w:val="both"/>
              <w:rPr>
                <w:rFonts w:asciiTheme="minorHAnsi" w:hAnsiTheme="minorHAnsi" w:cstheme="minorHAnsi"/>
                <w:snapToGrid w:val="0"/>
                <w:sz w:val="24"/>
                <w:szCs w:val="24"/>
              </w:rPr>
            </w:pPr>
            <w:r w:rsidRPr="00470EED">
              <w:rPr>
                <w:rFonts w:asciiTheme="minorHAnsi" w:hAnsiTheme="minorHAnsi" w:cstheme="minorHAnsi"/>
                <w:snapToGrid w:val="0"/>
                <w:sz w:val="24"/>
                <w:szCs w:val="24"/>
              </w:rPr>
              <w:t>•</w:t>
            </w:r>
            <w:r w:rsidRPr="00470EED">
              <w:rPr>
                <w:rFonts w:asciiTheme="minorHAnsi" w:hAnsiTheme="minorHAnsi" w:cstheme="minorHAnsi"/>
                <w:snapToGrid w:val="0"/>
                <w:sz w:val="24"/>
                <w:szCs w:val="24"/>
              </w:rPr>
              <w:tab/>
              <w:t xml:space="preserve">   Ekonomia itunaren legearen ikuspegitik, aurrekontu egonkortasunaren arloko lankidetza eta koordinazioa bakar-bakarrik ezartzen da estatuaren, eta lurralde historikoen eta Eusko Jaurlaritzaren artean, Ekonomia Itunaren Batzorde Mistoaren bidez, bertan erabakitzen baitira defizit konpromisoak ekitaldi bakoitzerako.</w:t>
            </w:r>
          </w:p>
          <w:p w14:paraId="71E03892" w14:textId="29C206A3" w:rsidR="00470EED" w:rsidRPr="00AB0C97" w:rsidRDefault="00470EED" w:rsidP="00470EED">
            <w:pPr>
              <w:spacing w:before="240" w:after="120"/>
              <w:ind w:right="57"/>
              <w:jc w:val="both"/>
              <w:rPr>
                <w:rFonts w:asciiTheme="minorHAnsi" w:hAnsiTheme="minorHAnsi" w:cstheme="minorHAnsi"/>
                <w:snapToGrid w:val="0"/>
                <w:sz w:val="24"/>
                <w:szCs w:val="24"/>
              </w:rPr>
            </w:pPr>
            <w:r w:rsidRPr="00470EED">
              <w:rPr>
                <w:rFonts w:asciiTheme="minorHAnsi" w:hAnsiTheme="minorHAnsi" w:cstheme="minorHAnsi"/>
                <w:snapToGrid w:val="0"/>
                <w:sz w:val="24"/>
                <w:szCs w:val="24"/>
              </w:rPr>
              <w:t>Foru aldundiek daukate zerga eskumen osoa, erabateko zerga eta finantza autonomia izanik, eta estatuaren ahalmenak finantza babesaren arloan, lurralde historiko bakoitzeko toki erakundeekiko.</w:t>
            </w:r>
          </w:p>
        </w:tc>
        <w:tc>
          <w:tcPr>
            <w:tcW w:w="4543" w:type="dxa"/>
            <w:tcBorders>
              <w:left w:val="single" w:sz="4" w:space="0" w:color="808080"/>
            </w:tcBorders>
          </w:tcPr>
          <w:p w14:paraId="5F0A71F7" w14:textId="77777777" w:rsidR="00470EED" w:rsidRPr="00470EED"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t>•</w:t>
            </w:r>
            <w:r w:rsidRPr="00470EED">
              <w:rPr>
                <w:rFonts w:asciiTheme="minorHAnsi" w:hAnsiTheme="minorHAnsi" w:cstheme="minorHAnsi"/>
                <w:sz w:val="24"/>
                <w:szCs w:val="24"/>
              </w:rPr>
              <w:tab/>
              <w:t>Desde la perspectiva de la Ley del Concierto Económico, la colaboración y coordinación en materia de estabilidad presupuestaria, solo se establecen entre el Estado y los Territorios Históricos y el Gobierno Vasco, a través de la Comisión Mixta de Concierto Económico, que es donde se acuerdan los compromisos de déficit para cada ejercicio</w:t>
            </w:r>
          </w:p>
          <w:p w14:paraId="41E7272F" w14:textId="2EC2F7AF" w:rsidR="00470EED" w:rsidRPr="00AB0C97"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t>Son las Diputaciones Forales quienes tienen la competencia plena fiscal, gozando de plena autonomía fiscal y financiera idéntica y ostentando las facultades del Estado en materia de tutela financiera respeto de las entidades locales de sus respectivos Territorios Históricos.</w:t>
            </w:r>
          </w:p>
        </w:tc>
      </w:tr>
      <w:tr w:rsidR="00470EED" w:rsidRPr="00AB0C97" w14:paraId="2D9482B5" w14:textId="77777777" w:rsidTr="00B87EAD">
        <w:tc>
          <w:tcPr>
            <w:tcW w:w="4527" w:type="dxa"/>
            <w:tcBorders>
              <w:right w:val="single" w:sz="4" w:space="0" w:color="808080"/>
            </w:tcBorders>
          </w:tcPr>
          <w:p w14:paraId="490B137C" w14:textId="77777777" w:rsidR="00470EED" w:rsidRPr="00470EED" w:rsidRDefault="00470EED" w:rsidP="00470EED">
            <w:pPr>
              <w:spacing w:before="240" w:after="120"/>
              <w:ind w:right="57"/>
              <w:jc w:val="both"/>
              <w:rPr>
                <w:rFonts w:asciiTheme="minorHAnsi" w:hAnsiTheme="minorHAnsi" w:cstheme="minorHAnsi"/>
                <w:snapToGrid w:val="0"/>
                <w:sz w:val="24"/>
                <w:szCs w:val="24"/>
              </w:rPr>
            </w:pPr>
            <w:r w:rsidRPr="00470EED">
              <w:rPr>
                <w:rFonts w:asciiTheme="minorHAnsi" w:hAnsiTheme="minorHAnsi" w:cstheme="minorHAnsi"/>
                <w:snapToGrid w:val="0"/>
                <w:sz w:val="24"/>
                <w:szCs w:val="24"/>
              </w:rPr>
              <w:t>•</w:t>
            </w:r>
            <w:r w:rsidRPr="00470EED">
              <w:rPr>
                <w:rFonts w:asciiTheme="minorHAnsi" w:hAnsiTheme="minorHAnsi" w:cstheme="minorHAnsi"/>
                <w:snapToGrid w:val="0"/>
                <w:sz w:val="24"/>
                <w:szCs w:val="24"/>
              </w:rPr>
              <w:tab/>
              <w:t xml:space="preserve">Lurralde historikoen legearen ikuspuntutik, Eusko Jaurlaritzaren eta foru aldundien arteko aginpidetza banaketak, Espainia osoan bakarra denak, onartzen du Autonomia Estatutuak Euskal Herriari </w:t>
            </w:r>
            <w:r w:rsidRPr="00470EED">
              <w:rPr>
                <w:rFonts w:asciiTheme="minorHAnsi" w:hAnsiTheme="minorHAnsi" w:cstheme="minorHAnsi"/>
                <w:snapToGrid w:val="0"/>
                <w:sz w:val="24"/>
                <w:szCs w:val="24"/>
              </w:rPr>
              <w:lastRenderedPageBreak/>
              <w:t>ematen dizkion eskumen guztietatik zati bat Eusko Jaurlaritzari dagokiola, eta foru aldundiei gainerakoa..</w:t>
            </w:r>
          </w:p>
          <w:p w14:paraId="4B3612F2" w14:textId="48F74C38" w:rsidR="00470EED" w:rsidRPr="00AB0C97" w:rsidRDefault="00470EED" w:rsidP="00470EED">
            <w:pPr>
              <w:spacing w:before="240" w:after="120"/>
              <w:ind w:right="57"/>
              <w:jc w:val="both"/>
              <w:rPr>
                <w:rFonts w:asciiTheme="minorHAnsi" w:hAnsiTheme="minorHAnsi" w:cstheme="minorHAnsi"/>
                <w:snapToGrid w:val="0"/>
                <w:sz w:val="24"/>
                <w:szCs w:val="24"/>
              </w:rPr>
            </w:pPr>
            <w:r w:rsidRPr="00470EED">
              <w:rPr>
                <w:rFonts w:asciiTheme="minorHAnsi" w:hAnsiTheme="minorHAnsi" w:cstheme="minorHAnsi"/>
                <w:snapToGrid w:val="0"/>
                <w:sz w:val="24"/>
                <w:szCs w:val="24"/>
              </w:rPr>
              <w:t>Onartzen da Euskal Autonomia Erkidegoak eta lurralde historiko bakoitzak ahalmen osoa daukatela finantza eta aurrekontu autonomian euren eskumenak erabiltzeko, zorpetze ahalmena (eta ondorioz, defizit ahalmena) barne.</w:t>
            </w:r>
          </w:p>
        </w:tc>
        <w:tc>
          <w:tcPr>
            <w:tcW w:w="4543" w:type="dxa"/>
            <w:tcBorders>
              <w:left w:val="single" w:sz="4" w:space="0" w:color="808080"/>
            </w:tcBorders>
          </w:tcPr>
          <w:p w14:paraId="14332F55" w14:textId="77777777" w:rsidR="00470EED" w:rsidRPr="00470EED"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lastRenderedPageBreak/>
              <w:t>•</w:t>
            </w:r>
            <w:r w:rsidRPr="00470EED">
              <w:rPr>
                <w:rFonts w:asciiTheme="minorHAnsi" w:hAnsiTheme="minorHAnsi" w:cstheme="minorHAnsi"/>
                <w:sz w:val="24"/>
                <w:szCs w:val="24"/>
              </w:rPr>
              <w:tab/>
              <w:t xml:space="preserve">Desde la perspectiva de la Ley  de Territorios Históricos, el reparto competencial entre el Gobierno Vasco y las Diputaciones Forales, único en toda España, supone el reconocimiento de que del total </w:t>
            </w:r>
            <w:r w:rsidRPr="00470EED">
              <w:rPr>
                <w:rFonts w:asciiTheme="minorHAnsi" w:hAnsiTheme="minorHAnsi" w:cstheme="minorHAnsi"/>
                <w:sz w:val="24"/>
                <w:szCs w:val="24"/>
              </w:rPr>
              <w:lastRenderedPageBreak/>
              <w:t>de las competencias que por el Estatuto de Autonomía se le otorgan al País Vasco, una parte se atribuyen al Gobierno Vasco, siendo las Diputaciones Forales las competentes en la otra parte.</w:t>
            </w:r>
          </w:p>
          <w:p w14:paraId="7481AB46" w14:textId="0AAB7A4B" w:rsidR="00470EED" w:rsidRPr="00AB0C97"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t>Se reconoce que la Comunidad Autónoma del País Vasco y cada uno de los Territorios Históricos disponen de plena capacidad autonomía financiera y presupuestaria para el ejercicio de sus competencias, incluyendo la capacidad de endeudamiento (y por lo tanto de déficit).</w:t>
            </w:r>
          </w:p>
        </w:tc>
      </w:tr>
      <w:tr w:rsidR="00470EED" w:rsidRPr="00AB0C97" w14:paraId="7F1ADE7F" w14:textId="77777777" w:rsidTr="00B87EAD">
        <w:tc>
          <w:tcPr>
            <w:tcW w:w="4527" w:type="dxa"/>
            <w:tcBorders>
              <w:right w:val="single" w:sz="4" w:space="0" w:color="808080"/>
            </w:tcBorders>
          </w:tcPr>
          <w:p w14:paraId="410D142E" w14:textId="77777777" w:rsidR="009C116C" w:rsidRPr="009C116C" w:rsidRDefault="009C116C" w:rsidP="009C116C">
            <w:pPr>
              <w:spacing w:before="240" w:after="120"/>
              <w:ind w:right="57"/>
              <w:jc w:val="both"/>
              <w:rPr>
                <w:rFonts w:asciiTheme="minorHAnsi" w:hAnsiTheme="minorHAnsi" w:cstheme="minorHAnsi"/>
                <w:snapToGrid w:val="0"/>
                <w:sz w:val="24"/>
                <w:szCs w:val="24"/>
              </w:rPr>
            </w:pPr>
            <w:r w:rsidRPr="009C116C">
              <w:rPr>
                <w:rFonts w:asciiTheme="minorHAnsi" w:hAnsiTheme="minorHAnsi" w:cstheme="minorHAnsi"/>
                <w:snapToGrid w:val="0"/>
                <w:sz w:val="24"/>
                <w:szCs w:val="24"/>
              </w:rPr>
              <w:lastRenderedPageBreak/>
              <w:t>Horren ondorioz Euskal Autonomia Erkidegoarekiko Ekonomi Ituna onartzen duen maiatzaren 23ko 12/2002 Legera jo behar da. Lege horretan, aurrekontuetako egonkortasunari dagokionez, bere II. Kapituluan, "Finantza-harremanak" izenburua duenean, 48, artikuluan, hau ezarri da:</w:t>
            </w:r>
          </w:p>
          <w:p w14:paraId="2DCBF238" w14:textId="77777777" w:rsidR="009C116C" w:rsidRPr="009C116C" w:rsidRDefault="009C116C" w:rsidP="009C116C">
            <w:pPr>
              <w:spacing w:before="240" w:after="120"/>
              <w:ind w:right="57"/>
              <w:jc w:val="both"/>
              <w:rPr>
                <w:rFonts w:asciiTheme="minorHAnsi" w:hAnsiTheme="minorHAnsi" w:cstheme="minorHAnsi"/>
                <w:snapToGrid w:val="0"/>
                <w:sz w:val="24"/>
                <w:szCs w:val="24"/>
              </w:rPr>
            </w:pPr>
            <w:r w:rsidRPr="009C116C">
              <w:rPr>
                <w:rFonts w:asciiTheme="minorHAnsi" w:hAnsiTheme="minorHAnsi" w:cstheme="minorHAnsi"/>
                <w:snapToGrid w:val="0"/>
                <w:sz w:val="24"/>
                <w:szCs w:val="24"/>
              </w:rPr>
              <w:t xml:space="preserve">“Estatuaren eta Euskadiren arteko finantza harremanek ondoko printzipioak izango dituzte:………………… </w:t>
            </w:r>
          </w:p>
          <w:p w14:paraId="35673159" w14:textId="04180917" w:rsidR="00470EED" w:rsidRPr="00AB0C97" w:rsidRDefault="009C116C" w:rsidP="009C116C">
            <w:pPr>
              <w:spacing w:before="240" w:after="120"/>
              <w:ind w:right="57"/>
              <w:jc w:val="both"/>
              <w:rPr>
                <w:rFonts w:asciiTheme="minorHAnsi" w:hAnsiTheme="minorHAnsi" w:cstheme="minorHAnsi"/>
                <w:snapToGrid w:val="0"/>
                <w:sz w:val="24"/>
                <w:szCs w:val="24"/>
              </w:rPr>
            </w:pPr>
            <w:r w:rsidRPr="009C116C">
              <w:rPr>
                <w:rFonts w:asciiTheme="minorHAnsi" w:hAnsiTheme="minorHAnsi" w:cstheme="minorHAnsi"/>
                <w:snapToGrid w:val="0"/>
                <w:sz w:val="24"/>
                <w:szCs w:val="24"/>
              </w:rPr>
              <w:t>- Hirugarrena: Aurrekontu-egonkortasunaren arloan Euskadiko erakundeak Estatuarekin koordinatuko dira eta berarekin lankidetzan arituko dira.”</w:t>
            </w:r>
          </w:p>
        </w:tc>
        <w:tc>
          <w:tcPr>
            <w:tcW w:w="4543" w:type="dxa"/>
            <w:tcBorders>
              <w:left w:val="single" w:sz="4" w:space="0" w:color="808080"/>
            </w:tcBorders>
          </w:tcPr>
          <w:p w14:paraId="2D01FA8B" w14:textId="77777777" w:rsidR="009C116C" w:rsidRPr="009C116C"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t>Por lo tanto, se debe acudir a la Ley 12/2002, de 23 de mayo, por la que se aprueba el Concierto Económico con la Comunidad Autónoma del País Vasco, el cual, en lo relativo a la estabilidad presupuestaria, establece, en el Capítulo II “De las relaciones financieras”, artículo 48:</w:t>
            </w:r>
          </w:p>
          <w:p w14:paraId="3FF56D27" w14:textId="77777777" w:rsidR="009C116C" w:rsidRPr="009C116C"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t>"Las relaciones financieras entre el Estado y el País Vasco se regirán por los siguientes principios:…………………..</w:t>
            </w:r>
          </w:p>
          <w:p w14:paraId="52DCE3C5" w14:textId="45695605" w:rsidR="00470EED" w:rsidRPr="00AB0C97"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t>– Tercero: Coordinación y colaboración con el Estado en materia de estabilidad presupuestaria.</w:t>
            </w:r>
          </w:p>
        </w:tc>
      </w:tr>
      <w:tr w:rsidR="00470EED" w:rsidRPr="00AB0C97" w14:paraId="45244146" w14:textId="77777777" w:rsidTr="00B87EAD">
        <w:tc>
          <w:tcPr>
            <w:tcW w:w="4527" w:type="dxa"/>
            <w:tcBorders>
              <w:right w:val="single" w:sz="4" w:space="0" w:color="808080"/>
            </w:tcBorders>
          </w:tcPr>
          <w:p w14:paraId="74B2E0A4" w14:textId="77777777" w:rsidR="009C116C" w:rsidRPr="009C116C" w:rsidRDefault="009C116C" w:rsidP="009C116C">
            <w:pPr>
              <w:spacing w:before="240" w:after="120"/>
              <w:ind w:right="57"/>
              <w:jc w:val="both"/>
              <w:rPr>
                <w:rFonts w:asciiTheme="minorHAnsi" w:hAnsiTheme="minorHAnsi" w:cstheme="minorHAnsi"/>
                <w:snapToGrid w:val="0"/>
                <w:sz w:val="24"/>
                <w:szCs w:val="24"/>
              </w:rPr>
            </w:pPr>
            <w:r w:rsidRPr="009C116C">
              <w:rPr>
                <w:rFonts w:asciiTheme="minorHAnsi" w:hAnsiTheme="minorHAnsi" w:cstheme="minorHAnsi"/>
                <w:snapToGrid w:val="0"/>
                <w:sz w:val="24"/>
                <w:szCs w:val="24"/>
              </w:rPr>
              <w:t xml:space="preserve">Beste alde batetik, 62. artikuluan Ekonomi Itunaren Batzorde Mistoaren eginkizunak zehaztu dira eta, horien artean dago ondoko hau: </w:t>
            </w:r>
          </w:p>
          <w:p w14:paraId="0D60F2F6" w14:textId="77777777" w:rsidR="009C116C" w:rsidRPr="009C116C" w:rsidRDefault="009C116C" w:rsidP="009C116C">
            <w:pPr>
              <w:spacing w:before="240" w:after="120"/>
              <w:ind w:right="57"/>
              <w:jc w:val="both"/>
              <w:rPr>
                <w:rFonts w:asciiTheme="minorHAnsi" w:hAnsiTheme="minorHAnsi" w:cstheme="minorHAnsi"/>
                <w:snapToGrid w:val="0"/>
                <w:sz w:val="24"/>
                <w:szCs w:val="24"/>
              </w:rPr>
            </w:pPr>
            <w:r w:rsidRPr="009C116C">
              <w:rPr>
                <w:rFonts w:asciiTheme="minorHAnsi" w:hAnsiTheme="minorHAnsi" w:cstheme="minorHAnsi"/>
                <w:snapToGrid w:val="0"/>
                <w:sz w:val="24"/>
                <w:szCs w:val="24"/>
              </w:rPr>
              <w:lastRenderedPageBreak/>
              <w:t>“b) Aurrekontu-egonkortasunaren arloko lankidetza eta koordinazioari buruzko konpromisoak erabakitzea.”</w:t>
            </w:r>
          </w:p>
          <w:p w14:paraId="44D6977C" w14:textId="5B5572C0" w:rsidR="00470EED" w:rsidRPr="00AB0C97" w:rsidRDefault="009C116C" w:rsidP="009C116C">
            <w:pPr>
              <w:spacing w:before="240" w:after="120"/>
              <w:ind w:right="57"/>
              <w:jc w:val="both"/>
              <w:rPr>
                <w:rFonts w:asciiTheme="minorHAnsi" w:hAnsiTheme="minorHAnsi" w:cstheme="minorHAnsi"/>
                <w:snapToGrid w:val="0"/>
                <w:sz w:val="24"/>
                <w:szCs w:val="24"/>
              </w:rPr>
            </w:pPr>
            <w:r w:rsidRPr="009C116C">
              <w:rPr>
                <w:rFonts w:asciiTheme="minorHAnsi" w:hAnsiTheme="minorHAnsi" w:cstheme="minorHAnsi"/>
                <w:snapToGrid w:val="0"/>
                <w:sz w:val="24"/>
                <w:szCs w:val="24"/>
              </w:rPr>
              <w:t>Ondorioz, Euskal Autonomia Erkidegoan eta bere erakundeetan Ekonomi Itunaren Batzorde Mistoa (IUBM) da AEIFLOren aplikagarritasuna zehaztu eta ezarri behar duena; halaber, organo hori bera da hori guztia nola garatu ezarriko duena</w:t>
            </w:r>
          </w:p>
        </w:tc>
        <w:tc>
          <w:tcPr>
            <w:tcW w:w="4543" w:type="dxa"/>
            <w:tcBorders>
              <w:left w:val="single" w:sz="4" w:space="0" w:color="808080"/>
            </w:tcBorders>
          </w:tcPr>
          <w:p w14:paraId="1BECAFFD" w14:textId="77777777" w:rsidR="009C116C" w:rsidRPr="009C116C"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lastRenderedPageBreak/>
              <w:t>Por otra parte, en el artículo 62 se determinan las funciones de la Comisión Mixta del Concierto Económico, entre las que se encuentra la siguiente:</w:t>
            </w:r>
          </w:p>
          <w:p w14:paraId="62284BCF" w14:textId="77777777" w:rsidR="009C116C" w:rsidRPr="009C116C"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lastRenderedPageBreak/>
              <w:t>“b) Acordar los compromisos de colaboración y coordinación en materia de estabilidad presupuestaria.”</w:t>
            </w:r>
          </w:p>
          <w:p w14:paraId="777E58DE" w14:textId="3EF1284E" w:rsidR="00470EED" w:rsidRPr="00AB0C97"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t>Por lo tanto, es la Comisión Mixta del Concierto Económico (CMCE) la que debe determinar la aplicabilidad de la LOEPSF a la Comunidad Autónoma Vasca y a sus instituciones, así como la forma de implementarla.</w:t>
            </w:r>
          </w:p>
        </w:tc>
      </w:tr>
      <w:tr w:rsidR="00A44ECA" w:rsidRPr="00AB0C97" w14:paraId="2EBCAE74" w14:textId="77777777" w:rsidTr="00ED5A36">
        <w:tc>
          <w:tcPr>
            <w:tcW w:w="4527" w:type="dxa"/>
            <w:tcBorders>
              <w:right w:val="single" w:sz="4" w:space="0" w:color="808080"/>
            </w:tcBorders>
          </w:tcPr>
          <w:p w14:paraId="2C321F32" w14:textId="4F81AE21" w:rsidR="00A44ECA" w:rsidRPr="00AB0C97" w:rsidRDefault="007007B2" w:rsidP="002B73F8">
            <w:pPr>
              <w:spacing w:before="240" w:after="120"/>
              <w:ind w:right="57"/>
              <w:jc w:val="both"/>
              <w:rPr>
                <w:rFonts w:asciiTheme="minorHAnsi" w:hAnsiTheme="minorHAnsi" w:cstheme="minorHAnsi"/>
                <w:snapToGrid w:val="0"/>
                <w:sz w:val="24"/>
                <w:szCs w:val="24"/>
              </w:rPr>
            </w:pPr>
            <w:r w:rsidRPr="007007B2">
              <w:rPr>
                <w:rFonts w:asciiTheme="minorHAnsi" w:hAnsiTheme="minorHAnsi" w:cstheme="minorHAnsi"/>
                <w:snapToGrid w:val="0"/>
                <w:sz w:val="24"/>
                <w:szCs w:val="24"/>
              </w:rPr>
              <w:lastRenderedPageBreak/>
              <w:t>202</w:t>
            </w:r>
            <w:r w:rsidR="00B37493">
              <w:rPr>
                <w:rFonts w:asciiTheme="minorHAnsi" w:hAnsiTheme="minorHAnsi" w:cstheme="minorHAnsi"/>
                <w:snapToGrid w:val="0"/>
                <w:sz w:val="24"/>
                <w:szCs w:val="24"/>
              </w:rPr>
              <w:t>6</w:t>
            </w:r>
            <w:r w:rsidRPr="007007B2">
              <w:rPr>
                <w:rFonts w:asciiTheme="minorHAnsi" w:hAnsiTheme="minorHAnsi" w:cstheme="minorHAnsi"/>
                <w:snapToGrid w:val="0"/>
                <w:sz w:val="24"/>
                <w:szCs w:val="24"/>
              </w:rPr>
              <w:t xml:space="preserve">ko </w:t>
            </w:r>
            <w:r w:rsidR="00B37493">
              <w:rPr>
                <w:rFonts w:asciiTheme="minorHAnsi" w:hAnsiTheme="minorHAnsi" w:cstheme="minorHAnsi"/>
                <w:snapToGrid w:val="0"/>
                <w:sz w:val="24"/>
                <w:szCs w:val="24"/>
              </w:rPr>
              <w:t>martxoaren</w:t>
            </w:r>
            <w:r w:rsidRPr="007007B2">
              <w:rPr>
                <w:rFonts w:asciiTheme="minorHAnsi" w:hAnsiTheme="minorHAnsi" w:cstheme="minorHAnsi"/>
                <w:snapToGrid w:val="0"/>
                <w:sz w:val="24"/>
                <w:szCs w:val="24"/>
              </w:rPr>
              <w:t xml:space="preserve"> 2</w:t>
            </w:r>
            <w:r w:rsidR="00B37493">
              <w:rPr>
                <w:rFonts w:asciiTheme="minorHAnsi" w:hAnsiTheme="minorHAnsi" w:cstheme="minorHAnsi"/>
                <w:snapToGrid w:val="0"/>
                <w:sz w:val="24"/>
                <w:szCs w:val="24"/>
              </w:rPr>
              <w:t>5</w:t>
            </w:r>
            <w:r w:rsidRPr="007007B2">
              <w:rPr>
                <w:rFonts w:asciiTheme="minorHAnsi" w:hAnsiTheme="minorHAnsi" w:cstheme="minorHAnsi"/>
                <w:snapToGrid w:val="0"/>
                <w:sz w:val="24"/>
                <w:szCs w:val="24"/>
              </w:rPr>
              <w:t>ko Ekonomia Itunaren Batzorde Mistoan, "Euskal Autonomia Erkidegoko 202</w:t>
            </w:r>
            <w:r w:rsidR="00B37493">
              <w:rPr>
                <w:rFonts w:asciiTheme="minorHAnsi" w:hAnsiTheme="minorHAnsi" w:cstheme="minorHAnsi"/>
                <w:snapToGrid w:val="0"/>
                <w:sz w:val="24"/>
                <w:szCs w:val="24"/>
              </w:rPr>
              <w:t>5</w:t>
            </w:r>
            <w:r w:rsidRPr="007007B2">
              <w:rPr>
                <w:rFonts w:asciiTheme="minorHAnsi" w:hAnsiTheme="minorHAnsi" w:cstheme="minorHAnsi"/>
                <w:snapToGrid w:val="0"/>
                <w:sz w:val="24"/>
                <w:szCs w:val="24"/>
              </w:rPr>
              <w:t xml:space="preserve">rako Aurrekontu Egonkortasuneko eta Zor Publikoko Helburuak" izeneko </w:t>
            </w:r>
            <w:r w:rsidR="00B37493">
              <w:rPr>
                <w:rFonts w:asciiTheme="minorHAnsi" w:hAnsiTheme="minorHAnsi" w:cstheme="minorHAnsi"/>
                <w:snapToGrid w:val="0"/>
                <w:sz w:val="24"/>
                <w:szCs w:val="24"/>
              </w:rPr>
              <w:t>X</w:t>
            </w:r>
            <w:r w:rsidRPr="007007B2">
              <w:rPr>
                <w:rFonts w:asciiTheme="minorHAnsi" w:hAnsiTheme="minorHAnsi" w:cstheme="minorHAnsi"/>
                <w:snapToGrid w:val="0"/>
                <w:sz w:val="24"/>
                <w:szCs w:val="24"/>
              </w:rPr>
              <w:t>. eranskineko hirugarren akordioan, honako hau ezartzen da Foru Aldundien 202</w:t>
            </w:r>
            <w:r w:rsidR="00B37493">
              <w:rPr>
                <w:rFonts w:asciiTheme="minorHAnsi" w:hAnsiTheme="minorHAnsi" w:cstheme="minorHAnsi"/>
                <w:snapToGrid w:val="0"/>
                <w:sz w:val="24"/>
                <w:szCs w:val="24"/>
              </w:rPr>
              <w:t>5</w:t>
            </w:r>
            <w:r w:rsidRPr="007007B2">
              <w:rPr>
                <w:rFonts w:asciiTheme="minorHAnsi" w:hAnsiTheme="minorHAnsi" w:cstheme="minorHAnsi"/>
                <w:snapToGrid w:val="0"/>
                <w:sz w:val="24"/>
                <w:szCs w:val="24"/>
              </w:rPr>
              <w:t>ko ekitaldirako aurrekontu-egonkortasunaren helburuari dagokionez:</w:t>
            </w:r>
          </w:p>
        </w:tc>
        <w:tc>
          <w:tcPr>
            <w:tcW w:w="4543" w:type="dxa"/>
            <w:tcBorders>
              <w:left w:val="single" w:sz="4" w:space="0" w:color="808080"/>
            </w:tcBorders>
          </w:tcPr>
          <w:p w14:paraId="69850278" w14:textId="1B999A2D" w:rsidR="00A44ECA" w:rsidRPr="00AB0C97" w:rsidRDefault="00A44ECA" w:rsidP="002B73F8">
            <w:pPr>
              <w:spacing w:before="240" w:after="120"/>
              <w:jc w:val="both"/>
              <w:rPr>
                <w:rFonts w:asciiTheme="minorHAnsi" w:hAnsiTheme="minorHAnsi" w:cstheme="minorHAnsi"/>
                <w:sz w:val="24"/>
                <w:szCs w:val="24"/>
              </w:rPr>
            </w:pPr>
            <w:r>
              <w:rPr>
                <w:rFonts w:asciiTheme="minorHAnsi" w:hAnsiTheme="minorHAnsi" w:cstheme="minorHAnsi"/>
                <w:sz w:val="24"/>
                <w:szCs w:val="24"/>
              </w:rPr>
              <w:t xml:space="preserve">En la Comisión Mixta del Concierto </w:t>
            </w:r>
            <w:r w:rsidR="000C19D4">
              <w:rPr>
                <w:rFonts w:asciiTheme="minorHAnsi" w:hAnsiTheme="minorHAnsi" w:cstheme="minorHAnsi"/>
                <w:sz w:val="24"/>
                <w:szCs w:val="24"/>
              </w:rPr>
              <w:t>Económico de</w:t>
            </w:r>
            <w:r>
              <w:rPr>
                <w:rFonts w:asciiTheme="minorHAnsi" w:hAnsiTheme="minorHAnsi" w:cstheme="minorHAnsi"/>
                <w:sz w:val="24"/>
                <w:szCs w:val="24"/>
              </w:rPr>
              <w:t xml:space="preserve"> fecha 2</w:t>
            </w:r>
            <w:r w:rsidR="00B37493">
              <w:rPr>
                <w:rFonts w:asciiTheme="minorHAnsi" w:hAnsiTheme="minorHAnsi" w:cstheme="minorHAnsi"/>
                <w:sz w:val="24"/>
                <w:szCs w:val="24"/>
              </w:rPr>
              <w:t>5</w:t>
            </w:r>
            <w:r>
              <w:rPr>
                <w:rFonts w:asciiTheme="minorHAnsi" w:hAnsiTheme="minorHAnsi" w:cstheme="minorHAnsi"/>
                <w:sz w:val="24"/>
                <w:szCs w:val="24"/>
              </w:rPr>
              <w:t xml:space="preserve"> de </w:t>
            </w:r>
            <w:r w:rsidR="00B37493">
              <w:rPr>
                <w:rFonts w:asciiTheme="minorHAnsi" w:hAnsiTheme="minorHAnsi" w:cstheme="minorHAnsi"/>
                <w:sz w:val="24"/>
                <w:szCs w:val="24"/>
              </w:rPr>
              <w:t>marzo</w:t>
            </w:r>
            <w:r>
              <w:rPr>
                <w:rFonts w:asciiTheme="minorHAnsi" w:hAnsiTheme="minorHAnsi" w:cstheme="minorHAnsi"/>
                <w:sz w:val="24"/>
                <w:szCs w:val="24"/>
              </w:rPr>
              <w:t xml:space="preserve"> de 202</w:t>
            </w:r>
            <w:r w:rsidR="00C33D8B">
              <w:rPr>
                <w:rFonts w:asciiTheme="minorHAnsi" w:hAnsiTheme="minorHAnsi" w:cstheme="minorHAnsi"/>
                <w:sz w:val="24"/>
                <w:szCs w:val="24"/>
              </w:rPr>
              <w:t>6</w:t>
            </w:r>
            <w:r>
              <w:rPr>
                <w:rFonts w:asciiTheme="minorHAnsi" w:hAnsiTheme="minorHAnsi" w:cstheme="minorHAnsi"/>
                <w:sz w:val="24"/>
                <w:szCs w:val="24"/>
              </w:rPr>
              <w:t xml:space="preserve">, en el Acuerdo Tercero del Anexo </w:t>
            </w:r>
            <w:r w:rsidR="00E250EC">
              <w:rPr>
                <w:rFonts w:asciiTheme="minorHAnsi" w:hAnsiTheme="minorHAnsi" w:cstheme="minorHAnsi"/>
                <w:sz w:val="24"/>
                <w:szCs w:val="24"/>
              </w:rPr>
              <w:t>X</w:t>
            </w:r>
            <w:r w:rsidR="00B37493">
              <w:rPr>
                <w:rFonts w:asciiTheme="minorHAnsi" w:hAnsiTheme="minorHAnsi" w:cstheme="minorHAnsi"/>
                <w:sz w:val="24"/>
                <w:szCs w:val="24"/>
              </w:rPr>
              <w:t xml:space="preserve"> </w:t>
            </w:r>
            <w:r>
              <w:rPr>
                <w:rFonts w:asciiTheme="minorHAnsi" w:hAnsiTheme="minorHAnsi" w:cstheme="minorHAnsi"/>
                <w:sz w:val="24"/>
                <w:szCs w:val="24"/>
              </w:rPr>
              <w:t>“Objetivos de Estabilidad Presupuestaria y Deuda Pública de la Comunidad Autónoma del País Vasco para 202</w:t>
            </w:r>
            <w:r w:rsidR="008161EF">
              <w:rPr>
                <w:rFonts w:asciiTheme="minorHAnsi" w:hAnsiTheme="minorHAnsi" w:cstheme="minorHAnsi"/>
                <w:sz w:val="24"/>
                <w:szCs w:val="24"/>
              </w:rPr>
              <w:t>5</w:t>
            </w:r>
            <w:r>
              <w:rPr>
                <w:rFonts w:asciiTheme="minorHAnsi" w:hAnsiTheme="minorHAnsi" w:cstheme="minorHAnsi"/>
                <w:sz w:val="24"/>
                <w:szCs w:val="24"/>
              </w:rPr>
              <w:t>”, se establece que el objetivo de estabilidad presupuestaria de las Diputaciones Forales para el ejercicio</w:t>
            </w:r>
            <w:r w:rsidR="00B37493">
              <w:rPr>
                <w:rFonts w:asciiTheme="minorHAnsi" w:hAnsiTheme="minorHAnsi" w:cstheme="minorHAnsi"/>
                <w:sz w:val="24"/>
                <w:szCs w:val="24"/>
              </w:rPr>
              <w:t xml:space="preserve"> 2025</w:t>
            </w:r>
            <w:r w:rsidR="002B73F8">
              <w:rPr>
                <w:rFonts w:asciiTheme="minorHAnsi" w:hAnsiTheme="minorHAnsi" w:cstheme="minorHAnsi"/>
                <w:sz w:val="24"/>
                <w:szCs w:val="24"/>
              </w:rPr>
              <w:t>:</w:t>
            </w:r>
          </w:p>
        </w:tc>
      </w:tr>
    </w:tbl>
    <w:p w14:paraId="6CBB35BF" w14:textId="77777777" w:rsidR="002B73F8" w:rsidRDefault="002B73F8" w:rsidP="002B73F8">
      <w:pPr>
        <w:jc w:val="center"/>
        <w:rPr>
          <w:rFonts w:asciiTheme="minorHAnsi" w:hAnsiTheme="minorHAnsi" w:cstheme="minorHAnsi"/>
          <w:sz w:val="24"/>
          <w:szCs w:val="24"/>
        </w:rPr>
      </w:pPr>
    </w:p>
    <w:p w14:paraId="5DBA588E" w14:textId="6194B0D3" w:rsidR="002B73F8" w:rsidRPr="002B73F8" w:rsidRDefault="002B73F8" w:rsidP="002B73F8">
      <w:pPr>
        <w:jc w:val="center"/>
        <w:rPr>
          <w:rFonts w:asciiTheme="minorHAnsi" w:hAnsiTheme="minorHAnsi" w:cstheme="minorHAnsi"/>
          <w:b/>
          <w:bCs/>
          <w:sz w:val="24"/>
          <w:szCs w:val="24"/>
          <w:u w:val="single"/>
        </w:rPr>
      </w:pPr>
      <w:r w:rsidRPr="002B73F8">
        <w:rPr>
          <w:rFonts w:asciiTheme="minorHAnsi" w:hAnsiTheme="minorHAnsi" w:cstheme="minorHAnsi"/>
          <w:b/>
          <w:bCs/>
          <w:sz w:val="24"/>
          <w:szCs w:val="24"/>
          <w:u w:val="single"/>
        </w:rPr>
        <w:t>202</w:t>
      </w:r>
      <w:r w:rsidR="00EF29EB">
        <w:rPr>
          <w:rFonts w:asciiTheme="minorHAnsi" w:hAnsiTheme="minorHAnsi" w:cstheme="minorHAnsi"/>
          <w:b/>
          <w:bCs/>
          <w:sz w:val="24"/>
          <w:szCs w:val="24"/>
          <w:u w:val="single"/>
        </w:rPr>
        <w:t>5</w:t>
      </w:r>
      <w:r w:rsidRPr="002B73F8">
        <w:rPr>
          <w:rFonts w:asciiTheme="minorHAnsi" w:hAnsiTheme="minorHAnsi" w:cstheme="minorHAnsi"/>
          <w:b/>
          <w:bCs/>
          <w:sz w:val="24"/>
          <w:szCs w:val="24"/>
          <w:u w:val="single"/>
        </w:rPr>
        <w:t>ko EKITALDIRAKO AURREKONTU-EGONKORTASUNAREN HELBU</w:t>
      </w:r>
      <w:r w:rsidR="004F3CB0">
        <w:rPr>
          <w:rFonts w:asciiTheme="minorHAnsi" w:hAnsiTheme="minorHAnsi" w:cstheme="minorHAnsi"/>
          <w:b/>
          <w:bCs/>
          <w:sz w:val="24"/>
          <w:szCs w:val="24"/>
          <w:u w:val="single"/>
        </w:rPr>
        <w:t>RUA</w:t>
      </w:r>
    </w:p>
    <w:p w14:paraId="55BBA77A" w14:textId="5B93DC7E" w:rsidR="00A44ECA" w:rsidRPr="002B73F8" w:rsidRDefault="00A44ECA" w:rsidP="002B73F8">
      <w:pPr>
        <w:jc w:val="center"/>
        <w:rPr>
          <w:rFonts w:asciiTheme="minorHAnsi" w:hAnsiTheme="minorHAnsi" w:cstheme="minorHAnsi"/>
          <w:b/>
          <w:bCs/>
          <w:sz w:val="24"/>
          <w:szCs w:val="24"/>
          <w:u w:val="single"/>
        </w:rPr>
      </w:pPr>
      <w:r w:rsidRPr="002B73F8">
        <w:rPr>
          <w:rFonts w:asciiTheme="minorHAnsi" w:hAnsiTheme="minorHAnsi" w:cstheme="minorHAnsi"/>
          <w:b/>
          <w:bCs/>
          <w:sz w:val="24"/>
          <w:szCs w:val="24"/>
          <w:u w:val="single"/>
        </w:rPr>
        <w:t>OBJETIVO DE ESTABILIDAD PRESUPUESTARIA PARA EL EJERCICIO 202</w:t>
      </w:r>
      <w:r w:rsidR="00EF29EB">
        <w:rPr>
          <w:rFonts w:asciiTheme="minorHAnsi" w:hAnsiTheme="minorHAnsi" w:cstheme="minorHAnsi"/>
          <w:b/>
          <w:bCs/>
          <w:sz w:val="24"/>
          <w:szCs w:val="24"/>
          <w:u w:val="single"/>
        </w:rPr>
        <w:t>5</w:t>
      </w:r>
    </w:p>
    <w:p w14:paraId="3F85FFA9" w14:textId="77777777" w:rsidR="002B73F8" w:rsidRDefault="002B73F8" w:rsidP="002B73F8">
      <w:pPr>
        <w:jc w:val="center"/>
        <w:rPr>
          <w:rFonts w:asciiTheme="minorHAnsi" w:hAnsiTheme="minorHAnsi" w:cstheme="minorHAnsi"/>
          <w:sz w:val="24"/>
          <w:szCs w:val="24"/>
        </w:rPr>
      </w:pPr>
      <w:r w:rsidRPr="002B73F8">
        <w:rPr>
          <w:rFonts w:asciiTheme="minorHAnsi" w:hAnsiTheme="minorHAnsi" w:cstheme="minorHAnsi"/>
          <w:sz w:val="24"/>
          <w:szCs w:val="24"/>
        </w:rPr>
        <w:t>Finantzatzeko gaitasuna (+) Beharra (-), SEC 2010</w:t>
      </w:r>
    </w:p>
    <w:p w14:paraId="38C28D06" w14:textId="4E2D6B9B" w:rsidR="00A44ECA" w:rsidRPr="002B73F8" w:rsidRDefault="00A44ECA" w:rsidP="002B73F8">
      <w:pPr>
        <w:jc w:val="center"/>
        <w:rPr>
          <w:rFonts w:asciiTheme="minorHAnsi" w:hAnsiTheme="minorHAnsi" w:cstheme="minorHAnsi"/>
          <w:sz w:val="24"/>
          <w:szCs w:val="24"/>
        </w:rPr>
      </w:pPr>
      <w:r w:rsidRPr="002B73F8">
        <w:rPr>
          <w:rFonts w:asciiTheme="minorHAnsi" w:hAnsiTheme="minorHAnsi" w:cstheme="minorHAnsi"/>
          <w:sz w:val="24"/>
          <w:szCs w:val="24"/>
        </w:rPr>
        <w:t>Capacidad (+) Necesidad (-) de financiación, SEC 2010</w:t>
      </w:r>
    </w:p>
    <w:p w14:paraId="39A904F1" w14:textId="54BBBF76" w:rsidR="00A44ECA" w:rsidRDefault="002B73F8" w:rsidP="002B73F8">
      <w:pPr>
        <w:jc w:val="center"/>
        <w:rPr>
          <w:rFonts w:asciiTheme="minorHAnsi" w:hAnsiTheme="minorHAnsi" w:cstheme="minorHAnsi"/>
          <w:sz w:val="24"/>
          <w:szCs w:val="24"/>
        </w:rPr>
      </w:pPr>
      <w:r w:rsidRPr="002B73F8">
        <w:rPr>
          <w:rFonts w:asciiTheme="minorHAnsi" w:hAnsiTheme="minorHAnsi" w:cstheme="minorHAnsi"/>
          <w:sz w:val="24"/>
          <w:szCs w:val="24"/>
        </w:rPr>
        <w:t xml:space="preserve">(EAEko BPGaren ehunekoan) </w:t>
      </w:r>
      <w:r>
        <w:rPr>
          <w:rFonts w:asciiTheme="minorHAnsi" w:hAnsiTheme="minorHAnsi" w:cstheme="minorHAnsi"/>
          <w:sz w:val="24"/>
          <w:szCs w:val="24"/>
        </w:rPr>
        <w:t xml:space="preserve">/ </w:t>
      </w:r>
      <w:r w:rsidRPr="002B73F8">
        <w:rPr>
          <w:rFonts w:asciiTheme="minorHAnsi" w:hAnsiTheme="minorHAnsi" w:cstheme="minorHAnsi"/>
          <w:sz w:val="24"/>
          <w:szCs w:val="24"/>
        </w:rPr>
        <w:t>(En porcentaje del PIB de la CAPV)</w:t>
      </w:r>
    </w:p>
    <w:p w14:paraId="446A7017" w14:textId="77777777" w:rsidR="002B73F8" w:rsidRPr="002B73F8" w:rsidRDefault="002B73F8" w:rsidP="002B73F8">
      <w:pPr>
        <w:jc w:val="center"/>
        <w:rPr>
          <w:rFonts w:asciiTheme="minorHAnsi" w:hAnsiTheme="minorHAnsi" w:cstheme="minorHAnsi"/>
          <w:sz w:val="24"/>
          <w:szCs w:val="24"/>
        </w:rPr>
      </w:pPr>
    </w:p>
    <w:tbl>
      <w:tblPr>
        <w:tblStyle w:val="Tablaconcuadrcula"/>
        <w:tblW w:w="0" w:type="auto"/>
        <w:jc w:val="center"/>
        <w:tblLook w:val="04A0" w:firstRow="1" w:lastRow="0" w:firstColumn="1" w:lastColumn="0" w:noHBand="0" w:noVBand="1"/>
      </w:tblPr>
      <w:tblGrid>
        <w:gridCol w:w="1696"/>
      </w:tblGrid>
      <w:tr w:rsidR="00A44ECA" w:rsidRPr="00A44ECA" w14:paraId="64F41388" w14:textId="77777777" w:rsidTr="00A44ECA">
        <w:trPr>
          <w:trHeight w:val="510"/>
          <w:jc w:val="center"/>
        </w:trPr>
        <w:tc>
          <w:tcPr>
            <w:tcW w:w="1696" w:type="dxa"/>
            <w:vAlign w:val="center"/>
          </w:tcPr>
          <w:p w14:paraId="3E913D93" w14:textId="70612C9A" w:rsidR="00A44ECA" w:rsidRPr="00A44ECA" w:rsidRDefault="00A44ECA" w:rsidP="00A44ECA">
            <w:pPr>
              <w:jc w:val="center"/>
              <w:rPr>
                <w:rFonts w:asciiTheme="minorHAnsi" w:hAnsiTheme="minorHAnsi" w:cstheme="minorHAnsi"/>
                <w:b/>
                <w:bCs/>
                <w:sz w:val="24"/>
                <w:szCs w:val="24"/>
              </w:rPr>
            </w:pPr>
            <w:r w:rsidRPr="00A44ECA">
              <w:rPr>
                <w:rFonts w:asciiTheme="minorHAnsi" w:hAnsiTheme="minorHAnsi" w:cstheme="minorHAnsi"/>
                <w:b/>
                <w:bCs/>
                <w:sz w:val="24"/>
                <w:szCs w:val="24"/>
              </w:rPr>
              <w:t>202</w:t>
            </w:r>
            <w:r w:rsidR="008B6526">
              <w:rPr>
                <w:rFonts w:asciiTheme="minorHAnsi" w:hAnsiTheme="minorHAnsi" w:cstheme="minorHAnsi"/>
                <w:b/>
                <w:bCs/>
                <w:sz w:val="24"/>
                <w:szCs w:val="24"/>
              </w:rPr>
              <w:t>5</w:t>
            </w:r>
          </w:p>
        </w:tc>
      </w:tr>
      <w:tr w:rsidR="00A44ECA" w:rsidRPr="00A44ECA" w14:paraId="095DA800" w14:textId="77777777" w:rsidTr="00A44ECA">
        <w:trPr>
          <w:trHeight w:val="510"/>
          <w:jc w:val="center"/>
        </w:trPr>
        <w:tc>
          <w:tcPr>
            <w:tcW w:w="1696" w:type="dxa"/>
            <w:vAlign w:val="center"/>
          </w:tcPr>
          <w:p w14:paraId="029E2E2A" w14:textId="5B26BCE8" w:rsidR="00A44ECA" w:rsidRPr="00A44ECA" w:rsidRDefault="00A44ECA" w:rsidP="00A44ECA">
            <w:pPr>
              <w:jc w:val="center"/>
              <w:rPr>
                <w:rFonts w:asciiTheme="minorHAnsi" w:hAnsiTheme="minorHAnsi" w:cstheme="minorHAnsi"/>
                <w:b/>
                <w:bCs/>
                <w:sz w:val="24"/>
                <w:szCs w:val="24"/>
              </w:rPr>
            </w:pPr>
            <w:r w:rsidRPr="00A44ECA">
              <w:rPr>
                <w:rFonts w:asciiTheme="minorHAnsi" w:hAnsiTheme="minorHAnsi" w:cstheme="minorHAnsi"/>
                <w:b/>
                <w:bCs/>
                <w:sz w:val="24"/>
                <w:szCs w:val="24"/>
              </w:rPr>
              <w:t>-0,1</w:t>
            </w:r>
          </w:p>
        </w:tc>
      </w:tr>
    </w:tbl>
    <w:p w14:paraId="1A78C3DB" w14:textId="77777777" w:rsidR="00A44ECA" w:rsidRDefault="00A44ECA"/>
    <w:tbl>
      <w:tblPr>
        <w:tblW w:w="0" w:type="auto"/>
        <w:tblLook w:val="01E0" w:firstRow="1" w:lastRow="1" w:firstColumn="1" w:lastColumn="1" w:noHBand="0" w:noVBand="0"/>
      </w:tblPr>
      <w:tblGrid>
        <w:gridCol w:w="4527"/>
        <w:gridCol w:w="4543"/>
      </w:tblGrid>
      <w:tr w:rsidR="00142CB7" w:rsidRPr="00AB0C97" w14:paraId="5723105E" w14:textId="77777777" w:rsidTr="00B40F8D">
        <w:tc>
          <w:tcPr>
            <w:tcW w:w="4527" w:type="dxa"/>
            <w:tcBorders>
              <w:right w:val="single" w:sz="4" w:space="0" w:color="808080"/>
            </w:tcBorders>
          </w:tcPr>
          <w:p w14:paraId="5C907E1C" w14:textId="77777777" w:rsidR="00142CB7" w:rsidRPr="00AB0C97" w:rsidRDefault="00142CB7" w:rsidP="00B40F8D">
            <w:pPr>
              <w:spacing w:before="240" w:after="120"/>
              <w:ind w:right="57"/>
              <w:jc w:val="both"/>
              <w:rPr>
                <w:rFonts w:asciiTheme="minorHAnsi" w:hAnsiTheme="minorHAnsi" w:cstheme="minorHAnsi"/>
                <w:snapToGrid w:val="0"/>
                <w:sz w:val="24"/>
                <w:szCs w:val="24"/>
              </w:rPr>
            </w:pPr>
            <w:r w:rsidRPr="002B73F8">
              <w:rPr>
                <w:rFonts w:asciiTheme="minorHAnsi" w:hAnsiTheme="minorHAnsi" w:cstheme="minorHAnsi"/>
                <w:snapToGrid w:val="0"/>
                <w:sz w:val="24"/>
                <w:szCs w:val="24"/>
              </w:rPr>
              <w:t>Honekin batera doazen laukietatik lortutako informazioak erakusten du Arabako foru sektore publikoaren aurrekontu egonkortasunaren helburua, EKS delakoaren arabera.</w:t>
            </w:r>
          </w:p>
        </w:tc>
        <w:tc>
          <w:tcPr>
            <w:tcW w:w="4543" w:type="dxa"/>
            <w:tcBorders>
              <w:left w:val="single" w:sz="4" w:space="0" w:color="808080"/>
            </w:tcBorders>
          </w:tcPr>
          <w:p w14:paraId="2E42E39F" w14:textId="1551DE89" w:rsidR="00142CB7" w:rsidRPr="00AB0C97" w:rsidRDefault="00142CB7" w:rsidP="00B40F8D">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t xml:space="preserve">La información obtenida de los cuadros </w:t>
            </w:r>
            <w:r w:rsidR="00C478DF" w:rsidRPr="009C116C">
              <w:rPr>
                <w:rFonts w:asciiTheme="minorHAnsi" w:hAnsiTheme="minorHAnsi" w:cstheme="minorHAnsi"/>
                <w:sz w:val="24"/>
                <w:szCs w:val="24"/>
              </w:rPr>
              <w:t>adjuntos</w:t>
            </w:r>
            <w:r w:rsidRPr="009C116C">
              <w:rPr>
                <w:rFonts w:asciiTheme="minorHAnsi" w:hAnsiTheme="minorHAnsi" w:cstheme="minorHAnsi"/>
                <w:sz w:val="24"/>
                <w:szCs w:val="24"/>
              </w:rPr>
              <w:t xml:space="preserve"> muestra el objetivo de estabilidad presupuestaria del Sector Público Foral de Álava, en términos SEC.</w:t>
            </w:r>
          </w:p>
        </w:tc>
      </w:tr>
      <w:tr w:rsidR="00470EED" w:rsidRPr="00AB0C97" w14:paraId="48752946" w14:textId="77777777" w:rsidTr="00AB0C97">
        <w:tc>
          <w:tcPr>
            <w:tcW w:w="4527" w:type="dxa"/>
            <w:tcBorders>
              <w:right w:val="single" w:sz="4" w:space="0" w:color="808080"/>
            </w:tcBorders>
          </w:tcPr>
          <w:p w14:paraId="5F7BE643" w14:textId="7396F485" w:rsidR="00E250EC" w:rsidRDefault="00CD1ECE" w:rsidP="009C116C">
            <w:pPr>
              <w:spacing w:before="240" w:after="120"/>
              <w:ind w:right="57"/>
              <w:jc w:val="both"/>
              <w:rPr>
                <w:rFonts w:asciiTheme="minorHAnsi" w:hAnsiTheme="minorHAnsi" w:cstheme="minorHAnsi"/>
                <w:snapToGrid w:val="0"/>
                <w:sz w:val="24"/>
                <w:szCs w:val="24"/>
              </w:rPr>
            </w:pPr>
            <w:r w:rsidRPr="00CD1ECE">
              <w:rPr>
                <w:rFonts w:asciiTheme="minorHAnsi" w:hAnsiTheme="minorHAnsi" w:cstheme="minorHAnsi"/>
                <w:snapToGrid w:val="0"/>
                <w:sz w:val="24"/>
                <w:szCs w:val="24"/>
              </w:rPr>
              <w:lastRenderedPageBreak/>
              <w:t>2025eko ekitaldiaren likidazioari dagokion foru sektore publikoaren finantzaketa gaitasuna 29.078.645,08 eurokoa da</w:t>
            </w:r>
            <w:r w:rsidR="00E250EC">
              <w:rPr>
                <w:rFonts w:asciiTheme="minorHAnsi" w:hAnsiTheme="minorHAnsi" w:cstheme="minorHAnsi"/>
                <w:snapToGrid w:val="0"/>
                <w:sz w:val="24"/>
                <w:szCs w:val="24"/>
              </w:rPr>
              <w:t>.</w:t>
            </w:r>
          </w:p>
          <w:p w14:paraId="6D9EAFCF" w14:textId="2058AE25" w:rsidR="00922A3F" w:rsidRPr="00AB0C97" w:rsidRDefault="00922A3F" w:rsidP="009C116C">
            <w:pPr>
              <w:spacing w:before="240" w:after="120"/>
              <w:ind w:right="57"/>
              <w:jc w:val="both"/>
              <w:rPr>
                <w:rFonts w:asciiTheme="minorHAnsi" w:hAnsiTheme="minorHAnsi" w:cstheme="minorHAnsi"/>
                <w:snapToGrid w:val="0"/>
                <w:sz w:val="24"/>
                <w:szCs w:val="24"/>
              </w:rPr>
            </w:pPr>
            <w:r w:rsidRPr="00922A3F">
              <w:rPr>
                <w:rFonts w:asciiTheme="minorHAnsi" w:hAnsiTheme="minorHAnsi" w:cstheme="minorHAnsi"/>
                <w:snapToGrid w:val="0"/>
                <w:sz w:val="24"/>
                <w:szCs w:val="24"/>
              </w:rPr>
              <w:t>Horrenbestez, foru-sektore publikoak bete egiten du 202</w:t>
            </w:r>
            <w:r w:rsidR="007D5AAD">
              <w:rPr>
                <w:rFonts w:asciiTheme="minorHAnsi" w:hAnsiTheme="minorHAnsi" w:cstheme="minorHAnsi"/>
                <w:snapToGrid w:val="0"/>
                <w:sz w:val="24"/>
                <w:szCs w:val="24"/>
              </w:rPr>
              <w:t>5</w:t>
            </w:r>
            <w:r w:rsidRPr="00922A3F">
              <w:rPr>
                <w:rFonts w:asciiTheme="minorHAnsi" w:hAnsiTheme="minorHAnsi" w:cstheme="minorHAnsi"/>
                <w:snapToGrid w:val="0"/>
                <w:sz w:val="24"/>
                <w:szCs w:val="24"/>
              </w:rPr>
              <w:t>ko ekitaldirako ezarritako aurrekontu-egonkortasunaren helburua.</w:t>
            </w:r>
          </w:p>
        </w:tc>
        <w:tc>
          <w:tcPr>
            <w:tcW w:w="4543" w:type="dxa"/>
            <w:tcBorders>
              <w:left w:val="single" w:sz="4" w:space="0" w:color="808080"/>
            </w:tcBorders>
          </w:tcPr>
          <w:p w14:paraId="2CE508E0" w14:textId="27138ACB" w:rsidR="00C478DF" w:rsidRPr="00922A3F" w:rsidRDefault="001349C6" w:rsidP="009C116C">
            <w:pPr>
              <w:spacing w:before="240" w:after="120"/>
              <w:jc w:val="both"/>
              <w:rPr>
                <w:rFonts w:asciiTheme="minorHAnsi" w:hAnsiTheme="minorHAnsi" w:cstheme="minorHAnsi"/>
                <w:sz w:val="24"/>
                <w:szCs w:val="24"/>
              </w:rPr>
            </w:pPr>
            <w:r w:rsidRPr="00922A3F">
              <w:rPr>
                <w:rFonts w:asciiTheme="minorHAnsi" w:hAnsiTheme="minorHAnsi" w:cstheme="minorHAnsi"/>
                <w:sz w:val="24"/>
                <w:szCs w:val="24"/>
              </w:rPr>
              <w:t xml:space="preserve">La </w:t>
            </w:r>
            <w:r w:rsidR="007D5AAD">
              <w:rPr>
                <w:rFonts w:asciiTheme="minorHAnsi" w:hAnsiTheme="minorHAnsi" w:cstheme="minorHAnsi"/>
                <w:sz w:val="24"/>
                <w:szCs w:val="24"/>
              </w:rPr>
              <w:t>capacidad</w:t>
            </w:r>
            <w:r w:rsidRPr="00922A3F">
              <w:rPr>
                <w:rFonts w:asciiTheme="minorHAnsi" w:hAnsiTheme="minorHAnsi" w:cstheme="minorHAnsi"/>
                <w:sz w:val="24"/>
                <w:szCs w:val="24"/>
              </w:rPr>
              <w:t xml:space="preserve"> de financiación</w:t>
            </w:r>
            <w:r w:rsidR="00C478DF" w:rsidRPr="00922A3F">
              <w:rPr>
                <w:rFonts w:asciiTheme="minorHAnsi" w:hAnsiTheme="minorHAnsi" w:cstheme="minorHAnsi"/>
                <w:sz w:val="24"/>
                <w:szCs w:val="24"/>
              </w:rPr>
              <w:t xml:space="preserve"> del sector público foral correspondiente</w:t>
            </w:r>
            <w:r w:rsidRPr="00922A3F">
              <w:rPr>
                <w:rFonts w:asciiTheme="minorHAnsi" w:hAnsiTheme="minorHAnsi" w:cstheme="minorHAnsi"/>
                <w:sz w:val="24"/>
                <w:szCs w:val="24"/>
              </w:rPr>
              <w:t xml:space="preserve"> a la liquidación del ejercicio 202</w:t>
            </w:r>
            <w:r w:rsidR="007D5AAD">
              <w:rPr>
                <w:rFonts w:asciiTheme="minorHAnsi" w:hAnsiTheme="minorHAnsi" w:cstheme="minorHAnsi"/>
                <w:sz w:val="24"/>
                <w:szCs w:val="24"/>
              </w:rPr>
              <w:t>5</w:t>
            </w:r>
            <w:r w:rsidRPr="00922A3F">
              <w:rPr>
                <w:rFonts w:asciiTheme="minorHAnsi" w:hAnsiTheme="minorHAnsi" w:cstheme="minorHAnsi"/>
                <w:sz w:val="24"/>
                <w:szCs w:val="24"/>
              </w:rPr>
              <w:t xml:space="preserve"> </w:t>
            </w:r>
            <w:r w:rsidR="00BC6F54" w:rsidRPr="00922A3F">
              <w:rPr>
                <w:rFonts w:asciiTheme="minorHAnsi" w:hAnsiTheme="minorHAnsi" w:cstheme="minorHAnsi"/>
                <w:sz w:val="24"/>
                <w:szCs w:val="24"/>
              </w:rPr>
              <w:t>asciende a</w:t>
            </w:r>
            <w:r w:rsidRPr="00922A3F">
              <w:rPr>
                <w:rFonts w:asciiTheme="minorHAnsi" w:hAnsiTheme="minorHAnsi" w:cstheme="minorHAnsi"/>
                <w:sz w:val="24"/>
                <w:szCs w:val="24"/>
              </w:rPr>
              <w:t xml:space="preserve"> </w:t>
            </w:r>
            <w:r w:rsidR="007D5AAD" w:rsidRPr="007D5AAD">
              <w:rPr>
                <w:rFonts w:asciiTheme="minorHAnsi" w:hAnsiTheme="minorHAnsi" w:cstheme="minorHAnsi"/>
                <w:sz w:val="24"/>
                <w:szCs w:val="24"/>
              </w:rPr>
              <w:t>29.078.645,</w:t>
            </w:r>
            <w:r w:rsidR="00F844A5" w:rsidRPr="007D5AAD">
              <w:rPr>
                <w:rFonts w:asciiTheme="minorHAnsi" w:hAnsiTheme="minorHAnsi" w:cstheme="minorHAnsi"/>
                <w:sz w:val="24"/>
                <w:szCs w:val="24"/>
              </w:rPr>
              <w:t>08</w:t>
            </w:r>
            <w:r w:rsidR="00F844A5" w:rsidRPr="007D5AAD">
              <w:rPr>
                <w:rFonts w:asciiTheme="minorHAnsi" w:hAnsiTheme="minorHAnsi" w:cstheme="minorHAnsi"/>
                <w:b/>
                <w:bCs/>
                <w:sz w:val="24"/>
                <w:szCs w:val="24"/>
              </w:rPr>
              <w:t xml:space="preserve"> </w:t>
            </w:r>
            <w:r w:rsidR="00F844A5" w:rsidRPr="00922A3F">
              <w:rPr>
                <w:rFonts w:asciiTheme="minorHAnsi" w:hAnsiTheme="minorHAnsi" w:cstheme="minorHAnsi"/>
                <w:sz w:val="24"/>
                <w:szCs w:val="24"/>
              </w:rPr>
              <w:t>euros</w:t>
            </w:r>
            <w:r w:rsidRPr="00922A3F">
              <w:rPr>
                <w:rFonts w:asciiTheme="minorHAnsi" w:hAnsiTheme="minorHAnsi" w:cstheme="minorHAnsi"/>
                <w:sz w:val="24"/>
                <w:szCs w:val="24"/>
              </w:rPr>
              <w:t>.</w:t>
            </w:r>
          </w:p>
          <w:p w14:paraId="7BCB7C86" w14:textId="1A4180AD" w:rsidR="00470EED" w:rsidRPr="00C478DF" w:rsidRDefault="00142CB7" w:rsidP="009C116C">
            <w:pPr>
              <w:spacing w:before="240" w:after="120"/>
              <w:jc w:val="both"/>
              <w:rPr>
                <w:rFonts w:asciiTheme="minorHAnsi" w:hAnsiTheme="minorHAnsi" w:cstheme="minorHAnsi"/>
                <w:color w:val="0070C0"/>
                <w:sz w:val="24"/>
                <w:szCs w:val="24"/>
              </w:rPr>
            </w:pPr>
            <w:r w:rsidRPr="00922A3F">
              <w:rPr>
                <w:rFonts w:asciiTheme="minorHAnsi" w:hAnsiTheme="minorHAnsi" w:cstheme="minorHAnsi"/>
                <w:sz w:val="24"/>
                <w:szCs w:val="24"/>
              </w:rPr>
              <w:t>Por lo tanto</w:t>
            </w:r>
            <w:r w:rsidR="00C478DF" w:rsidRPr="00922A3F">
              <w:rPr>
                <w:rFonts w:asciiTheme="minorHAnsi" w:hAnsiTheme="minorHAnsi" w:cstheme="minorHAnsi"/>
                <w:sz w:val="24"/>
                <w:szCs w:val="24"/>
              </w:rPr>
              <w:t xml:space="preserve">, el sector público foral </w:t>
            </w:r>
            <w:r w:rsidRPr="00922A3F">
              <w:rPr>
                <w:rFonts w:asciiTheme="minorHAnsi" w:hAnsiTheme="minorHAnsi" w:cstheme="minorHAnsi"/>
                <w:sz w:val="24"/>
                <w:szCs w:val="24"/>
              </w:rPr>
              <w:t>cumple con el objetivo de estabilidad presupuestaria</w:t>
            </w:r>
            <w:r w:rsidR="00C478DF" w:rsidRPr="00922A3F">
              <w:rPr>
                <w:rFonts w:asciiTheme="minorHAnsi" w:hAnsiTheme="minorHAnsi" w:cstheme="minorHAnsi"/>
                <w:sz w:val="24"/>
                <w:szCs w:val="24"/>
              </w:rPr>
              <w:t xml:space="preserve"> </w:t>
            </w:r>
            <w:r w:rsidR="00BC6F54" w:rsidRPr="00922A3F">
              <w:rPr>
                <w:rFonts w:asciiTheme="minorHAnsi" w:hAnsiTheme="minorHAnsi" w:cstheme="minorHAnsi"/>
                <w:sz w:val="24"/>
                <w:szCs w:val="24"/>
              </w:rPr>
              <w:t xml:space="preserve">fijado para </w:t>
            </w:r>
            <w:r w:rsidR="00C478DF" w:rsidRPr="00922A3F">
              <w:rPr>
                <w:rFonts w:asciiTheme="minorHAnsi" w:hAnsiTheme="minorHAnsi" w:cstheme="minorHAnsi"/>
                <w:sz w:val="24"/>
                <w:szCs w:val="24"/>
              </w:rPr>
              <w:t>el ejercicio 202</w:t>
            </w:r>
            <w:r w:rsidR="007D5AAD">
              <w:rPr>
                <w:rFonts w:asciiTheme="minorHAnsi" w:hAnsiTheme="minorHAnsi" w:cstheme="minorHAnsi"/>
                <w:sz w:val="24"/>
                <w:szCs w:val="24"/>
              </w:rPr>
              <w:t>5</w:t>
            </w:r>
            <w:r w:rsidR="00C478DF" w:rsidRPr="00922A3F">
              <w:rPr>
                <w:rFonts w:asciiTheme="minorHAnsi" w:hAnsiTheme="minorHAnsi" w:cstheme="minorHAnsi"/>
                <w:sz w:val="24"/>
                <w:szCs w:val="24"/>
              </w:rPr>
              <w:t>.</w:t>
            </w:r>
          </w:p>
        </w:tc>
      </w:tr>
    </w:tbl>
    <w:p w14:paraId="64816BF1" w14:textId="77777777" w:rsidR="00F25B9A" w:rsidRDefault="00F25B9A">
      <w:pPr>
        <w:sectPr w:rsidR="00F25B9A" w:rsidSect="00DC7F5E">
          <w:headerReference w:type="first" r:id="rId16"/>
          <w:pgSz w:w="11906" w:h="16838" w:code="9"/>
          <w:pgMar w:top="1418" w:right="1418" w:bottom="1418" w:left="1418" w:header="720" w:footer="720" w:gutter="0"/>
          <w:cols w:space="720"/>
          <w:titlePg/>
        </w:sectPr>
      </w:pPr>
    </w:p>
    <w:p w14:paraId="5416F09D" w14:textId="68945770" w:rsidR="00A60ABC" w:rsidRPr="00AF7435" w:rsidRDefault="007D3796" w:rsidP="00AF7435">
      <w:pPr>
        <w:shd w:val="clear" w:color="auto" w:fill="D9D9D9"/>
        <w:rPr>
          <w:rFonts w:ascii="Arial" w:hAnsi="Arial" w:cs="Arial"/>
          <w:b/>
          <w:sz w:val="20"/>
        </w:rPr>
      </w:pPr>
      <w:r>
        <w:rPr>
          <w:rFonts w:ascii="Arial" w:hAnsi="Arial" w:cs="Arial"/>
          <w:b/>
          <w:sz w:val="20"/>
        </w:rPr>
        <w:lastRenderedPageBreak/>
        <w:t>ARABAKO FORU ALDUNDIA</w:t>
      </w:r>
      <w:r w:rsidR="00AF7435" w:rsidRPr="00AF7435">
        <w:rPr>
          <w:rFonts w:ascii="Arial" w:hAnsi="Arial" w:cs="Arial"/>
          <w:b/>
          <w:sz w:val="20"/>
        </w:rPr>
        <w:t xml:space="preserve">  finantzatzeko gaitasun/beharrizana EKS alderdiari dagokionez, 20</w:t>
      </w:r>
      <w:r w:rsidR="00AB0C97">
        <w:rPr>
          <w:rFonts w:ascii="Arial" w:hAnsi="Arial" w:cs="Arial"/>
          <w:b/>
          <w:sz w:val="20"/>
        </w:rPr>
        <w:t>2</w:t>
      </w:r>
      <w:r w:rsidR="0012380F">
        <w:rPr>
          <w:rFonts w:ascii="Arial" w:hAnsi="Arial" w:cs="Arial"/>
          <w:b/>
          <w:sz w:val="20"/>
        </w:rPr>
        <w:t>5</w:t>
      </w:r>
      <w:r w:rsidR="00AF7435" w:rsidRPr="00AF7435">
        <w:rPr>
          <w:rFonts w:ascii="Arial" w:hAnsi="Arial" w:cs="Arial"/>
          <w:b/>
          <w:sz w:val="20"/>
        </w:rPr>
        <w:t xml:space="preserve">. urterako / </w:t>
      </w:r>
    </w:p>
    <w:p w14:paraId="0F199EBD" w14:textId="68810939" w:rsidR="00A60ABC" w:rsidRPr="00AF7435" w:rsidRDefault="00A60ABC" w:rsidP="00AF7435">
      <w:pPr>
        <w:shd w:val="clear" w:color="auto" w:fill="D9D9D9"/>
        <w:rPr>
          <w:rFonts w:ascii="Arial" w:hAnsi="Arial" w:cs="Arial"/>
          <w:b/>
          <w:sz w:val="20"/>
        </w:rPr>
      </w:pPr>
      <w:r w:rsidRPr="00AF7435">
        <w:rPr>
          <w:rFonts w:ascii="Arial" w:hAnsi="Arial" w:cs="Arial"/>
          <w:b/>
          <w:sz w:val="20"/>
        </w:rPr>
        <w:t xml:space="preserve">Capacidad / Necesidad de financiación de </w:t>
      </w:r>
      <w:r w:rsidR="007D3796">
        <w:rPr>
          <w:rFonts w:ascii="Arial" w:hAnsi="Arial" w:cs="Arial"/>
          <w:b/>
          <w:sz w:val="20"/>
        </w:rPr>
        <w:t>DIPUTACIÓN FORAL DE ÁLAVA</w:t>
      </w:r>
      <w:r w:rsidRPr="00AF7435">
        <w:rPr>
          <w:rFonts w:ascii="Arial" w:hAnsi="Arial" w:cs="Arial"/>
          <w:b/>
          <w:sz w:val="20"/>
        </w:rPr>
        <w:t xml:space="preserve"> </w:t>
      </w:r>
      <w:r w:rsidR="00BB1FE9">
        <w:rPr>
          <w:rFonts w:ascii="Arial" w:hAnsi="Arial" w:cs="Arial"/>
          <w:b/>
          <w:sz w:val="20"/>
        </w:rPr>
        <w:t xml:space="preserve">términos de SEC </w:t>
      </w:r>
      <w:r w:rsidRPr="00AF7435">
        <w:rPr>
          <w:rFonts w:ascii="Arial" w:hAnsi="Arial" w:cs="Arial"/>
          <w:b/>
          <w:sz w:val="20"/>
        </w:rPr>
        <w:t>para el año 20</w:t>
      </w:r>
      <w:r w:rsidR="00AB0C97">
        <w:rPr>
          <w:rFonts w:ascii="Arial" w:hAnsi="Arial" w:cs="Arial"/>
          <w:b/>
          <w:sz w:val="20"/>
        </w:rPr>
        <w:t>2</w:t>
      </w:r>
      <w:r w:rsidR="0012380F">
        <w:rPr>
          <w:rFonts w:ascii="Arial" w:hAnsi="Arial" w:cs="Arial"/>
          <w:b/>
          <w:sz w:val="20"/>
        </w:rPr>
        <w:t>5</w:t>
      </w:r>
    </w:p>
    <w:p w14:paraId="47868182" w14:textId="77777777" w:rsidR="00EB7BE0" w:rsidRDefault="00402815" w:rsidP="00AA2487">
      <w:pPr>
        <w:jc w:val="center"/>
      </w:pPr>
      <w:r w:rsidRPr="00402815">
        <w:rPr>
          <w:noProof/>
        </w:rPr>
        <w:drawing>
          <wp:inline distT="0" distB="0" distL="0" distR="0" wp14:anchorId="2C30E226" wp14:editId="438F6FE7">
            <wp:extent cx="8362950" cy="4276725"/>
            <wp:effectExtent l="0" t="0" r="0" b="9525"/>
            <wp:docPr id="4623737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62950" cy="4276725"/>
                    </a:xfrm>
                    <a:prstGeom prst="rect">
                      <a:avLst/>
                    </a:prstGeom>
                    <a:noFill/>
                    <a:ln>
                      <a:noFill/>
                    </a:ln>
                  </pic:spPr>
                </pic:pic>
              </a:graphicData>
            </a:graphic>
          </wp:inline>
        </w:drawing>
      </w:r>
      <w:r w:rsidRPr="00402815">
        <w:t xml:space="preserve"> </w:t>
      </w:r>
    </w:p>
    <w:p w14:paraId="7A01E84A" w14:textId="77777777" w:rsidR="00EB7BE0" w:rsidRDefault="00EB7BE0" w:rsidP="00AA2487">
      <w:pPr>
        <w:jc w:val="center"/>
      </w:pPr>
    </w:p>
    <w:p w14:paraId="50B9EF7B" w14:textId="77777777" w:rsidR="00EB7BE0" w:rsidRDefault="00EB7BE0" w:rsidP="00AA2487">
      <w:pPr>
        <w:jc w:val="center"/>
      </w:pPr>
    </w:p>
    <w:p w14:paraId="13B958D7" w14:textId="3639568B" w:rsidR="00641CB7" w:rsidRPr="00AF7435" w:rsidRDefault="007D3796" w:rsidP="00EB7BE0">
      <w:pPr>
        <w:shd w:val="clear" w:color="auto" w:fill="D9D9D9" w:themeFill="background1" w:themeFillShade="D9"/>
        <w:jc w:val="center"/>
        <w:rPr>
          <w:rFonts w:ascii="Arial" w:hAnsi="Arial" w:cs="Arial"/>
          <w:b/>
          <w:sz w:val="20"/>
        </w:rPr>
      </w:pPr>
      <w:r>
        <w:rPr>
          <w:rFonts w:ascii="Arial" w:hAnsi="Arial" w:cs="Arial"/>
          <w:b/>
          <w:sz w:val="20"/>
        </w:rPr>
        <w:t>ERAKUNDE AUTONOMOAK</w:t>
      </w:r>
      <w:r w:rsidR="00641CB7" w:rsidRPr="00AF7435">
        <w:rPr>
          <w:rFonts w:ascii="Arial" w:hAnsi="Arial" w:cs="Arial"/>
          <w:b/>
          <w:sz w:val="20"/>
        </w:rPr>
        <w:t xml:space="preserve"> finantzatzeko gaitasun/beharrizana EKS alderdiari dagokionez, 20</w:t>
      </w:r>
      <w:r w:rsidR="003218D4">
        <w:rPr>
          <w:rFonts w:ascii="Arial" w:hAnsi="Arial" w:cs="Arial"/>
          <w:b/>
          <w:sz w:val="20"/>
        </w:rPr>
        <w:t>2</w:t>
      </w:r>
      <w:r w:rsidR="00763344">
        <w:rPr>
          <w:rFonts w:ascii="Arial" w:hAnsi="Arial" w:cs="Arial"/>
          <w:b/>
          <w:sz w:val="20"/>
        </w:rPr>
        <w:t>5</w:t>
      </w:r>
      <w:r w:rsidR="00641CB7" w:rsidRPr="00AF7435">
        <w:rPr>
          <w:rFonts w:ascii="Arial" w:hAnsi="Arial" w:cs="Arial"/>
          <w:b/>
          <w:sz w:val="20"/>
        </w:rPr>
        <w:t xml:space="preserve">. urterako / </w:t>
      </w:r>
    </w:p>
    <w:p w14:paraId="4891EE12" w14:textId="4F608592" w:rsidR="00641CB7" w:rsidRPr="00AF7435" w:rsidRDefault="00641CB7" w:rsidP="00641CB7">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los </w:t>
      </w:r>
      <w:r w:rsidR="007D3796">
        <w:rPr>
          <w:rFonts w:ascii="Arial" w:hAnsi="Arial" w:cs="Arial"/>
          <w:b/>
          <w:sz w:val="20"/>
        </w:rPr>
        <w:t>ORGANISMOS AUTÓNOMOS</w:t>
      </w:r>
      <w:r>
        <w:rPr>
          <w:rFonts w:ascii="Arial" w:hAnsi="Arial" w:cs="Arial"/>
          <w:b/>
          <w:sz w:val="20"/>
        </w:rPr>
        <w:t xml:space="preserve"> en términos de SEC para el año 20</w:t>
      </w:r>
      <w:r w:rsidR="003218D4">
        <w:rPr>
          <w:rFonts w:ascii="Arial" w:hAnsi="Arial" w:cs="Arial"/>
          <w:b/>
          <w:sz w:val="20"/>
        </w:rPr>
        <w:t>2</w:t>
      </w:r>
      <w:r w:rsidR="00763344">
        <w:rPr>
          <w:rFonts w:ascii="Arial" w:hAnsi="Arial" w:cs="Arial"/>
          <w:b/>
          <w:sz w:val="20"/>
        </w:rPr>
        <w:t>5</w:t>
      </w:r>
    </w:p>
    <w:p w14:paraId="185DF1E6" w14:textId="488D0BBE" w:rsidR="0009583B" w:rsidRDefault="00AA2487" w:rsidP="0009583B">
      <w:pPr>
        <w:jc w:val="center"/>
        <w:rPr>
          <w:sz w:val="16"/>
          <w:szCs w:val="16"/>
        </w:rPr>
      </w:pPr>
      <w:r w:rsidRPr="00AA2487">
        <w:rPr>
          <w:noProof/>
        </w:rPr>
        <w:lastRenderedPageBreak/>
        <w:drawing>
          <wp:inline distT="0" distB="0" distL="0" distR="0" wp14:anchorId="4AF94E1C" wp14:editId="3D2E9F61">
            <wp:extent cx="8891270" cy="4711065"/>
            <wp:effectExtent l="0" t="0" r="5080" b="0"/>
            <wp:docPr id="17772407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1270" cy="4711065"/>
                    </a:xfrm>
                    <a:prstGeom prst="rect">
                      <a:avLst/>
                    </a:prstGeom>
                    <a:noFill/>
                    <a:ln>
                      <a:noFill/>
                    </a:ln>
                  </pic:spPr>
                </pic:pic>
              </a:graphicData>
            </a:graphic>
          </wp:inline>
        </w:drawing>
      </w:r>
    </w:p>
    <w:p w14:paraId="12BD676C" w14:textId="1147828F" w:rsidR="00BB1FE9" w:rsidRPr="00AF7435" w:rsidRDefault="00860159" w:rsidP="00EB7BE0">
      <w:pPr>
        <w:shd w:val="clear" w:color="auto" w:fill="D9D9D9" w:themeFill="background1" w:themeFillShade="D9"/>
        <w:rPr>
          <w:rFonts w:ascii="Arial" w:hAnsi="Arial" w:cs="Arial"/>
          <w:b/>
          <w:sz w:val="20"/>
        </w:rPr>
      </w:pPr>
      <w:r>
        <w:rPr>
          <w:sz w:val="16"/>
          <w:szCs w:val="16"/>
        </w:rPr>
        <w:lastRenderedPageBreak/>
        <w:br w:type="page"/>
      </w:r>
      <w:r w:rsidR="007D3796">
        <w:rPr>
          <w:rFonts w:ascii="Arial" w:hAnsi="Arial" w:cs="Arial"/>
          <w:b/>
          <w:sz w:val="20"/>
        </w:rPr>
        <w:lastRenderedPageBreak/>
        <w:t>SOZIETATE PUBLIKOAK</w:t>
      </w:r>
      <w:r w:rsidR="00BB1FE9" w:rsidRPr="00AF7435">
        <w:rPr>
          <w:rFonts w:ascii="Arial" w:hAnsi="Arial" w:cs="Arial"/>
          <w:b/>
          <w:sz w:val="20"/>
        </w:rPr>
        <w:t xml:space="preserve"> finantzatzeko gaitasun/beharrizana EKS alderdiari dagokionez, 20</w:t>
      </w:r>
      <w:r w:rsidR="003218D4">
        <w:rPr>
          <w:rFonts w:ascii="Arial" w:hAnsi="Arial" w:cs="Arial"/>
          <w:b/>
          <w:sz w:val="20"/>
        </w:rPr>
        <w:t>2</w:t>
      </w:r>
      <w:r w:rsidR="003621F3">
        <w:rPr>
          <w:rFonts w:ascii="Arial" w:hAnsi="Arial" w:cs="Arial"/>
          <w:b/>
          <w:sz w:val="20"/>
        </w:rPr>
        <w:t>5</w:t>
      </w:r>
      <w:r w:rsidR="00BB1FE9" w:rsidRPr="00AF7435">
        <w:rPr>
          <w:rFonts w:ascii="Arial" w:hAnsi="Arial" w:cs="Arial"/>
          <w:b/>
          <w:sz w:val="20"/>
        </w:rPr>
        <w:t xml:space="preserve">. urterako / </w:t>
      </w:r>
    </w:p>
    <w:p w14:paraId="073564DE" w14:textId="644E3653" w:rsidR="00BB1FE9" w:rsidRPr="00AF7435" w:rsidRDefault="00BB1FE9" w:rsidP="00BB1FE9">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SOCIEDADES PÚBLICAS</w:t>
      </w:r>
      <w:r>
        <w:rPr>
          <w:rFonts w:ascii="Arial" w:hAnsi="Arial" w:cs="Arial"/>
          <w:b/>
          <w:sz w:val="20"/>
        </w:rPr>
        <w:t xml:space="preserve"> en términos de SEC para el año 20</w:t>
      </w:r>
      <w:r w:rsidR="003218D4">
        <w:rPr>
          <w:rFonts w:ascii="Arial" w:hAnsi="Arial" w:cs="Arial"/>
          <w:b/>
          <w:sz w:val="20"/>
        </w:rPr>
        <w:t>2</w:t>
      </w:r>
      <w:r w:rsidR="003621F3">
        <w:rPr>
          <w:rFonts w:ascii="Arial" w:hAnsi="Arial" w:cs="Arial"/>
          <w:b/>
          <w:sz w:val="20"/>
        </w:rPr>
        <w:t>5</w:t>
      </w:r>
    </w:p>
    <w:p w14:paraId="266B48D4" w14:textId="1BF6B69C" w:rsidR="00AF7435" w:rsidRPr="009269D2" w:rsidRDefault="00E3493A" w:rsidP="00685989">
      <w:pPr>
        <w:jc w:val="center"/>
      </w:pPr>
      <w:r w:rsidRPr="00E3493A">
        <w:rPr>
          <w:noProof/>
        </w:rPr>
        <w:drawing>
          <wp:inline distT="0" distB="0" distL="0" distR="0" wp14:anchorId="70FDE5EE" wp14:editId="357D1E0D">
            <wp:extent cx="8295899" cy="4192438"/>
            <wp:effectExtent l="0" t="0" r="0" b="0"/>
            <wp:docPr id="76523431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01335" cy="4195185"/>
                    </a:xfrm>
                    <a:prstGeom prst="rect">
                      <a:avLst/>
                    </a:prstGeom>
                    <a:noFill/>
                    <a:ln>
                      <a:noFill/>
                    </a:ln>
                  </pic:spPr>
                </pic:pic>
              </a:graphicData>
            </a:graphic>
          </wp:inline>
        </w:drawing>
      </w:r>
    </w:p>
    <w:p w14:paraId="2F0CBED0" w14:textId="7C28CE2D" w:rsidR="0009583B" w:rsidRDefault="0009583B" w:rsidP="0009583B">
      <w:pPr>
        <w:jc w:val="center"/>
        <w:rPr>
          <w:sz w:val="16"/>
          <w:szCs w:val="16"/>
        </w:rPr>
      </w:pPr>
    </w:p>
    <w:p w14:paraId="1EEE5D02" w14:textId="77777777" w:rsidR="001231E7" w:rsidRDefault="001231E7" w:rsidP="0009583B">
      <w:pPr>
        <w:jc w:val="center"/>
        <w:rPr>
          <w:sz w:val="16"/>
          <w:szCs w:val="16"/>
        </w:rPr>
      </w:pPr>
    </w:p>
    <w:p w14:paraId="4B673F5B" w14:textId="77777777" w:rsidR="00EB7BE0" w:rsidRDefault="00EB7BE0" w:rsidP="0009583B">
      <w:pPr>
        <w:jc w:val="center"/>
        <w:rPr>
          <w:sz w:val="16"/>
          <w:szCs w:val="16"/>
        </w:rPr>
      </w:pPr>
    </w:p>
    <w:p w14:paraId="5014B460" w14:textId="77777777" w:rsidR="00EB7BE0" w:rsidRPr="00F36638" w:rsidRDefault="00EB7BE0" w:rsidP="0009583B">
      <w:pPr>
        <w:jc w:val="center"/>
        <w:rPr>
          <w:sz w:val="16"/>
          <w:szCs w:val="16"/>
        </w:rPr>
      </w:pPr>
    </w:p>
    <w:p w14:paraId="1700EF62" w14:textId="478244E6" w:rsidR="00DA735C" w:rsidRPr="00AF7435" w:rsidRDefault="007D3796" w:rsidP="00DA735C">
      <w:pPr>
        <w:shd w:val="clear" w:color="auto" w:fill="D9D9D9"/>
        <w:rPr>
          <w:rFonts w:ascii="Arial" w:hAnsi="Arial" w:cs="Arial"/>
          <w:b/>
          <w:sz w:val="20"/>
        </w:rPr>
      </w:pPr>
      <w:r>
        <w:rPr>
          <w:rFonts w:ascii="Arial" w:hAnsi="Arial" w:cs="Arial"/>
          <w:b/>
          <w:sz w:val="20"/>
        </w:rPr>
        <w:t>FUNDAZIOAK</w:t>
      </w:r>
      <w:r w:rsidR="00DA735C" w:rsidRPr="00AF7435">
        <w:rPr>
          <w:rFonts w:ascii="Arial" w:hAnsi="Arial" w:cs="Arial"/>
          <w:b/>
          <w:sz w:val="20"/>
        </w:rPr>
        <w:t xml:space="preserve"> finantzatzeko gaitasun/beharrizana EKS alderdiari dagokionez, 20</w:t>
      </w:r>
      <w:r w:rsidR="008E7FCC">
        <w:rPr>
          <w:rFonts w:ascii="Arial" w:hAnsi="Arial" w:cs="Arial"/>
          <w:b/>
          <w:sz w:val="20"/>
        </w:rPr>
        <w:t>2</w:t>
      </w:r>
      <w:r w:rsidR="00E3493A">
        <w:rPr>
          <w:rFonts w:ascii="Arial" w:hAnsi="Arial" w:cs="Arial"/>
          <w:b/>
          <w:sz w:val="20"/>
        </w:rPr>
        <w:t>5</w:t>
      </w:r>
      <w:r w:rsidR="00DA735C" w:rsidRPr="00AF7435">
        <w:rPr>
          <w:rFonts w:ascii="Arial" w:hAnsi="Arial" w:cs="Arial"/>
          <w:b/>
          <w:sz w:val="20"/>
        </w:rPr>
        <w:t xml:space="preserve">. urterako / </w:t>
      </w:r>
    </w:p>
    <w:p w14:paraId="19EC3076" w14:textId="0D411737" w:rsidR="00DA735C" w:rsidRPr="00AF7435" w:rsidRDefault="00DA735C" w:rsidP="00DA735C">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FUNDACIONES</w:t>
      </w:r>
      <w:r>
        <w:rPr>
          <w:rFonts w:ascii="Arial" w:hAnsi="Arial" w:cs="Arial"/>
          <w:b/>
          <w:sz w:val="20"/>
        </w:rPr>
        <w:t xml:space="preserve"> en términos de SEC para el año 20</w:t>
      </w:r>
      <w:r w:rsidR="008E7FCC">
        <w:rPr>
          <w:rFonts w:ascii="Arial" w:hAnsi="Arial" w:cs="Arial"/>
          <w:b/>
          <w:sz w:val="20"/>
        </w:rPr>
        <w:t>2</w:t>
      </w:r>
      <w:r w:rsidR="00E3493A">
        <w:rPr>
          <w:rFonts w:ascii="Arial" w:hAnsi="Arial" w:cs="Arial"/>
          <w:b/>
          <w:sz w:val="20"/>
        </w:rPr>
        <w:t>5</w:t>
      </w:r>
    </w:p>
    <w:p w14:paraId="706BCB3A" w14:textId="066F9C02" w:rsidR="004D074D" w:rsidRDefault="00E3493A" w:rsidP="0009583B">
      <w:pPr>
        <w:jc w:val="center"/>
      </w:pPr>
      <w:r w:rsidRPr="00E3493A">
        <w:rPr>
          <w:noProof/>
        </w:rPr>
        <w:drawing>
          <wp:inline distT="0" distB="0" distL="0" distR="0" wp14:anchorId="3358926B" wp14:editId="00E411A1">
            <wp:extent cx="8382000" cy="3924300"/>
            <wp:effectExtent l="0" t="0" r="0" b="0"/>
            <wp:docPr id="61795232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0" cy="3924300"/>
                    </a:xfrm>
                    <a:prstGeom prst="rect">
                      <a:avLst/>
                    </a:prstGeom>
                    <a:noFill/>
                    <a:ln>
                      <a:noFill/>
                    </a:ln>
                  </pic:spPr>
                </pic:pic>
              </a:graphicData>
            </a:graphic>
          </wp:inline>
        </w:drawing>
      </w:r>
    </w:p>
    <w:p w14:paraId="0734A32A" w14:textId="77777777" w:rsidR="00E3493A" w:rsidRDefault="00E3493A" w:rsidP="0009583B">
      <w:pPr>
        <w:jc w:val="center"/>
      </w:pPr>
    </w:p>
    <w:p w14:paraId="6D2A6AC8" w14:textId="77777777" w:rsidR="009771B8" w:rsidRDefault="009771B8" w:rsidP="0009583B">
      <w:pPr>
        <w:jc w:val="center"/>
        <w:rPr>
          <w:sz w:val="16"/>
          <w:szCs w:val="16"/>
        </w:rPr>
      </w:pPr>
    </w:p>
    <w:p w14:paraId="72B30E51" w14:textId="77777777" w:rsidR="00EB7BE0" w:rsidRDefault="00EB7BE0" w:rsidP="0009583B">
      <w:pPr>
        <w:jc w:val="center"/>
        <w:rPr>
          <w:sz w:val="16"/>
          <w:szCs w:val="16"/>
        </w:rPr>
      </w:pPr>
    </w:p>
    <w:p w14:paraId="5D092DD4" w14:textId="77777777" w:rsidR="00EB7BE0" w:rsidRDefault="00EB7BE0" w:rsidP="0009583B">
      <w:pPr>
        <w:jc w:val="center"/>
        <w:rPr>
          <w:sz w:val="16"/>
          <w:szCs w:val="16"/>
        </w:rPr>
      </w:pPr>
    </w:p>
    <w:p w14:paraId="7FE2771D" w14:textId="77777777" w:rsidR="00EB7BE0" w:rsidRDefault="00EB7BE0" w:rsidP="0009583B">
      <w:pPr>
        <w:jc w:val="center"/>
        <w:rPr>
          <w:sz w:val="16"/>
          <w:szCs w:val="16"/>
        </w:rPr>
      </w:pPr>
    </w:p>
    <w:p w14:paraId="67A66607" w14:textId="77777777" w:rsidR="00EB7BE0" w:rsidRPr="00F36638" w:rsidRDefault="00EB7BE0" w:rsidP="0009583B">
      <w:pPr>
        <w:jc w:val="center"/>
        <w:rPr>
          <w:sz w:val="16"/>
          <w:szCs w:val="16"/>
        </w:rPr>
      </w:pPr>
    </w:p>
    <w:p w14:paraId="4728C262" w14:textId="7F6148D7" w:rsidR="00E611B5" w:rsidRDefault="005F7CE2" w:rsidP="005F7CE2">
      <w:pPr>
        <w:shd w:val="clear" w:color="auto" w:fill="D9D9D9"/>
        <w:rPr>
          <w:rFonts w:ascii="Arial" w:hAnsi="Arial" w:cs="Arial"/>
          <w:b/>
          <w:sz w:val="20"/>
        </w:rPr>
      </w:pPr>
      <w:r>
        <w:rPr>
          <w:rFonts w:ascii="Arial" w:hAnsi="Arial" w:cs="Arial"/>
          <w:b/>
          <w:sz w:val="20"/>
        </w:rPr>
        <w:t xml:space="preserve">Arabako foru Sektore Publiko </w:t>
      </w:r>
      <w:r w:rsidR="00B92561">
        <w:rPr>
          <w:rFonts w:ascii="Arial" w:hAnsi="Arial" w:cs="Arial"/>
          <w:b/>
          <w:sz w:val="20"/>
        </w:rPr>
        <w:t>BATERATUAren</w:t>
      </w:r>
      <w:r>
        <w:rPr>
          <w:rFonts w:ascii="Arial" w:hAnsi="Arial" w:cs="Arial"/>
          <w:b/>
          <w:sz w:val="20"/>
        </w:rPr>
        <w:t xml:space="preserve"> </w:t>
      </w:r>
      <w:r w:rsidRPr="00AF7435">
        <w:rPr>
          <w:rFonts w:ascii="Arial" w:hAnsi="Arial" w:cs="Arial"/>
          <w:b/>
          <w:sz w:val="20"/>
        </w:rPr>
        <w:t xml:space="preserve"> finantzatzeko gaitasun/beharrizana EKS alderdiari dagokionez, 20</w:t>
      </w:r>
      <w:r w:rsidR="008E7FCC">
        <w:rPr>
          <w:rFonts w:ascii="Arial" w:hAnsi="Arial" w:cs="Arial"/>
          <w:b/>
          <w:sz w:val="20"/>
        </w:rPr>
        <w:t>2</w:t>
      </w:r>
      <w:r w:rsidR="00830828">
        <w:rPr>
          <w:rFonts w:ascii="Arial" w:hAnsi="Arial" w:cs="Arial"/>
          <w:b/>
          <w:sz w:val="20"/>
        </w:rPr>
        <w:t>5</w:t>
      </w:r>
      <w:r w:rsidRPr="00AF7435">
        <w:rPr>
          <w:rFonts w:ascii="Arial" w:hAnsi="Arial" w:cs="Arial"/>
          <w:b/>
          <w:sz w:val="20"/>
        </w:rPr>
        <w:t xml:space="preserve">. </w:t>
      </w:r>
      <w:r w:rsidR="00E611B5" w:rsidRPr="00AF7435">
        <w:rPr>
          <w:rFonts w:ascii="Arial" w:hAnsi="Arial" w:cs="Arial"/>
          <w:b/>
          <w:sz w:val="20"/>
        </w:rPr>
        <w:t>U</w:t>
      </w:r>
      <w:r w:rsidRPr="00AF7435">
        <w:rPr>
          <w:rFonts w:ascii="Arial" w:hAnsi="Arial" w:cs="Arial"/>
          <w:b/>
          <w:sz w:val="20"/>
        </w:rPr>
        <w:t>rterako</w:t>
      </w:r>
      <w:r w:rsidR="00E611B5">
        <w:rPr>
          <w:rFonts w:ascii="Arial" w:hAnsi="Arial" w:cs="Arial"/>
          <w:b/>
          <w:sz w:val="20"/>
        </w:rPr>
        <w:t xml:space="preserve"> /</w:t>
      </w:r>
      <w:r w:rsidR="00195799">
        <w:rPr>
          <w:rFonts w:ascii="Arial" w:hAnsi="Arial" w:cs="Arial"/>
          <w:b/>
          <w:sz w:val="20"/>
        </w:rPr>
        <w:t xml:space="preserve"> </w:t>
      </w:r>
    </w:p>
    <w:p w14:paraId="7463329D" w14:textId="3B406C66" w:rsidR="005F7CE2" w:rsidRPr="00AF7435" w:rsidRDefault="00E611B5" w:rsidP="005F7CE2">
      <w:pPr>
        <w:shd w:val="clear" w:color="auto" w:fill="D9D9D9"/>
        <w:rPr>
          <w:rFonts w:ascii="Arial" w:hAnsi="Arial" w:cs="Arial"/>
          <w:b/>
          <w:sz w:val="20"/>
        </w:rPr>
      </w:pPr>
      <w:r>
        <w:rPr>
          <w:rFonts w:ascii="Arial" w:hAnsi="Arial" w:cs="Arial"/>
          <w:b/>
          <w:sz w:val="20"/>
        </w:rPr>
        <w:t xml:space="preserve"> </w:t>
      </w:r>
      <w:r w:rsidR="005F7CE2" w:rsidRPr="00AF7435">
        <w:rPr>
          <w:rFonts w:ascii="Arial" w:hAnsi="Arial" w:cs="Arial"/>
          <w:b/>
          <w:sz w:val="20"/>
        </w:rPr>
        <w:t>Capacidad / Necesidad de financiación de</w:t>
      </w:r>
      <w:r w:rsidR="005F7CE2">
        <w:rPr>
          <w:rFonts w:ascii="Arial" w:hAnsi="Arial" w:cs="Arial"/>
          <w:b/>
          <w:sz w:val="20"/>
        </w:rPr>
        <w:t xml:space="preserve">l Sector Público Foral de Álava </w:t>
      </w:r>
      <w:r w:rsidR="00B92561">
        <w:rPr>
          <w:rFonts w:ascii="Arial" w:hAnsi="Arial" w:cs="Arial"/>
          <w:b/>
          <w:sz w:val="20"/>
        </w:rPr>
        <w:t>CONSOLIDADO</w:t>
      </w:r>
      <w:r w:rsidR="005F7CE2" w:rsidRPr="00AF7435">
        <w:rPr>
          <w:rFonts w:ascii="Arial" w:hAnsi="Arial" w:cs="Arial"/>
          <w:b/>
          <w:sz w:val="20"/>
        </w:rPr>
        <w:t xml:space="preserve"> </w:t>
      </w:r>
      <w:r w:rsidR="005F7CE2">
        <w:rPr>
          <w:rFonts w:ascii="Arial" w:hAnsi="Arial" w:cs="Arial"/>
          <w:b/>
          <w:sz w:val="20"/>
        </w:rPr>
        <w:t>en términos de SEC para el año 20</w:t>
      </w:r>
      <w:r w:rsidR="008E7FCC">
        <w:rPr>
          <w:rFonts w:ascii="Arial" w:hAnsi="Arial" w:cs="Arial"/>
          <w:b/>
          <w:sz w:val="20"/>
        </w:rPr>
        <w:t>2</w:t>
      </w:r>
      <w:r w:rsidR="00830828">
        <w:rPr>
          <w:rFonts w:ascii="Arial" w:hAnsi="Arial" w:cs="Arial"/>
          <w:b/>
          <w:sz w:val="20"/>
        </w:rPr>
        <w:t>5</w:t>
      </w:r>
    </w:p>
    <w:p w14:paraId="4C20864A" w14:textId="55ADF969" w:rsidR="009771B8" w:rsidRDefault="008334E2" w:rsidP="005F7CE2">
      <w:pPr>
        <w:jc w:val="center"/>
      </w:pPr>
      <w:r w:rsidRPr="008334E2">
        <w:rPr>
          <w:noProof/>
        </w:rPr>
        <w:drawing>
          <wp:inline distT="0" distB="0" distL="0" distR="0" wp14:anchorId="25381ABA" wp14:editId="3B5B2FF5">
            <wp:extent cx="7591425" cy="4390845"/>
            <wp:effectExtent l="0" t="0" r="0" b="0"/>
            <wp:docPr id="147364579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93427" cy="4392003"/>
                    </a:xfrm>
                    <a:prstGeom prst="rect">
                      <a:avLst/>
                    </a:prstGeom>
                    <a:noFill/>
                    <a:ln>
                      <a:noFill/>
                    </a:ln>
                  </pic:spPr>
                </pic:pic>
              </a:graphicData>
            </a:graphic>
          </wp:inline>
        </w:drawing>
      </w:r>
    </w:p>
    <w:p w14:paraId="5269A334" w14:textId="77777777" w:rsidR="00945282" w:rsidRDefault="00945282" w:rsidP="005F7CE2">
      <w:pPr>
        <w:jc w:val="center"/>
      </w:pPr>
    </w:p>
    <w:p w14:paraId="4117A638" w14:textId="77777777" w:rsidR="00F14225" w:rsidRDefault="00F14225" w:rsidP="005F7CE2">
      <w:pPr>
        <w:jc w:val="center"/>
      </w:pPr>
    </w:p>
    <w:p w14:paraId="4350812B" w14:textId="0DBA4C26" w:rsidR="00240BAC" w:rsidRPr="00AF7435" w:rsidRDefault="00240BAC" w:rsidP="00240BAC">
      <w:pPr>
        <w:shd w:val="clear" w:color="auto" w:fill="D9D9D9"/>
        <w:rPr>
          <w:rFonts w:ascii="Arial" w:hAnsi="Arial" w:cs="Arial"/>
          <w:b/>
          <w:sz w:val="20"/>
        </w:rPr>
      </w:pPr>
      <w:r>
        <w:rPr>
          <w:rFonts w:ascii="Arial" w:hAnsi="Arial" w:cs="Arial"/>
          <w:b/>
          <w:sz w:val="20"/>
        </w:rPr>
        <w:t xml:space="preserve">Arabako foru Sektore Publiko BATERATUAren </w:t>
      </w:r>
      <w:r w:rsidRPr="00AF7435">
        <w:rPr>
          <w:rFonts w:ascii="Arial" w:hAnsi="Arial" w:cs="Arial"/>
          <w:b/>
          <w:sz w:val="20"/>
        </w:rPr>
        <w:t xml:space="preserve"> finantzatzeko gaitasun/beharrizana EKS alderdiari dagokionez, 20</w:t>
      </w:r>
      <w:r w:rsidR="008E7FCC">
        <w:rPr>
          <w:rFonts w:ascii="Arial" w:hAnsi="Arial" w:cs="Arial"/>
          <w:b/>
          <w:sz w:val="20"/>
        </w:rPr>
        <w:t>2</w:t>
      </w:r>
      <w:r w:rsidR="007A455C">
        <w:rPr>
          <w:rFonts w:ascii="Arial" w:hAnsi="Arial" w:cs="Arial"/>
          <w:b/>
          <w:sz w:val="20"/>
        </w:rPr>
        <w:t>5</w:t>
      </w:r>
      <w:r w:rsidRPr="00AF7435">
        <w:rPr>
          <w:rFonts w:ascii="Arial" w:hAnsi="Arial" w:cs="Arial"/>
          <w:b/>
          <w:sz w:val="20"/>
        </w:rPr>
        <w:t xml:space="preserve">. urterako / </w:t>
      </w:r>
    </w:p>
    <w:p w14:paraId="02782BC3" w14:textId="346A7332" w:rsidR="00240BAC" w:rsidRDefault="00240BAC" w:rsidP="00240BAC">
      <w:pPr>
        <w:shd w:val="clear" w:color="auto" w:fill="D9D9D9"/>
        <w:rPr>
          <w:rFonts w:ascii="Arial" w:hAnsi="Arial" w:cs="Arial"/>
          <w:b/>
          <w:sz w:val="20"/>
        </w:rPr>
      </w:pPr>
      <w:r w:rsidRPr="00AF7435">
        <w:rPr>
          <w:rFonts w:ascii="Arial" w:hAnsi="Arial" w:cs="Arial"/>
          <w:b/>
          <w:sz w:val="20"/>
        </w:rPr>
        <w:t>Capacidad / Necesidad de financiación de</w:t>
      </w:r>
      <w:r>
        <w:rPr>
          <w:rFonts w:ascii="Arial" w:hAnsi="Arial" w:cs="Arial"/>
          <w:b/>
          <w:sz w:val="20"/>
        </w:rPr>
        <w:t>l Sector Público Foral de Álava CONSOLIDADO</w:t>
      </w:r>
      <w:r w:rsidRPr="00AF7435">
        <w:rPr>
          <w:rFonts w:ascii="Arial" w:hAnsi="Arial" w:cs="Arial"/>
          <w:b/>
          <w:sz w:val="20"/>
        </w:rPr>
        <w:t xml:space="preserve"> </w:t>
      </w:r>
      <w:r>
        <w:rPr>
          <w:rFonts w:ascii="Arial" w:hAnsi="Arial" w:cs="Arial"/>
          <w:b/>
          <w:sz w:val="20"/>
        </w:rPr>
        <w:t>en términos de SEC para el año 20</w:t>
      </w:r>
      <w:r w:rsidR="008E7FCC">
        <w:rPr>
          <w:rFonts w:ascii="Arial" w:hAnsi="Arial" w:cs="Arial"/>
          <w:b/>
          <w:sz w:val="20"/>
        </w:rPr>
        <w:t>2</w:t>
      </w:r>
      <w:r w:rsidR="007A455C">
        <w:rPr>
          <w:rFonts w:ascii="Arial" w:hAnsi="Arial" w:cs="Arial"/>
          <w:b/>
          <w:sz w:val="20"/>
        </w:rPr>
        <w:t>5</w:t>
      </w:r>
    </w:p>
    <w:p w14:paraId="6E2FA2B6" w14:textId="37699611" w:rsidR="001C4CCA" w:rsidRDefault="007A455C" w:rsidP="005F7CE2">
      <w:pPr>
        <w:jc w:val="center"/>
      </w:pPr>
      <w:r w:rsidRPr="007A455C">
        <w:rPr>
          <w:noProof/>
        </w:rPr>
        <w:drawing>
          <wp:inline distT="0" distB="0" distL="0" distR="0" wp14:anchorId="4826FFAD" wp14:editId="3B4884E4">
            <wp:extent cx="8134350" cy="4086225"/>
            <wp:effectExtent l="0" t="0" r="0" b="9525"/>
            <wp:docPr id="118862336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34350" cy="4086225"/>
                    </a:xfrm>
                    <a:prstGeom prst="rect">
                      <a:avLst/>
                    </a:prstGeom>
                    <a:noFill/>
                    <a:ln>
                      <a:noFill/>
                    </a:ln>
                  </pic:spPr>
                </pic:pic>
              </a:graphicData>
            </a:graphic>
          </wp:inline>
        </w:drawing>
      </w:r>
    </w:p>
    <w:p w14:paraId="7D8C4DA3" w14:textId="77777777" w:rsidR="005F7CE2" w:rsidRDefault="005F7CE2" w:rsidP="005F7CE2">
      <w:pPr>
        <w:jc w:val="center"/>
        <w:sectPr w:rsidR="005F7CE2" w:rsidSect="00EB7BE0">
          <w:headerReference w:type="default" r:id="rId23"/>
          <w:headerReference w:type="first" r:id="rId24"/>
          <w:pgSz w:w="16838" w:h="11906" w:orient="landscape" w:code="9"/>
          <w:pgMar w:top="1418" w:right="1418" w:bottom="426" w:left="1418" w:header="720" w:footer="720" w:gutter="0"/>
          <w:cols w:space="720"/>
          <w:titlePg/>
        </w:sectPr>
      </w:pPr>
    </w:p>
    <w:p w14:paraId="0A8B6E70" w14:textId="77777777" w:rsidR="005F7CE2" w:rsidRPr="005F7CE2" w:rsidRDefault="005F7CE2" w:rsidP="005F7CE2">
      <w:pPr>
        <w:jc w:val="center"/>
      </w:pPr>
    </w:p>
    <w:tbl>
      <w:tblPr>
        <w:tblW w:w="0" w:type="auto"/>
        <w:tblLook w:val="01E0" w:firstRow="1" w:lastRow="1" w:firstColumn="1" w:lastColumn="1" w:noHBand="0" w:noVBand="0"/>
      </w:tblPr>
      <w:tblGrid>
        <w:gridCol w:w="4605"/>
        <w:gridCol w:w="4605"/>
      </w:tblGrid>
      <w:tr w:rsidR="007F09F2" w:rsidRPr="008E7FCC" w14:paraId="1759FFCB" w14:textId="77777777" w:rsidTr="005133A3">
        <w:tc>
          <w:tcPr>
            <w:tcW w:w="4605" w:type="dxa"/>
            <w:tcBorders>
              <w:right w:val="single" w:sz="4" w:space="0" w:color="808080"/>
            </w:tcBorders>
          </w:tcPr>
          <w:p w14:paraId="22187ADB" w14:textId="601E504A" w:rsidR="007F09F2" w:rsidRPr="008E7FCC" w:rsidRDefault="004F3CB0" w:rsidP="005133A3">
            <w:pPr>
              <w:pStyle w:val="Ttulo1"/>
              <w:shd w:val="clear" w:color="auto" w:fill="D9D9D9"/>
              <w:spacing w:before="60" w:after="60"/>
              <w:ind w:right="57"/>
              <w:rPr>
                <w:rFonts w:asciiTheme="minorHAnsi" w:hAnsiTheme="minorHAnsi" w:cstheme="minorHAnsi"/>
                <w:b/>
                <w:szCs w:val="24"/>
              </w:rPr>
            </w:pPr>
            <w:r>
              <w:rPr>
                <w:rFonts w:asciiTheme="minorHAnsi" w:hAnsiTheme="minorHAnsi" w:cstheme="minorHAnsi"/>
                <w:b/>
                <w:szCs w:val="24"/>
              </w:rPr>
              <w:t>ZOR PUBLIKOAREN</w:t>
            </w:r>
            <w:r w:rsidR="007F09F2" w:rsidRPr="008E7FCC">
              <w:rPr>
                <w:rFonts w:asciiTheme="minorHAnsi" w:hAnsiTheme="minorHAnsi" w:cstheme="minorHAnsi"/>
                <w:b/>
                <w:szCs w:val="24"/>
              </w:rPr>
              <w:t xml:space="preserve"> HELBURUA</w:t>
            </w:r>
          </w:p>
          <w:p w14:paraId="202DF7EE" w14:textId="77777777" w:rsidR="007F09F2" w:rsidRPr="008E7FCC" w:rsidRDefault="007F09F2" w:rsidP="005133A3">
            <w:pPr>
              <w:ind w:right="57"/>
              <w:jc w:val="both"/>
              <w:rPr>
                <w:rFonts w:asciiTheme="minorHAnsi" w:hAnsiTheme="minorHAnsi" w:cstheme="minorHAnsi"/>
                <w:sz w:val="24"/>
                <w:szCs w:val="24"/>
              </w:rPr>
            </w:pPr>
          </w:p>
        </w:tc>
        <w:tc>
          <w:tcPr>
            <w:tcW w:w="4605" w:type="dxa"/>
            <w:tcBorders>
              <w:left w:val="single" w:sz="4" w:space="0" w:color="808080"/>
            </w:tcBorders>
          </w:tcPr>
          <w:p w14:paraId="1E8D2D2B" w14:textId="77777777" w:rsidR="007F09F2" w:rsidRPr="008E7FCC" w:rsidRDefault="007F09F2" w:rsidP="005133A3">
            <w:pPr>
              <w:pStyle w:val="Ttulo1"/>
              <w:shd w:val="clear" w:color="auto" w:fill="D9D9D9"/>
              <w:spacing w:before="60" w:after="60"/>
              <w:ind w:left="57"/>
              <w:rPr>
                <w:rFonts w:asciiTheme="minorHAnsi" w:hAnsiTheme="minorHAnsi" w:cstheme="minorHAnsi"/>
                <w:b/>
                <w:szCs w:val="24"/>
              </w:rPr>
            </w:pPr>
            <w:r w:rsidRPr="008E7FCC">
              <w:rPr>
                <w:rFonts w:asciiTheme="minorHAnsi" w:hAnsiTheme="minorHAnsi" w:cstheme="minorHAnsi"/>
                <w:b/>
                <w:szCs w:val="24"/>
              </w:rPr>
              <w:t>OBJETIVO DE DEUDA PÚBLICA</w:t>
            </w:r>
          </w:p>
          <w:p w14:paraId="290A9DF1" w14:textId="77777777" w:rsidR="007F09F2" w:rsidRPr="008E7FCC" w:rsidRDefault="007F09F2" w:rsidP="005133A3">
            <w:pPr>
              <w:ind w:left="57"/>
              <w:jc w:val="both"/>
              <w:rPr>
                <w:rFonts w:asciiTheme="minorHAnsi" w:hAnsiTheme="minorHAnsi" w:cstheme="minorHAnsi"/>
                <w:sz w:val="24"/>
                <w:szCs w:val="24"/>
              </w:rPr>
            </w:pPr>
          </w:p>
        </w:tc>
      </w:tr>
      <w:tr w:rsidR="00026534" w:rsidRPr="008E7FCC" w14:paraId="0346DC03" w14:textId="77777777" w:rsidTr="005133A3">
        <w:tc>
          <w:tcPr>
            <w:tcW w:w="4605" w:type="dxa"/>
            <w:tcBorders>
              <w:right w:val="single" w:sz="4" w:space="0" w:color="808080"/>
            </w:tcBorders>
          </w:tcPr>
          <w:p w14:paraId="72B6CF08" w14:textId="77777777" w:rsidR="00026534" w:rsidRPr="008E7FCC" w:rsidRDefault="00026534" w:rsidP="006F19A5">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Aurrekontuen Egonkortasunaren Oinarria AEIFLOko </w:t>
            </w:r>
            <w:r w:rsidR="0011151B" w:rsidRPr="008E7FCC">
              <w:rPr>
                <w:rFonts w:asciiTheme="minorHAnsi" w:hAnsiTheme="minorHAnsi" w:cstheme="minorHAnsi"/>
                <w:snapToGrid w:val="0"/>
                <w:sz w:val="24"/>
                <w:szCs w:val="24"/>
              </w:rPr>
              <w:t>3</w:t>
            </w:r>
            <w:r w:rsidRPr="008E7FCC">
              <w:rPr>
                <w:rFonts w:asciiTheme="minorHAnsi" w:hAnsiTheme="minorHAnsi" w:cstheme="minorHAnsi"/>
                <w:snapToGrid w:val="0"/>
                <w:sz w:val="24"/>
                <w:szCs w:val="24"/>
              </w:rPr>
              <w:t>. artikuluan ezarri da eta bere 1</w:t>
            </w:r>
            <w:r w:rsidR="0011151B" w:rsidRPr="008E7FCC">
              <w:rPr>
                <w:rFonts w:asciiTheme="minorHAnsi" w:hAnsiTheme="minorHAnsi" w:cstheme="minorHAnsi"/>
                <w:snapToGrid w:val="0"/>
                <w:sz w:val="24"/>
                <w:szCs w:val="24"/>
              </w:rPr>
              <w:t>1</w:t>
            </w:r>
            <w:r w:rsidRPr="008E7FCC">
              <w:rPr>
                <w:rFonts w:asciiTheme="minorHAnsi" w:hAnsiTheme="minorHAnsi" w:cstheme="minorHAnsi"/>
                <w:snapToGrid w:val="0"/>
                <w:sz w:val="24"/>
                <w:szCs w:val="24"/>
              </w:rPr>
              <w:t>. artikuluan gauzatzen eta garatzen da.</w:t>
            </w:r>
          </w:p>
        </w:tc>
        <w:tc>
          <w:tcPr>
            <w:tcW w:w="4605" w:type="dxa"/>
            <w:tcBorders>
              <w:left w:val="single" w:sz="4" w:space="0" w:color="808080"/>
            </w:tcBorders>
          </w:tcPr>
          <w:p w14:paraId="6A316043" w14:textId="77777777" w:rsidR="00026534" w:rsidRPr="008E7FCC" w:rsidRDefault="00026534" w:rsidP="006F19A5">
            <w:p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El principio de Estabilidad Presupuestaria se establece en el artículo </w:t>
            </w:r>
            <w:r w:rsidR="0011151B" w:rsidRPr="008E7FCC">
              <w:rPr>
                <w:rFonts w:asciiTheme="minorHAnsi" w:hAnsiTheme="minorHAnsi" w:cstheme="minorHAnsi"/>
                <w:snapToGrid w:val="0"/>
                <w:sz w:val="24"/>
                <w:szCs w:val="24"/>
              </w:rPr>
              <w:t>3</w:t>
            </w:r>
            <w:r w:rsidRPr="008E7FCC">
              <w:rPr>
                <w:rFonts w:asciiTheme="minorHAnsi" w:hAnsiTheme="minorHAnsi" w:cstheme="minorHAnsi"/>
                <w:snapToGrid w:val="0"/>
                <w:sz w:val="24"/>
                <w:szCs w:val="24"/>
              </w:rPr>
              <w:t xml:space="preserve"> de la LOEPSF y se instrumenta en el artículo 1</w:t>
            </w:r>
            <w:r w:rsidR="0011151B" w:rsidRPr="008E7FCC">
              <w:rPr>
                <w:rFonts w:asciiTheme="minorHAnsi" w:hAnsiTheme="minorHAnsi" w:cstheme="minorHAnsi"/>
                <w:snapToGrid w:val="0"/>
                <w:sz w:val="24"/>
                <w:szCs w:val="24"/>
              </w:rPr>
              <w:t>1</w:t>
            </w:r>
            <w:r w:rsidRPr="008E7FCC">
              <w:rPr>
                <w:rFonts w:asciiTheme="minorHAnsi" w:hAnsiTheme="minorHAnsi" w:cstheme="minorHAnsi"/>
                <w:snapToGrid w:val="0"/>
                <w:sz w:val="24"/>
                <w:szCs w:val="24"/>
              </w:rPr>
              <w:t>.</w:t>
            </w:r>
          </w:p>
        </w:tc>
      </w:tr>
      <w:tr w:rsidR="00AB71D7" w:rsidRPr="008E7FCC" w14:paraId="7E737EDB" w14:textId="77777777" w:rsidTr="0035738A">
        <w:tc>
          <w:tcPr>
            <w:tcW w:w="4605" w:type="dxa"/>
            <w:tcBorders>
              <w:right w:val="single" w:sz="4" w:space="0" w:color="808080"/>
            </w:tcBorders>
          </w:tcPr>
          <w:p w14:paraId="71709FB2" w14:textId="77777777" w:rsidR="00AB71D7" w:rsidRDefault="00AB71D7" w:rsidP="0035738A">
            <w:pPr>
              <w:ind w:right="57"/>
              <w:jc w:val="both"/>
              <w:rPr>
                <w:rFonts w:asciiTheme="minorHAnsi" w:hAnsiTheme="minorHAnsi" w:cstheme="minorHAnsi"/>
                <w:snapToGrid w:val="0"/>
                <w:sz w:val="24"/>
                <w:szCs w:val="24"/>
              </w:rPr>
            </w:pPr>
          </w:p>
          <w:p w14:paraId="70EA1885" w14:textId="65F30D8B" w:rsidR="00AB71D7" w:rsidRPr="008E7FCC" w:rsidRDefault="004F3CB0" w:rsidP="00AB71D7">
            <w:pPr>
              <w:ind w:right="57"/>
              <w:jc w:val="both"/>
              <w:rPr>
                <w:rFonts w:asciiTheme="minorHAnsi" w:hAnsiTheme="minorHAnsi" w:cstheme="minorHAnsi"/>
                <w:snapToGrid w:val="0"/>
                <w:sz w:val="24"/>
                <w:szCs w:val="24"/>
              </w:rPr>
            </w:pPr>
            <w:r w:rsidRPr="004F3CB0">
              <w:rPr>
                <w:rFonts w:asciiTheme="minorHAnsi" w:hAnsiTheme="minorHAnsi" w:cstheme="minorHAnsi"/>
                <w:snapToGrid w:val="0"/>
                <w:sz w:val="24"/>
                <w:szCs w:val="24"/>
              </w:rPr>
              <w:t>Foru-araubideari dagokionez, aurrekontu-egonkortasunaren helburuari buruzko atalean ezarritakoa aplikatuko da.</w:t>
            </w:r>
          </w:p>
        </w:tc>
        <w:tc>
          <w:tcPr>
            <w:tcW w:w="4605" w:type="dxa"/>
            <w:tcBorders>
              <w:left w:val="single" w:sz="4" w:space="0" w:color="808080"/>
            </w:tcBorders>
          </w:tcPr>
          <w:p w14:paraId="5FBB9F06" w14:textId="77777777" w:rsidR="00AB71D7" w:rsidRPr="00737B82" w:rsidRDefault="00AB71D7" w:rsidP="0035738A">
            <w:pPr>
              <w:jc w:val="both"/>
              <w:rPr>
                <w:rFonts w:asciiTheme="minorHAnsi" w:hAnsiTheme="minorHAnsi" w:cstheme="minorHAnsi"/>
                <w:snapToGrid w:val="0"/>
                <w:sz w:val="24"/>
                <w:szCs w:val="24"/>
              </w:rPr>
            </w:pPr>
          </w:p>
          <w:p w14:paraId="401EF395" w14:textId="74795CF5" w:rsidR="00AB71D7" w:rsidRPr="00737B82" w:rsidRDefault="00AB71D7" w:rsidP="00AB71D7">
            <w:pPr>
              <w:jc w:val="both"/>
              <w:rPr>
                <w:rFonts w:asciiTheme="minorHAnsi" w:hAnsiTheme="minorHAnsi" w:cstheme="minorHAnsi"/>
                <w:sz w:val="24"/>
                <w:szCs w:val="24"/>
              </w:rPr>
            </w:pPr>
            <w:r w:rsidRPr="00737B82">
              <w:rPr>
                <w:rFonts w:asciiTheme="minorHAnsi" w:hAnsiTheme="minorHAnsi" w:cstheme="minorHAnsi"/>
                <w:sz w:val="24"/>
                <w:szCs w:val="24"/>
              </w:rPr>
              <w:t>En lo referente al régimen foral, es de aplicación lo establecido en el apartado referente al  objetivo de Estabilidad Presupuestaria.</w:t>
            </w:r>
          </w:p>
        </w:tc>
      </w:tr>
      <w:tr w:rsidR="00AB71D7" w:rsidRPr="008E7FCC" w14:paraId="7B75CE19" w14:textId="77777777" w:rsidTr="0035738A">
        <w:tc>
          <w:tcPr>
            <w:tcW w:w="4605" w:type="dxa"/>
            <w:tcBorders>
              <w:right w:val="single" w:sz="4" w:space="0" w:color="808080"/>
            </w:tcBorders>
          </w:tcPr>
          <w:p w14:paraId="791E4EFE" w14:textId="77777777" w:rsidR="00AB71D7" w:rsidRDefault="00AB71D7" w:rsidP="0035738A">
            <w:pPr>
              <w:ind w:right="57"/>
              <w:jc w:val="both"/>
              <w:rPr>
                <w:rFonts w:asciiTheme="minorHAnsi" w:hAnsiTheme="minorHAnsi" w:cstheme="minorHAnsi"/>
                <w:snapToGrid w:val="0"/>
                <w:sz w:val="24"/>
                <w:szCs w:val="24"/>
              </w:rPr>
            </w:pPr>
          </w:p>
          <w:p w14:paraId="3B8F1974" w14:textId="6490ECD2" w:rsidR="00AB71D7" w:rsidRPr="008E7FCC" w:rsidRDefault="004F3CB0" w:rsidP="00671D4E">
            <w:pPr>
              <w:ind w:right="57"/>
              <w:jc w:val="both"/>
              <w:rPr>
                <w:rFonts w:asciiTheme="minorHAnsi" w:hAnsiTheme="minorHAnsi" w:cstheme="minorHAnsi"/>
                <w:snapToGrid w:val="0"/>
                <w:sz w:val="24"/>
                <w:szCs w:val="24"/>
              </w:rPr>
            </w:pPr>
            <w:r w:rsidRPr="004F3CB0">
              <w:rPr>
                <w:rFonts w:asciiTheme="minorHAnsi" w:hAnsiTheme="minorHAnsi" w:cstheme="minorHAnsi"/>
                <w:snapToGrid w:val="0"/>
                <w:sz w:val="24"/>
                <w:szCs w:val="24"/>
              </w:rPr>
              <w:t xml:space="preserve">Hala ere, Finantza Iraunkortasunaren Helburuaren edo Zor Publikoaren kasuan, Foru Ogasunen berezitasunak Ekonomia Itunaren Batzorde Mistoaren erabakia eskatzen du, eta, beraz, jarraian azaltzen </w:t>
            </w:r>
            <w:r w:rsidR="007578DB" w:rsidRPr="004F3CB0">
              <w:rPr>
                <w:rFonts w:asciiTheme="minorHAnsi" w:hAnsiTheme="minorHAnsi" w:cstheme="minorHAnsi"/>
                <w:snapToGrid w:val="0"/>
                <w:sz w:val="24"/>
                <w:szCs w:val="24"/>
              </w:rPr>
              <w:t>da</w:t>
            </w:r>
            <w:r w:rsidR="007578DB">
              <w:rPr>
                <w:rFonts w:asciiTheme="minorHAnsi" w:hAnsiTheme="minorHAnsi" w:cstheme="minorHAnsi"/>
                <w:snapToGrid w:val="0"/>
                <w:sz w:val="24"/>
                <w:szCs w:val="24"/>
              </w:rPr>
              <w:t>.</w:t>
            </w:r>
          </w:p>
        </w:tc>
        <w:tc>
          <w:tcPr>
            <w:tcW w:w="4605" w:type="dxa"/>
            <w:tcBorders>
              <w:left w:val="single" w:sz="4" w:space="0" w:color="808080"/>
            </w:tcBorders>
          </w:tcPr>
          <w:p w14:paraId="7BD05A91" w14:textId="77777777" w:rsidR="00AB71D7" w:rsidRPr="00737B82" w:rsidRDefault="00AB71D7" w:rsidP="0035738A">
            <w:pPr>
              <w:jc w:val="both"/>
              <w:rPr>
                <w:rFonts w:asciiTheme="minorHAnsi" w:hAnsiTheme="minorHAnsi" w:cstheme="minorHAnsi"/>
                <w:snapToGrid w:val="0"/>
                <w:sz w:val="24"/>
                <w:szCs w:val="24"/>
              </w:rPr>
            </w:pPr>
          </w:p>
          <w:p w14:paraId="57D402A1" w14:textId="55D6BC13" w:rsidR="00AB71D7" w:rsidRPr="00737B82" w:rsidRDefault="00AB71D7" w:rsidP="00AB71D7">
            <w:pPr>
              <w:jc w:val="both"/>
              <w:rPr>
                <w:rFonts w:asciiTheme="minorHAnsi" w:hAnsiTheme="minorHAnsi" w:cstheme="minorHAnsi"/>
                <w:sz w:val="24"/>
                <w:szCs w:val="24"/>
              </w:rPr>
            </w:pPr>
            <w:r w:rsidRPr="00737B82">
              <w:rPr>
                <w:rFonts w:asciiTheme="minorHAnsi" w:hAnsiTheme="minorHAnsi" w:cstheme="minorHAnsi"/>
                <w:sz w:val="24"/>
                <w:szCs w:val="24"/>
              </w:rPr>
              <w:t>No obstante, en el caso del Objetivo de Sostenibilidad Financiera, o de Deuda Pública, la peculiaridad de las Haciendas Forales hace necesario el pronunciamiento de la Comisión Mixta del Concierto Económico, por lo que se expone a continuación.</w:t>
            </w:r>
          </w:p>
        </w:tc>
      </w:tr>
      <w:tr w:rsidR="00AB71D7" w:rsidRPr="008E7FCC" w14:paraId="235D52BA" w14:textId="77777777" w:rsidTr="0035738A">
        <w:tc>
          <w:tcPr>
            <w:tcW w:w="4605" w:type="dxa"/>
            <w:tcBorders>
              <w:right w:val="single" w:sz="4" w:space="0" w:color="808080"/>
            </w:tcBorders>
          </w:tcPr>
          <w:p w14:paraId="60CAAD98" w14:textId="77777777" w:rsidR="00AB71D7" w:rsidRDefault="00AB71D7" w:rsidP="0035738A">
            <w:pPr>
              <w:ind w:right="57"/>
              <w:jc w:val="both"/>
              <w:rPr>
                <w:rFonts w:asciiTheme="minorHAnsi" w:hAnsiTheme="minorHAnsi" w:cstheme="minorHAnsi"/>
                <w:snapToGrid w:val="0"/>
                <w:sz w:val="24"/>
                <w:szCs w:val="24"/>
              </w:rPr>
            </w:pPr>
          </w:p>
          <w:p w14:paraId="5A7278DC" w14:textId="4AB8A620" w:rsidR="0020406D" w:rsidRPr="008E7FCC" w:rsidRDefault="0020406D" w:rsidP="0035738A">
            <w:pPr>
              <w:ind w:right="57"/>
              <w:jc w:val="both"/>
              <w:rPr>
                <w:rFonts w:asciiTheme="minorHAnsi" w:hAnsiTheme="minorHAnsi" w:cstheme="minorHAnsi"/>
                <w:snapToGrid w:val="0"/>
                <w:sz w:val="24"/>
                <w:szCs w:val="24"/>
              </w:rPr>
            </w:pPr>
            <w:r w:rsidRPr="0020406D">
              <w:rPr>
                <w:rFonts w:asciiTheme="minorHAnsi" w:hAnsiTheme="minorHAnsi" w:cstheme="minorHAnsi"/>
                <w:snapToGrid w:val="0"/>
                <w:sz w:val="24"/>
                <w:szCs w:val="24"/>
              </w:rPr>
              <w:t>2026ko martxoaren 25eko Ekonomia Itunaren Batzorde Mistoak Foru Aldundien zor publikoko helburu hau ezarri zuen 2025eko ekitaldirako:</w:t>
            </w:r>
          </w:p>
        </w:tc>
        <w:tc>
          <w:tcPr>
            <w:tcW w:w="4605" w:type="dxa"/>
            <w:tcBorders>
              <w:left w:val="single" w:sz="4" w:space="0" w:color="808080"/>
            </w:tcBorders>
          </w:tcPr>
          <w:p w14:paraId="74936530" w14:textId="77777777" w:rsidR="00AB71D7" w:rsidRPr="00737B82" w:rsidRDefault="00AB71D7" w:rsidP="0035738A">
            <w:pPr>
              <w:jc w:val="both"/>
              <w:rPr>
                <w:rFonts w:asciiTheme="minorHAnsi" w:hAnsiTheme="minorHAnsi" w:cstheme="minorHAnsi"/>
                <w:snapToGrid w:val="0"/>
                <w:sz w:val="24"/>
                <w:szCs w:val="24"/>
              </w:rPr>
            </w:pPr>
          </w:p>
          <w:p w14:paraId="559DD766" w14:textId="2074BB0B" w:rsidR="00AB71D7" w:rsidRPr="00737B82" w:rsidRDefault="00671D4E" w:rsidP="0035738A">
            <w:pPr>
              <w:jc w:val="both"/>
              <w:rPr>
                <w:rFonts w:asciiTheme="minorHAnsi" w:hAnsiTheme="minorHAnsi" w:cstheme="minorHAnsi"/>
                <w:sz w:val="24"/>
                <w:szCs w:val="24"/>
              </w:rPr>
            </w:pPr>
            <w:r w:rsidRPr="00737B82">
              <w:rPr>
                <w:rFonts w:asciiTheme="minorHAnsi" w:hAnsiTheme="minorHAnsi" w:cstheme="minorHAnsi"/>
                <w:sz w:val="24"/>
                <w:szCs w:val="24"/>
              </w:rPr>
              <w:t xml:space="preserve">La Comisión Mixta del Concierto Económico de </w:t>
            </w:r>
            <w:r w:rsidR="000525D8">
              <w:rPr>
                <w:rFonts w:asciiTheme="minorHAnsi" w:hAnsiTheme="minorHAnsi" w:cstheme="minorHAnsi"/>
                <w:sz w:val="24"/>
                <w:szCs w:val="24"/>
              </w:rPr>
              <w:t>25 de marzo de 2026</w:t>
            </w:r>
            <w:r w:rsidRPr="00737B82">
              <w:rPr>
                <w:rFonts w:asciiTheme="minorHAnsi" w:hAnsiTheme="minorHAnsi" w:cstheme="minorHAnsi"/>
                <w:sz w:val="24"/>
                <w:szCs w:val="24"/>
              </w:rPr>
              <w:t xml:space="preserve">, fijó el siguiente objetivo de deuda pública </w:t>
            </w:r>
            <w:r w:rsidR="0020406D">
              <w:rPr>
                <w:rFonts w:asciiTheme="minorHAnsi" w:hAnsiTheme="minorHAnsi" w:cstheme="minorHAnsi"/>
                <w:sz w:val="24"/>
                <w:szCs w:val="24"/>
              </w:rPr>
              <w:t>de las Diputaciones Forales para el ejercicio 2025:</w:t>
            </w:r>
          </w:p>
        </w:tc>
      </w:tr>
    </w:tbl>
    <w:p w14:paraId="130762C2" w14:textId="77777777" w:rsidR="00671D4E" w:rsidRDefault="00671D4E"/>
    <w:p w14:paraId="39F42C4C" w14:textId="66D45201" w:rsidR="00671D4E" w:rsidRPr="002B73F8" w:rsidRDefault="00671D4E" w:rsidP="00671D4E">
      <w:pPr>
        <w:jc w:val="center"/>
        <w:rPr>
          <w:rFonts w:asciiTheme="minorHAnsi" w:hAnsiTheme="minorHAnsi" w:cstheme="minorHAnsi"/>
          <w:b/>
          <w:bCs/>
          <w:sz w:val="24"/>
          <w:szCs w:val="24"/>
          <w:u w:val="single"/>
        </w:rPr>
      </w:pPr>
      <w:r w:rsidRPr="00671D4E">
        <w:rPr>
          <w:rFonts w:asciiTheme="minorHAnsi" w:hAnsiTheme="minorHAnsi" w:cstheme="minorHAnsi"/>
          <w:b/>
          <w:bCs/>
          <w:sz w:val="24"/>
          <w:szCs w:val="24"/>
          <w:u w:val="single"/>
        </w:rPr>
        <w:t>202</w:t>
      </w:r>
      <w:r w:rsidR="000525D8">
        <w:rPr>
          <w:rFonts w:asciiTheme="minorHAnsi" w:hAnsiTheme="minorHAnsi" w:cstheme="minorHAnsi"/>
          <w:b/>
          <w:bCs/>
          <w:sz w:val="24"/>
          <w:szCs w:val="24"/>
          <w:u w:val="single"/>
        </w:rPr>
        <w:t>5</w:t>
      </w:r>
      <w:r w:rsidRPr="00671D4E">
        <w:rPr>
          <w:rFonts w:asciiTheme="minorHAnsi" w:hAnsiTheme="minorHAnsi" w:cstheme="minorHAnsi"/>
          <w:b/>
          <w:bCs/>
          <w:sz w:val="24"/>
          <w:szCs w:val="24"/>
          <w:u w:val="single"/>
        </w:rPr>
        <w:t xml:space="preserve"> EKITALDIRAKO ZOR PUBLIKOAREN HELBURUA</w:t>
      </w:r>
    </w:p>
    <w:p w14:paraId="67544403" w14:textId="1A5B06A5" w:rsidR="00671D4E" w:rsidRPr="002B73F8" w:rsidRDefault="00671D4E" w:rsidP="00671D4E">
      <w:pPr>
        <w:jc w:val="center"/>
        <w:rPr>
          <w:rFonts w:asciiTheme="minorHAnsi" w:hAnsiTheme="minorHAnsi" w:cstheme="minorHAnsi"/>
          <w:b/>
          <w:bCs/>
          <w:sz w:val="24"/>
          <w:szCs w:val="24"/>
          <w:u w:val="single"/>
        </w:rPr>
      </w:pPr>
      <w:r>
        <w:rPr>
          <w:rFonts w:asciiTheme="minorHAnsi" w:hAnsiTheme="minorHAnsi" w:cstheme="minorHAnsi"/>
          <w:b/>
          <w:bCs/>
          <w:sz w:val="24"/>
          <w:szCs w:val="24"/>
          <w:u w:val="single"/>
        </w:rPr>
        <w:t>OBJETIVO DE DEUDA PÚBLICA</w:t>
      </w:r>
      <w:r w:rsidRPr="002B73F8">
        <w:rPr>
          <w:rFonts w:asciiTheme="minorHAnsi" w:hAnsiTheme="minorHAnsi" w:cstheme="minorHAnsi"/>
          <w:b/>
          <w:bCs/>
          <w:sz w:val="24"/>
          <w:szCs w:val="24"/>
          <w:u w:val="single"/>
        </w:rPr>
        <w:t xml:space="preserve"> PARA EL EJERCICIO 202</w:t>
      </w:r>
      <w:r w:rsidR="000525D8">
        <w:rPr>
          <w:rFonts w:asciiTheme="minorHAnsi" w:hAnsiTheme="minorHAnsi" w:cstheme="minorHAnsi"/>
          <w:b/>
          <w:bCs/>
          <w:sz w:val="24"/>
          <w:szCs w:val="24"/>
          <w:u w:val="single"/>
        </w:rPr>
        <w:t>5</w:t>
      </w:r>
    </w:p>
    <w:p w14:paraId="36855F70" w14:textId="77777777" w:rsidR="00671D4E" w:rsidRDefault="00671D4E" w:rsidP="00671D4E">
      <w:pPr>
        <w:jc w:val="center"/>
        <w:rPr>
          <w:rFonts w:asciiTheme="minorHAnsi" w:hAnsiTheme="minorHAnsi" w:cstheme="minorHAnsi"/>
          <w:sz w:val="24"/>
          <w:szCs w:val="24"/>
        </w:rPr>
      </w:pPr>
      <w:r w:rsidRPr="002B73F8">
        <w:rPr>
          <w:rFonts w:asciiTheme="minorHAnsi" w:hAnsiTheme="minorHAnsi" w:cstheme="minorHAnsi"/>
          <w:sz w:val="24"/>
          <w:szCs w:val="24"/>
        </w:rPr>
        <w:t xml:space="preserve">(EAEko BPGaren ehunekoan) </w:t>
      </w:r>
      <w:r>
        <w:rPr>
          <w:rFonts w:asciiTheme="minorHAnsi" w:hAnsiTheme="minorHAnsi" w:cstheme="minorHAnsi"/>
          <w:sz w:val="24"/>
          <w:szCs w:val="24"/>
        </w:rPr>
        <w:t xml:space="preserve">/ </w:t>
      </w:r>
      <w:r w:rsidRPr="002B73F8">
        <w:rPr>
          <w:rFonts w:asciiTheme="minorHAnsi" w:hAnsiTheme="minorHAnsi" w:cstheme="minorHAnsi"/>
          <w:sz w:val="24"/>
          <w:szCs w:val="24"/>
        </w:rPr>
        <w:t>(En porcentaje del PIB de la CAPV)</w:t>
      </w:r>
    </w:p>
    <w:p w14:paraId="35AB19B0" w14:textId="77777777" w:rsidR="00671D4E" w:rsidRPr="002B73F8" w:rsidRDefault="00671D4E" w:rsidP="00671D4E">
      <w:pPr>
        <w:jc w:val="center"/>
        <w:rPr>
          <w:rFonts w:asciiTheme="minorHAnsi" w:hAnsiTheme="minorHAnsi" w:cstheme="minorHAnsi"/>
          <w:sz w:val="24"/>
          <w:szCs w:val="24"/>
        </w:rPr>
      </w:pPr>
    </w:p>
    <w:tbl>
      <w:tblPr>
        <w:tblStyle w:val="Tablaconcuadrcula"/>
        <w:tblW w:w="0" w:type="auto"/>
        <w:jc w:val="center"/>
        <w:tblLook w:val="04A0" w:firstRow="1" w:lastRow="0" w:firstColumn="1" w:lastColumn="0" w:noHBand="0" w:noVBand="1"/>
      </w:tblPr>
      <w:tblGrid>
        <w:gridCol w:w="1696"/>
      </w:tblGrid>
      <w:tr w:rsidR="00671D4E" w:rsidRPr="00A44ECA" w14:paraId="672D5425" w14:textId="77777777" w:rsidTr="0035738A">
        <w:trPr>
          <w:trHeight w:val="510"/>
          <w:jc w:val="center"/>
        </w:trPr>
        <w:tc>
          <w:tcPr>
            <w:tcW w:w="1696" w:type="dxa"/>
            <w:vAlign w:val="center"/>
          </w:tcPr>
          <w:p w14:paraId="00055227" w14:textId="30C5764A" w:rsidR="00671D4E" w:rsidRPr="00A44ECA" w:rsidRDefault="00671D4E" w:rsidP="0035738A">
            <w:pPr>
              <w:jc w:val="center"/>
              <w:rPr>
                <w:rFonts w:asciiTheme="minorHAnsi" w:hAnsiTheme="minorHAnsi" w:cstheme="minorHAnsi"/>
                <w:b/>
                <w:bCs/>
                <w:sz w:val="24"/>
                <w:szCs w:val="24"/>
              </w:rPr>
            </w:pPr>
            <w:r w:rsidRPr="00A44ECA">
              <w:rPr>
                <w:rFonts w:asciiTheme="minorHAnsi" w:hAnsiTheme="minorHAnsi" w:cstheme="minorHAnsi"/>
                <w:b/>
                <w:bCs/>
                <w:sz w:val="24"/>
                <w:szCs w:val="24"/>
              </w:rPr>
              <w:t>202</w:t>
            </w:r>
            <w:r w:rsidR="000525D8">
              <w:rPr>
                <w:rFonts w:asciiTheme="minorHAnsi" w:hAnsiTheme="minorHAnsi" w:cstheme="minorHAnsi"/>
                <w:b/>
                <w:bCs/>
                <w:sz w:val="24"/>
                <w:szCs w:val="24"/>
              </w:rPr>
              <w:t>5</w:t>
            </w:r>
          </w:p>
        </w:tc>
      </w:tr>
      <w:tr w:rsidR="00671D4E" w:rsidRPr="00A44ECA" w14:paraId="52426479" w14:textId="77777777" w:rsidTr="0035738A">
        <w:trPr>
          <w:trHeight w:val="510"/>
          <w:jc w:val="center"/>
        </w:trPr>
        <w:tc>
          <w:tcPr>
            <w:tcW w:w="1696" w:type="dxa"/>
            <w:vAlign w:val="center"/>
          </w:tcPr>
          <w:p w14:paraId="5101EF33" w14:textId="7F8B791C" w:rsidR="00671D4E" w:rsidRPr="00A44ECA" w:rsidRDefault="0020406D" w:rsidP="0035738A">
            <w:pPr>
              <w:jc w:val="center"/>
              <w:rPr>
                <w:rFonts w:asciiTheme="minorHAnsi" w:hAnsiTheme="minorHAnsi" w:cstheme="minorHAnsi"/>
                <w:b/>
                <w:bCs/>
                <w:sz w:val="24"/>
                <w:szCs w:val="24"/>
              </w:rPr>
            </w:pPr>
            <w:r>
              <w:rPr>
                <w:rFonts w:asciiTheme="minorHAnsi" w:hAnsiTheme="minorHAnsi" w:cstheme="minorHAnsi"/>
                <w:b/>
                <w:bCs/>
                <w:sz w:val="24"/>
                <w:szCs w:val="24"/>
              </w:rPr>
              <w:t>0,01</w:t>
            </w:r>
          </w:p>
        </w:tc>
      </w:tr>
    </w:tbl>
    <w:p w14:paraId="2FD2F907" w14:textId="77777777" w:rsidR="00671D4E" w:rsidRDefault="00671D4E"/>
    <w:tbl>
      <w:tblPr>
        <w:tblW w:w="0" w:type="auto"/>
        <w:tblLook w:val="01E0" w:firstRow="1" w:lastRow="1" w:firstColumn="1" w:lastColumn="1" w:noHBand="0" w:noVBand="0"/>
      </w:tblPr>
      <w:tblGrid>
        <w:gridCol w:w="4605"/>
        <w:gridCol w:w="4605"/>
      </w:tblGrid>
      <w:tr w:rsidR="00AB71D7" w:rsidRPr="008E7FCC" w14:paraId="7801D391" w14:textId="77777777" w:rsidTr="0035738A">
        <w:tc>
          <w:tcPr>
            <w:tcW w:w="4605" w:type="dxa"/>
            <w:tcBorders>
              <w:right w:val="single" w:sz="4" w:space="0" w:color="808080"/>
            </w:tcBorders>
          </w:tcPr>
          <w:p w14:paraId="2F19B5DA" w14:textId="77777777" w:rsidR="00AB71D7" w:rsidRDefault="00AB71D7" w:rsidP="0035738A">
            <w:pPr>
              <w:ind w:right="57"/>
              <w:jc w:val="both"/>
              <w:rPr>
                <w:rFonts w:asciiTheme="minorHAnsi" w:hAnsiTheme="minorHAnsi" w:cstheme="minorHAnsi"/>
                <w:snapToGrid w:val="0"/>
                <w:sz w:val="24"/>
                <w:szCs w:val="24"/>
              </w:rPr>
            </w:pPr>
          </w:p>
          <w:p w14:paraId="69226715" w14:textId="2C55547D" w:rsidR="00AB71D7" w:rsidRPr="008E7FCC" w:rsidRDefault="00AB71D7" w:rsidP="00AB71D7">
            <w:pPr>
              <w:ind w:right="57"/>
              <w:jc w:val="both"/>
              <w:rPr>
                <w:rFonts w:asciiTheme="minorHAnsi" w:hAnsiTheme="minorHAnsi" w:cstheme="minorHAnsi"/>
                <w:snapToGrid w:val="0"/>
                <w:sz w:val="24"/>
                <w:szCs w:val="24"/>
              </w:rPr>
            </w:pPr>
            <w:r w:rsidRPr="00AB71D7">
              <w:rPr>
                <w:rFonts w:asciiTheme="minorHAnsi" w:hAnsiTheme="minorHAnsi" w:cstheme="minorHAnsi"/>
                <w:snapToGrid w:val="0"/>
                <w:sz w:val="24"/>
                <w:szCs w:val="24"/>
              </w:rPr>
              <w:t xml:space="preserve">Kontuan hartuta BPGren argitalpen ofiziala estatu osorako eta autonomia erkidego bakoitzerako egiten dela, eta ez dela </w:t>
            </w:r>
            <w:r w:rsidRPr="00AB71D7">
              <w:rPr>
                <w:rFonts w:asciiTheme="minorHAnsi" w:hAnsiTheme="minorHAnsi" w:cstheme="minorHAnsi"/>
                <w:snapToGrid w:val="0"/>
                <w:sz w:val="24"/>
                <w:szCs w:val="24"/>
              </w:rPr>
              <w:lastRenderedPageBreak/>
              <w:t>Herrialde Historiko edo probintzien mailako argitalpenik egiten, ezin da argitu Arabako foru sektore publikoak ezarritako zor publiko hori bete duen ala ez duen bete, BPGren gaineko portzentaje baten moduan finkatzen baita.</w:t>
            </w:r>
          </w:p>
        </w:tc>
        <w:tc>
          <w:tcPr>
            <w:tcW w:w="4605" w:type="dxa"/>
            <w:tcBorders>
              <w:left w:val="single" w:sz="4" w:space="0" w:color="808080"/>
            </w:tcBorders>
          </w:tcPr>
          <w:p w14:paraId="67D98537" w14:textId="77777777" w:rsidR="00AB71D7" w:rsidRPr="00737B82" w:rsidRDefault="00AB71D7" w:rsidP="0035738A">
            <w:pPr>
              <w:jc w:val="both"/>
              <w:rPr>
                <w:rFonts w:asciiTheme="minorHAnsi" w:hAnsiTheme="minorHAnsi" w:cstheme="minorHAnsi"/>
                <w:snapToGrid w:val="0"/>
                <w:sz w:val="24"/>
                <w:szCs w:val="24"/>
              </w:rPr>
            </w:pPr>
          </w:p>
          <w:p w14:paraId="6BF6D978" w14:textId="4163430F" w:rsidR="00AB71D7" w:rsidRPr="008E7FCC" w:rsidRDefault="00AB71D7" w:rsidP="00AB71D7">
            <w:pPr>
              <w:jc w:val="both"/>
              <w:rPr>
                <w:rFonts w:asciiTheme="minorHAnsi" w:hAnsiTheme="minorHAnsi" w:cstheme="minorHAnsi"/>
                <w:sz w:val="24"/>
                <w:szCs w:val="24"/>
              </w:rPr>
            </w:pPr>
            <w:r w:rsidRPr="00AB71D7">
              <w:rPr>
                <w:rFonts w:asciiTheme="minorHAnsi" w:hAnsiTheme="minorHAnsi" w:cstheme="minorHAnsi"/>
                <w:sz w:val="24"/>
                <w:szCs w:val="24"/>
              </w:rPr>
              <w:t xml:space="preserve">Dado que la publicación oficial del PIB se realiza para el conjunto del Estado y para cada una de las Comunidades Autónomas, </w:t>
            </w:r>
            <w:r w:rsidRPr="00AB71D7">
              <w:rPr>
                <w:rFonts w:asciiTheme="minorHAnsi" w:hAnsiTheme="minorHAnsi" w:cstheme="minorHAnsi"/>
                <w:sz w:val="24"/>
                <w:szCs w:val="24"/>
              </w:rPr>
              <w:lastRenderedPageBreak/>
              <w:t xml:space="preserve">pero que no </w:t>
            </w:r>
            <w:r w:rsidR="0020406D" w:rsidRPr="00AB71D7">
              <w:rPr>
                <w:rFonts w:asciiTheme="minorHAnsi" w:hAnsiTheme="minorHAnsi" w:cstheme="minorHAnsi"/>
                <w:sz w:val="24"/>
                <w:szCs w:val="24"/>
              </w:rPr>
              <w:t>se publica</w:t>
            </w:r>
            <w:r w:rsidRPr="00AB71D7">
              <w:rPr>
                <w:rFonts w:asciiTheme="minorHAnsi" w:hAnsiTheme="minorHAnsi" w:cstheme="minorHAnsi"/>
                <w:sz w:val="24"/>
                <w:szCs w:val="24"/>
              </w:rPr>
              <w:t xml:space="preserve"> a nivel de Territorios Históricos ni de Provincias, no se puede determinar el cumplimiento o incumplimiento del Sector Público Foral de Álava del objetivo de deuda pública fijado, ya que éste se fija como un porcentaje sobre el PIB.</w:t>
            </w:r>
          </w:p>
        </w:tc>
      </w:tr>
      <w:tr w:rsidR="00845979" w:rsidRPr="008E7FCC" w14:paraId="420492F7" w14:textId="77777777" w:rsidTr="005133A3">
        <w:tc>
          <w:tcPr>
            <w:tcW w:w="4605" w:type="dxa"/>
            <w:tcBorders>
              <w:right w:val="single" w:sz="4" w:space="0" w:color="808080"/>
            </w:tcBorders>
          </w:tcPr>
          <w:p w14:paraId="47279C4E" w14:textId="77777777" w:rsidR="008E7FCC" w:rsidRDefault="008E7FCC" w:rsidP="006F19A5">
            <w:pPr>
              <w:ind w:right="57"/>
              <w:jc w:val="both"/>
              <w:rPr>
                <w:rFonts w:asciiTheme="minorHAnsi" w:hAnsiTheme="minorHAnsi" w:cstheme="minorHAnsi"/>
                <w:snapToGrid w:val="0"/>
                <w:sz w:val="24"/>
                <w:szCs w:val="24"/>
              </w:rPr>
            </w:pPr>
          </w:p>
          <w:p w14:paraId="3FC17C86" w14:textId="2F702F6A" w:rsidR="00343BCB" w:rsidRPr="008E7FCC" w:rsidRDefault="004F3CB0" w:rsidP="006F19A5">
            <w:pPr>
              <w:ind w:right="57"/>
              <w:jc w:val="both"/>
              <w:rPr>
                <w:rFonts w:asciiTheme="minorHAnsi" w:hAnsiTheme="minorHAnsi" w:cstheme="minorHAnsi"/>
                <w:snapToGrid w:val="0"/>
                <w:sz w:val="24"/>
                <w:szCs w:val="24"/>
              </w:rPr>
            </w:pPr>
            <w:r w:rsidRPr="004F3CB0">
              <w:rPr>
                <w:rFonts w:asciiTheme="minorHAnsi" w:hAnsiTheme="minorHAnsi" w:cstheme="minorHAnsi"/>
                <w:snapToGrid w:val="0"/>
                <w:sz w:val="24"/>
                <w:szCs w:val="24"/>
              </w:rPr>
              <w:t>Txosten honen xede den Kontu Orokorrean 202</w:t>
            </w:r>
            <w:r w:rsidR="00CF3831">
              <w:rPr>
                <w:rFonts w:asciiTheme="minorHAnsi" w:hAnsiTheme="minorHAnsi" w:cstheme="minorHAnsi"/>
                <w:snapToGrid w:val="0"/>
                <w:sz w:val="24"/>
                <w:szCs w:val="24"/>
              </w:rPr>
              <w:t>5</w:t>
            </w:r>
            <w:r w:rsidRPr="004F3CB0">
              <w:rPr>
                <w:rFonts w:asciiTheme="minorHAnsi" w:hAnsiTheme="minorHAnsi" w:cstheme="minorHAnsi"/>
                <w:snapToGrid w:val="0"/>
                <w:sz w:val="24"/>
                <w:szCs w:val="24"/>
              </w:rPr>
              <w:t>ko abenduaren 31n formalizatutako eta prestatutako zor publikoaren banakapena, Arabako Foru Aldundiaren mendeko Administrazio Publikoaren sektorea osatzen duen erakunde bakoitzarena, honako hau da:</w:t>
            </w:r>
          </w:p>
        </w:tc>
        <w:tc>
          <w:tcPr>
            <w:tcW w:w="4605" w:type="dxa"/>
            <w:tcBorders>
              <w:left w:val="single" w:sz="4" w:space="0" w:color="808080"/>
            </w:tcBorders>
          </w:tcPr>
          <w:p w14:paraId="37B3C626" w14:textId="77777777" w:rsidR="00A475DB" w:rsidRPr="00922A3F" w:rsidRDefault="00A475DB" w:rsidP="006F19A5">
            <w:pPr>
              <w:jc w:val="both"/>
              <w:rPr>
                <w:rFonts w:asciiTheme="minorHAnsi" w:hAnsiTheme="minorHAnsi" w:cstheme="minorHAnsi"/>
                <w:snapToGrid w:val="0"/>
                <w:sz w:val="24"/>
                <w:szCs w:val="24"/>
              </w:rPr>
            </w:pPr>
          </w:p>
          <w:p w14:paraId="79853E9F" w14:textId="2EEAF6B3" w:rsidR="00845979" w:rsidRPr="00922A3F" w:rsidRDefault="007F09F2" w:rsidP="006F19A5">
            <w:pPr>
              <w:jc w:val="both"/>
              <w:rPr>
                <w:rFonts w:asciiTheme="minorHAnsi" w:hAnsiTheme="minorHAnsi" w:cstheme="minorHAnsi"/>
                <w:snapToGrid w:val="0"/>
                <w:sz w:val="24"/>
                <w:szCs w:val="24"/>
              </w:rPr>
            </w:pPr>
            <w:r w:rsidRPr="00922A3F">
              <w:rPr>
                <w:rFonts w:asciiTheme="minorHAnsi" w:hAnsiTheme="minorHAnsi" w:cstheme="minorHAnsi"/>
                <w:snapToGrid w:val="0"/>
                <w:sz w:val="24"/>
                <w:szCs w:val="24"/>
              </w:rPr>
              <w:t>El desglose de la deuda pública formalizada y dispuesta al 31 de diciembre de 20</w:t>
            </w:r>
            <w:r w:rsidR="008E7FCC" w:rsidRPr="00922A3F">
              <w:rPr>
                <w:rFonts w:asciiTheme="minorHAnsi" w:hAnsiTheme="minorHAnsi" w:cstheme="minorHAnsi"/>
                <w:snapToGrid w:val="0"/>
                <w:sz w:val="24"/>
                <w:szCs w:val="24"/>
              </w:rPr>
              <w:t>2</w:t>
            </w:r>
            <w:r w:rsidR="00CF3831">
              <w:rPr>
                <w:rFonts w:asciiTheme="minorHAnsi" w:hAnsiTheme="minorHAnsi" w:cstheme="minorHAnsi"/>
                <w:snapToGrid w:val="0"/>
                <w:sz w:val="24"/>
                <w:szCs w:val="24"/>
              </w:rPr>
              <w:t>5</w:t>
            </w:r>
            <w:r w:rsidRPr="00922A3F">
              <w:rPr>
                <w:rFonts w:asciiTheme="minorHAnsi" w:hAnsiTheme="minorHAnsi" w:cstheme="minorHAnsi"/>
                <w:snapToGrid w:val="0"/>
                <w:sz w:val="24"/>
                <w:szCs w:val="24"/>
              </w:rPr>
              <w:t xml:space="preserve"> en l</w:t>
            </w:r>
            <w:r w:rsidR="00E81B9E" w:rsidRPr="00922A3F">
              <w:rPr>
                <w:rFonts w:asciiTheme="minorHAnsi" w:hAnsiTheme="minorHAnsi" w:cstheme="minorHAnsi"/>
                <w:snapToGrid w:val="0"/>
                <w:sz w:val="24"/>
                <w:szCs w:val="24"/>
              </w:rPr>
              <w:t>a</w:t>
            </w:r>
            <w:r w:rsidRPr="00922A3F">
              <w:rPr>
                <w:rFonts w:asciiTheme="minorHAnsi" w:hAnsiTheme="minorHAnsi" w:cstheme="minorHAnsi"/>
                <w:snapToGrid w:val="0"/>
                <w:sz w:val="24"/>
                <w:szCs w:val="24"/>
              </w:rPr>
              <w:t xml:space="preserve"> Cuenta General objeto del presente informe, por cada una de las entidades que conforman el Sector Administración Pública dependiente de la Diputación Foral de </w:t>
            </w:r>
            <w:r w:rsidR="00343BCB" w:rsidRPr="00922A3F">
              <w:rPr>
                <w:rFonts w:asciiTheme="minorHAnsi" w:hAnsiTheme="minorHAnsi" w:cstheme="minorHAnsi"/>
                <w:snapToGrid w:val="0"/>
                <w:sz w:val="24"/>
                <w:szCs w:val="24"/>
              </w:rPr>
              <w:t>Á</w:t>
            </w:r>
            <w:r w:rsidRPr="00922A3F">
              <w:rPr>
                <w:rFonts w:asciiTheme="minorHAnsi" w:hAnsiTheme="minorHAnsi" w:cstheme="minorHAnsi"/>
                <w:snapToGrid w:val="0"/>
                <w:sz w:val="24"/>
                <w:szCs w:val="24"/>
              </w:rPr>
              <w:t>lava, es el siguiente</w:t>
            </w:r>
            <w:r w:rsidR="0011151B" w:rsidRPr="00922A3F">
              <w:rPr>
                <w:rFonts w:asciiTheme="minorHAnsi" w:hAnsiTheme="minorHAnsi" w:cstheme="minorHAnsi"/>
                <w:snapToGrid w:val="0"/>
                <w:sz w:val="24"/>
                <w:szCs w:val="24"/>
              </w:rPr>
              <w:t>:</w:t>
            </w:r>
          </w:p>
          <w:p w14:paraId="7CD2E769" w14:textId="21A607C8" w:rsidR="00A475DB" w:rsidRPr="00922A3F" w:rsidRDefault="00A475DB" w:rsidP="00061C02">
            <w:pPr>
              <w:jc w:val="both"/>
              <w:rPr>
                <w:rFonts w:asciiTheme="minorHAnsi" w:hAnsiTheme="minorHAnsi" w:cstheme="minorHAnsi"/>
                <w:sz w:val="24"/>
                <w:szCs w:val="24"/>
              </w:rPr>
            </w:pPr>
          </w:p>
        </w:tc>
      </w:tr>
      <w:tr w:rsidR="00E81B9E" w:rsidRPr="008E7FCC" w14:paraId="5BE363C7" w14:textId="77777777" w:rsidTr="00061C02">
        <w:trPr>
          <w:trHeight w:val="20"/>
        </w:trPr>
        <w:tc>
          <w:tcPr>
            <w:tcW w:w="4605" w:type="dxa"/>
            <w:tcBorders>
              <w:right w:val="single" w:sz="4" w:space="0" w:color="808080"/>
            </w:tcBorders>
          </w:tcPr>
          <w:p w14:paraId="4486F641" w14:textId="66AE27A8" w:rsidR="002719EC" w:rsidRDefault="002719EC" w:rsidP="00C2164F">
            <w:pPr>
              <w:numPr>
                <w:ilvl w:val="0"/>
                <w:numId w:val="17"/>
              </w:num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Arabako Foru Aldundia: </w:t>
            </w:r>
            <w:r w:rsidR="00D32B4B" w:rsidRPr="00D32B4B">
              <w:rPr>
                <w:rFonts w:asciiTheme="minorHAnsi" w:hAnsiTheme="minorHAnsi" w:cstheme="minorHAnsi"/>
                <w:snapToGrid w:val="0"/>
                <w:sz w:val="24"/>
                <w:szCs w:val="24"/>
              </w:rPr>
              <w:t>5</w:t>
            </w:r>
            <w:r w:rsidR="0069657D">
              <w:rPr>
                <w:rFonts w:asciiTheme="minorHAnsi" w:hAnsiTheme="minorHAnsi" w:cstheme="minorHAnsi"/>
                <w:snapToGrid w:val="0"/>
                <w:sz w:val="24"/>
                <w:szCs w:val="24"/>
              </w:rPr>
              <w:t>15.291.541,53</w:t>
            </w:r>
            <w:r w:rsidR="0069657D" w:rsidRPr="00D32B4B">
              <w:rPr>
                <w:rFonts w:asciiTheme="minorHAnsi" w:hAnsiTheme="minorHAnsi" w:cstheme="minorHAnsi"/>
                <w:snapToGrid w:val="0"/>
                <w:sz w:val="24"/>
                <w:szCs w:val="24"/>
              </w:rPr>
              <w:t xml:space="preserve"> euro</w:t>
            </w:r>
          </w:p>
          <w:p w14:paraId="0ED9FDFA" w14:textId="77777777" w:rsidR="002A71FE" w:rsidRPr="008E7FCC" w:rsidRDefault="002A71FE" w:rsidP="002A71FE">
            <w:pPr>
              <w:ind w:left="720"/>
              <w:jc w:val="both"/>
              <w:rPr>
                <w:rFonts w:asciiTheme="minorHAnsi" w:hAnsiTheme="minorHAnsi" w:cstheme="minorHAnsi"/>
                <w:snapToGrid w:val="0"/>
                <w:sz w:val="24"/>
                <w:szCs w:val="24"/>
              </w:rPr>
            </w:pPr>
          </w:p>
          <w:p w14:paraId="08A2045E" w14:textId="02790EDD" w:rsidR="00740837" w:rsidRPr="008E7FCC" w:rsidRDefault="00740837" w:rsidP="00C2164F">
            <w:pPr>
              <w:numPr>
                <w:ilvl w:val="0"/>
                <w:numId w:val="17"/>
              </w:numPr>
              <w:ind w:left="714" w:hanging="3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 Garapen Agentzia SA: </w:t>
            </w:r>
            <w:r w:rsidR="0069657D">
              <w:rPr>
                <w:rFonts w:asciiTheme="minorHAnsi" w:hAnsiTheme="minorHAnsi" w:cstheme="minorHAnsi"/>
                <w:snapToGrid w:val="0"/>
                <w:sz w:val="24"/>
                <w:szCs w:val="24"/>
              </w:rPr>
              <w:t>609.757,48</w:t>
            </w:r>
            <w:r w:rsidR="0069657D" w:rsidRPr="00D32B4B">
              <w:rPr>
                <w:rFonts w:asciiTheme="minorHAnsi" w:hAnsiTheme="minorHAnsi" w:cstheme="minorHAnsi"/>
                <w:snapToGrid w:val="0"/>
                <w:sz w:val="24"/>
                <w:szCs w:val="24"/>
              </w:rPr>
              <w:t xml:space="preserve"> euro</w:t>
            </w:r>
          </w:p>
          <w:p w14:paraId="4A8E3B14" w14:textId="77777777" w:rsidR="00E81B9E" w:rsidRPr="008E7FCC" w:rsidRDefault="00E81B9E" w:rsidP="00C2164F">
            <w:pPr>
              <w:ind w:left="720"/>
              <w:jc w:val="both"/>
              <w:rPr>
                <w:rFonts w:asciiTheme="minorHAnsi" w:hAnsiTheme="minorHAnsi" w:cstheme="minorHAnsi"/>
                <w:snapToGrid w:val="0"/>
                <w:sz w:val="24"/>
                <w:szCs w:val="24"/>
              </w:rPr>
            </w:pPr>
          </w:p>
        </w:tc>
        <w:tc>
          <w:tcPr>
            <w:tcW w:w="4605" w:type="dxa"/>
            <w:tcBorders>
              <w:left w:val="single" w:sz="4" w:space="0" w:color="808080"/>
            </w:tcBorders>
          </w:tcPr>
          <w:p w14:paraId="4D7D3932" w14:textId="296A7AA7" w:rsidR="00E81B9E" w:rsidRDefault="00E81B9E" w:rsidP="00C2164F">
            <w:pPr>
              <w:numPr>
                <w:ilvl w:val="0"/>
                <w:numId w:val="17"/>
              </w:numPr>
              <w:ind w:left="714" w:hanging="3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Diputación Foral de Álava: </w:t>
            </w:r>
            <w:r w:rsidR="00D32B4B" w:rsidRPr="00D32B4B">
              <w:rPr>
                <w:rFonts w:asciiTheme="minorHAnsi" w:hAnsiTheme="minorHAnsi" w:cstheme="minorHAnsi"/>
                <w:snapToGrid w:val="0"/>
                <w:sz w:val="24"/>
                <w:szCs w:val="24"/>
              </w:rPr>
              <w:t>5</w:t>
            </w:r>
            <w:r w:rsidR="0069657D">
              <w:rPr>
                <w:rFonts w:asciiTheme="minorHAnsi" w:hAnsiTheme="minorHAnsi" w:cstheme="minorHAnsi"/>
                <w:snapToGrid w:val="0"/>
                <w:sz w:val="24"/>
                <w:szCs w:val="24"/>
              </w:rPr>
              <w:t>15.291.541,53</w:t>
            </w:r>
            <w:r w:rsidR="0069657D" w:rsidRPr="00D32B4B">
              <w:rPr>
                <w:rFonts w:asciiTheme="minorHAnsi" w:hAnsiTheme="minorHAnsi" w:cstheme="minorHAnsi"/>
                <w:snapToGrid w:val="0"/>
                <w:sz w:val="24"/>
                <w:szCs w:val="24"/>
              </w:rPr>
              <w:t xml:space="preserve"> euros</w:t>
            </w:r>
          </w:p>
          <w:p w14:paraId="7F5F1AE1" w14:textId="77777777" w:rsidR="002A71FE" w:rsidRPr="008E7FCC" w:rsidRDefault="002A71FE" w:rsidP="002A71FE">
            <w:pPr>
              <w:ind w:left="714"/>
              <w:jc w:val="both"/>
              <w:rPr>
                <w:rFonts w:asciiTheme="minorHAnsi" w:hAnsiTheme="minorHAnsi" w:cstheme="minorHAnsi"/>
                <w:snapToGrid w:val="0"/>
                <w:sz w:val="24"/>
                <w:szCs w:val="24"/>
              </w:rPr>
            </w:pPr>
          </w:p>
          <w:p w14:paraId="45D6C8D5" w14:textId="38F2AFF9" w:rsidR="00061C02" w:rsidRPr="008E7FCC" w:rsidRDefault="00BD357D" w:rsidP="00C2164F">
            <w:pPr>
              <w:numPr>
                <w:ilvl w:val="0"/>
                <w:numId w:val="17"/>
              </w:numPr>
              <w:jc w:val="both"/>
              <w:rPr>
                <w:rFonts w:asciiTheme="minorHAnsi" w:hAnsiTheme="minorHAnsi" w:cstheme="minorHAnsi"/>
                <w:snapToGrid w:val="0"/>
                <w:sz w:val="24"/>
                <w:szCs w:val="24"/>
              </w:rPr>
            </w:pPr>
            <w:r w:rsidRPr="00061C02">
              <w:rPr>
                <w:rFonts w:asciiTheme="minorHAnsi" w:hAnsiTheme="minorHAnsi" w:cstheme="minorHAnsi"/>
                <w:snapToGrid w:val="0"/>
                <w:sz w:val="24"/>
                <w:szCs w:val="24"/>
              </w:rPr>
              <w:t xml:space="preserve">Álava Agencia de Desarrollo S.A.: </w:t>
            </w:r>
            <w:r w:rsidR="0069657D">
              <w:rPr>
                <w:rFonts w:asciiTheme="minorHAnsi" w:hAnsiTheme="minorHAnsi" w:cstheme="minorHAnsi"/>
                <w:snapToGrid w:val="0"/>
                <w:sz w:val="24"/>
                <w:szCs w:val="24"/>
              </w:rPr>
              <w:t>609.757,48</w:t>
            </w:r>
            <w:r w:rsidR="0069657D" w:rsidRPr="00D32B4B">
              <w:rPr>
                <w:rFonts w:asciiTheme="minorHAnsi" w:hAnsiTheme="minorHAnsi" w:cstheme="minorHAnsi"/>
                <w:snapToGrid w:val="0"/>
                <w:sz w:val="24"/>
                <w:szCs w:val="24"/>
              </w:rPr>
              <w:t xml:space="preserve"> euros</w:t>
            </w:r>
          </w:p>
        </w:tc>
      </w:tr>
      <w:tr w:rsidR="00E81B9E" w:rsidRPr="008E7FCC" w14:paraId="44D843A3" w14:textId="77777777" w:rsidTr="005133A3">
        <w:tc>
          <w:tcPr>
            <w:tcW w:w="4605" w:type="dxa"/>
            <w:tcBorders>
              <w:right w:val="single" w:sz="4" w:space="0" w:color="808080"/>
            </w:tcBorders>
          </w:tcPr>
          <w:p w14:paraId="6BA5A983" w14:textId="5F0209E8" w:rsidR="006B6DCA" w:rsidRDefault="004F3CB0" w:rsidP="00A475DB">
            <w:pPr>
              <w:ind w:right="57"/>
              <w:jc w:val="both"/>
              <w:rPr>
                <w:rFonts w:asciiTheme="minorHAnsi" w:hAnsiTheme="minorHAnsi" w:cstheme="minorHAnsi"/>
                <w:snapToGrid w:val="0"/>
                <w:sz w:val="24"/>
                <w:szCs w:val="24"/>
              </w:rPr>
            </w:pPr>
            <w:r w:rsidRPr="004F3CB0">
              <w:rPr>
                <w:rFonts w:asciiTheme="minorHAnsi" w:hAnsiTheme="minorHAnsi" w:cstheme="minorHAnsi"/>
                <w:snapToGrid w:val="0"/>
                <w:sz w:val="24"/>
                <w:szCs w:val="24"/>
              </w:rPr>
              <w:t xml:space="preserve">Arabako Foru Aldundiaren zorraren barruan daude elkarte publiko-pribatuekiko kontratuak, </w:t>
            </w:r>
            <w:r w:rsidR="00CD4C93">
              <w:rPr>
                <w:rFonts w:asciiTheme="minorHAnsi" w:hAnsiTheme="minorHAnsi" w:cstheme="minorHAnsi"/>
                <w:snapToGrid w:val="0"/>
                <w:sz w:val="24"/>
                <w:szCs w:val="24"/>
              </w:rPr>
              <w:t>25.242.209,78</w:t>
            </w:r>
            <w:r w:rsidRPr="004F3CB0">
              <w:rPr>
                <w:rFonts w:asciiTheme="minorHAnsi" w:hAnsiTheme="minorHAnsi" w:cstheme="minorHAnsi"/>
                <w:snapToGrid w:val="0"/>
                <w:sz w:val="24"/>
                <w:szCs w:val="24"/>
              </w:rPr>
              <w:t xml:space="preserve"> eurokoak</w:t>
            </w:r>
            <w:r>
              <w:rPr>
                <w:rFonts w:asciiTheme="minorHAnsi" w:hAnsiTheme="minorHAnsi" w:cstheme="minorHAnsi"/>
                <w:snapToGrid w:val="0"/>
                <w:sz w:val="24"/>
                <w:szCs w:val="24"/>
              </w:rPr>
              <w:t>,</w:t>
            </w:r>
            <w:r w:rsidRPr="004F3CB0">
              <w:rPr>
                <w:rFonts w:asciiTheme="minorHAnsi" w:hAnsiTheme="minorHAnsi" w:cstheme="minorHAnsi"/>
                <w:snapToGrid w:val="0"/>
                <w:sz w:val="24"/>
                <w:szCs w:val="24"/>
              </w:rPr>
              <w:t xml:space="preserve"> </w:t>
            </w:r>
            <w:r w:rsidR="00C2164F" w:rsidRPr="00C2164F">
              <w:rPr>
                <w:rFonts w:asciiTheme="minorHAnsi" w:hAnsiTheme="minorHAnsi" w:cstheme="minorHAnsi"/>
                <w:snapToGrid w:val="0"/>
                <w:sz w:val="24"/>
                <w:szCs w:val="24"/>
              </w:rPr>
              <w:t xml:space="preserve">(Abetxuko auzoko adinekoentzako egoitza baten proiektua idaztea, eraikitzea eta kontserbatzea eta Arabarren egoitza), IGAEren </w:t>
            </w:r>
            <w:r w:rsidR="000625F6">
              <w:rPr>
                <w:rFonts w:asciiTheme="minorHAnsi" w:hAnsiTheme="minorHAnsi" w:cstheme="minorHAnsi"/>
                <w:snapToGrid w:val="0"/>
                <w:sz w:val="24"/>
                <w:szCs w:val="24"/>
              </w:rPr>
              <w:t xml:space="preserve"> </w:t>
            </w:r>
            <w:r w:rsidR="00C2164F" w:rsidRPr="00C2164F">
              <w:rPr>
                <w:rFonts w:asciiTheme="minorHAnsi" w:hAnsiTheme="minorHAnsi" w:cstheme="minorHAnsi"/>
                <w:snapToGrid w:val="0"/>
                <w:sz w:val="24"/>
                <w:szCs w:val="24"/>
              </w:rPr>
              <w:t>eta kontratu horiek Europako Kontu Sistemaren (SEC) (549/2013 Erregelamendua) eta defizit eta zorpetze publikoetarako Eurostaten Eskuliburuaren arabera elkarte publiko-pribatuak direla uste du, eta, ondorioz, aktiboen jabe ekonomikoa administrazio kontratatzailea dela, hau da, Arabako Foru Aldundia.</w:t>
            </w:r>
            <w:r w:rsidR="006B6DCA" w:rsidRPr="006B6DCA">
              <w:rPr>
                <w:rFonts w:asciiTheme="minorHAnsi" w:hAnsiTheme="minorHAnsi" w:cstheme="minorHAnsi"/>
                <w:snapToGrid w:val="0"/>
                <w:sz w:val="24"/>
                <w:szCs w:val="24"/>
              </w:rPr>
              <w:t>kontratatzailea dela, hau da, Arabako Foru Aldundia.</w:t>
            </w:r>
          </w:p>
          <w:p w14:paraId="757ED6C6" w14:textId="77777777" w:rsidR="00A008FB" w:rsidRDefault="00A008FB" w:rsidP="00A475DB">
            <w:pPr>
              <w:ind w:right="57"/>
              <w:jc w:val="both"/>
              <w:rPr>
                <w:rFonts w:asciiTheme="minorHAnsi" w:hAnsiTheme="minorHAnsi" w:cstheme="minorHAnsi"/>
                <w:snapToGrid w:val="0"/>
                <w:sz w:val="24"/>
                <w:szCs w:val="24"/>
              </w:rPr>
            </w:pPr>
          </w:p>
          <w:p w14:paraId="24551D69" w14:textId="77777777" w:rsidR="00A008FB" w:rsidRDefault="00A008FB" w:rsidP="00A475DB">
            <w:pPr>
              <w:ind w:right="57"/>
              <w:jc w:val="both"/>
              <w:rPr>
                <w:rFonts w:asciiTheme="minorHAnsi" w:hAnsiTheme="minorHAnsi" w:cstheme="minorHAnsi"/>
                <w:snapToGrid w:val="0"/>
                <w:sz w:val="24"/>
                <w:szCs w:val="24"/>
              </w:rPr>
            </w:pPr>
          </w:p>
          <w:p w14:paraId="327F6043" w14:textId="5B9CCB12" w:rsidR="00A008FB" w:rsidRDefault="00A008FB" w:rsidP="00A475DB">
            <w:pPr>
              <w:ind w:right="57"/>
              <w:jc w:val="both"/>
              <w:rPr>
                <w:rFonts w:asciiTheme="minorHAnsi" w:hAnsiTheme="minorHAnsi" w:cstheme="minorHAnsi"/>
                <w:snapToGrid w:val="0"/>
                <w:sz w:val="24"/>
                <w:szCs w:val="24"/>
              </w:rPr>
            </w:pPr>
            <w:r w:rsidRPr="00A42F50">
              <w:rPr>
                <w:rFonts w:ascii="Calibri" w:hAnsi="Calibri"/>
                <w:sz w:val="24"/>
                <w:lang w:val="eu-ES"/>
              </w:rPr>
              <w:t>2025eko arloan, Gobernu Kontseiluaren 2025eko abenduaren 9ko 746/2025 Ebazpenaren bitartez, azalera-eskubidearen aurreko ebazpena onartzen da eta, ondorioz, Lakua Etxebizitzaren alokairu-kontratua.</w:t>
            </w:r>
          </w:p>
          <w:p w14:paraId="0A124D45" w14:textId="77777777" w:rsidR="00320255" w:rsidRPr="00320255" w:rsidRDefault="00320255" w:rsidP="00320255">
            <w:pPr>
              <w:rPr>
                <w:snapToGrid w:val="0"/>
              </w:rPr>
            </w:pPr>
          </w:p>
          <w:p w14:paraId="0B59BFA9" w14:textId="77777777" w:rsidR="00320255" w:rsidRDefault="00320255" w:rsidP="00A475DB">
            <w:pPr>
              <w:ind w:right="57"/>
              <w:jc w:val="both"/>
              <w:rPr>
                <w:rFonts w:asciiTheme="minorHAnsi" w:hAnsiTheme="minorHAnsi" w:cstheme="minorHAnsi"/>
                <w:snapToGrid w:val="0"/>
                <w:sz w:val="24"/>
                <w:szCs w:val="24"/>
              </w:rPr>
            </w:pPr>
          </w:p>
          <w:p w14:paraId="473D1A20" w14:textId="77777777" w:rsidR="00320255" w:rsidRDefault="00320255" w:rsidP="00A475DB">
            <w:pPr>
              <w:ind w:right="57"/>
              <w:jc w:val="both"/>
              <w:rPr>
                <w:rFonts w:asciiTheme="minorHAnsi" w:hAnsiTheme="minorHAnsi" w:cstheme="minorHAnsi"/>
                <w:snapToGrid w:val="0"/>
                <w:sz w:val="24"/>
                <w:szCs w:val="24"/>
              </w:rPr>
            </w:pPr>
          </w:p>
          <w:p w14:paraId="3D779F50" w14:textId="645A728E" w:rsidR="00E81B9E" w:rsidRDefault="00E81B9E" w:rsidP="00A475DB">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Arabako sektore publikoaren </w:t>
            </w:r>
            <w:r w:rsidR="00F14225" w:rsidRPr="008E7FCC">
              <w:rPr>
                <w:rFonts w:asciiTheme="minorHAnsi" w:hAnsiTheme="minorHAnsi" w:cstheme="minorHAnsi"/>
                <w:snapToGrid w:val="0"/>
                <w:sz w:val="24"/>
                <w:szCs w:val="24"/>
              </w:rPr>
              <w:t>zor publikoaren munta osoa, EKS</w:t>
            </w:r>
            <w:r w:rsidRPr="008E7FCC">
              <w:rPr>
                <w:rFonts w:asciiTheme="minorHAnsi" w:hAnsiTheme="minorHAnsi" w:cstheme="minorHAnsi"/>
                <w:snapToGrid w:val="0"/>
                <w:sz w:val="24"/>
                <w:szCs w:val="24"/>
              </w:rPr>
              <w:t xml:space="preserve"> terminoetan eta 20</w:t>
            </w:r>
            <w:r w:rsidR="00DE5031">
              <w:rPr>
                <w:rFonts w:asciiTheme="minorHAnsi" w:hAnsiTheme="minorHAnsi" w:cstheme="minorHAnsi"/>
                <w:snapToGrid w:val="0"/>
                <w:sz w:val="24"/>
                <w:szCs w:val="24"/>
              </w:rPr>
              <w:t>2</w:t>
            </w:r>
            <w:r w:rsidR="006E74AA">
              <w:rPr>
                <w:rFonts w:asciiTheme="minorHAnsi" w:hAnsiTheme="minorHAnsi" w:cstheme="minorHAnsi"/>
                <w:snapToGrid w:val="0"/>
                <w:sz w:val="24"/>
                <w:szCs w:val="24"/>
              </w:rPr>
              <w:t>5</w:t>
            </w:r>
            <w:r w:rsidR="00740837" w:rsidRPr="008E7FCC">
              <w:rPr>
                <w:rFonts w:asciiTheme="minorHAnsi" w:hAnsiTheme="minorHAnsi" w:cstheme="minorHAnsi"/>
                <w:snapToGrid w:val="0"/>
                <w:sz w:val="24"/>
                <w:szCs w:val="24"/>
              </w:rPr>
              <w:t>k</w:t>
            </w:r>
            <w:r w:rsidRPr="008E7FCC">
              <w:rPr>
                <w:rFonts w:asciiTheme="minorHAnsi" w:hAnsiTheme="minorHAnsi" w:cstheme="minorHAnsi"/>
                <w:snapToGrid w:val="0"/>
                <w:sz w:val="24"/>
                <w:szCs w:val="24"/>
              </w:rPr>
              <w:t>o abenduaren 31n, ondoko hau izango da:</w:t>
            </w:r>
          </w:p>
          <w:p w14:paraId="6A87400F" w14:textId="77777777" w:rsidR="00A475DB" w:rsidRPr="008E7FCC" w:rsidRDefault="00A475DB" w:rsidP="00A475DB">
            <w:pPr>
              <w:ind w:right="57"/>
              <w:jc w:val="both"/>
              <w:rPr>
                <w:rFonts w:asciiTheme="minorHAnsi" w:hAnsiTheme="minorHAnsi" w:cstheme="minorHAnsi"/>
                <w:snapToGrid w:val="0"/>
                <w:sz w:val="24"/>
                <w:szCs w:val="24"/>
              </w:rPr>
            </w:pPr>
          </w:p>
          <w:p w14:paraId="3127879F" w14:textId="052FDA39" w:rsidR="002719EC" w:rsidRPr="008E7FCC" w:rsidRDefault="006E74AA" w:rsidP="00A475DB">
            <w:pPr>
              <w:ind w:right="57"/>
              <w:jc w:val="center"/>
              <w:rPr>
                <w:rFonts w:asciiTheme="minorHAnsi" w:hAnsiTheme="minorHAnsi" w:cstheme="minorHAnsi"/>
                <w:snapToGrid w:val="0"/>
                <w:sz w:val="24"/>
                <w:szCs w:val="24"/>
              </w:rPr>
            </w:pPr>
            <w:r>
              <w:rPr>
                <w:rFonts w:asciiTheme="minorHAnsi" w:hAnsiTheme="minorHAnsi" w:cstheme="minorHAnsi"/>
                <w:snapToGrid w:val="0"/>
                <w:sz w:val="24"/>
                <w:szCs w:val="24"/>
              </w:rPr>
              <w:t>515.901.299,01</w:t>
            </w:r>
            <w:r w:rsidRPr="00D32B4B">
              <w:rPr>
                <w:rFonts w:asciiTheme="minorHAnsi" w:hAnsiTheme="minorHAnsi" w:cstheme="minorHAnsi"/>
                <w:snapToGrid w:val="0"/>
                <w:sz w:val="24"/>
                <w:szCs w:val="24"/>
              </w:rPr>
              <w:t xml:space="preserve"> euro</w:t>
            </w:r>
          </w:p>
        </w:tc>
        <w:tc>
          <w:tcPr>
            <w:tcW w:w="4605" w:type="dxa"/>
            <w:tcBorders>
              <w:left w:val="single" w:sz="4" w:space="0" w:color="808080"/>
            </w:tcBorders>
          </w:tcPr>
          <w:p w14:paraId="6A51D0AE" w14:textId="6C3EC04D" w:rsidR="00061C02" w:rsidRDefault="002A3291" w:rsidP="00061C02">
            <w:pPr>
              <w:jc w:val="both"/>
              <w:rPr>
                <w:rFonts w:asciiTheme="minorHAnsi" w:hAnsiTheme="minorHAnsi" w:cstheme="minorHAnsi"/>
                <w:snapToGrid w:val="0"/>
                <w:sz w:val="24"/>
                <w:szCs w:val="24"/>
              </w:rPr>
            </w:pPr>
            <w:r>
              <w:rPr>
                <w:rFonts w:asciiTheme="minorHAnsi" w:hAnsiTheme="minorHAnsi" w:cstheme="minorHAnsi"/>
                <w:snapToGrid w:val="0"/>
                <w:sz w:val="24"/>
                <w:szCs w:val="24"/>
              </w:rPr>
              <w:lastRenderedPageBreak/>
              <w:t xml:space="preserve">En la </w:t>
            </w:r>
            <w:r w:rsidR="00C2164F">
              <w:rPr>
                <w:rFonts w:asciiTheme="minorHAnsi" w:hAnsiTheme="minorHAnsi" w:cstheme="minorHAnsi"/>
                <w:snapToGrid w:val="0"/>
                <w:sz w:val="24"/>
                <w:szCs w:val="24"/>
              </w:rPr>
              <w:t>d</w:t>
            </w:r>
            <w:r>
              <w:rPr>
                <w:rFonts w:asciiTheme="minorHAnsi" w:hAnsiTheme="minorHAnsi" w:cstheme="minorHAnsi"/>
                <w:snapToGrid w:val="0"/>
                <w:sz w:val="24"/>
                <w:szCs w:val="24"/>
              </w:rPr>
              <w:t>euda de Diputación Foral de Álava, están incluidos los contratos con Asociaciones Público-Privadas</w:t>
            </w:r>
            <w:r w:rsidR="00D32B4B">
              <w:rPr>
                <w:rFonts w:asciiTheme="minorHAnsi" w:hAnsiTheme="minorHAnsi" w:cstheme="minorHAnsi"/>
                <w:snapToGrid w:val="0"/>
                <w:sz w:val="24"/>
                <w:szCs w:val="24"/>
              </w:rPr>
              <w:t xml:space="preserve">, </w:t>
            </w:r>
            <w:r w:rsidR="00D32B4B" w:rsidRPr="004F3CB0">
              <w:rPr>
                <w:rFonts w:asciiTheme="minorHAnsi" w:hAnsiTheme="minorHAnsi" w:cstheme="minorHAnsi"/>
                <w:snapToGrid w:val="0"/>
                <w:sz w:val="24"/>
                <w:szCs w:val="24"/>
              </w:rPr>
              <w:t xml:space="preserve">por un importe de </w:t>
            </w:r>
            <w:r w:rsidR="00CD4C93">
              <w:rPr>
                <w:rFonts w:asciiTheme="minorHAnsi" w:hAnsiTheme="minorHAnsi" w:cstheme="minorHAnsi"/>
                <w:snapToGrid w:val="0"/>
                <w:sz w:val="24"/>
                <w:szCs w:val="24"/>
              </w:rPr>
              <w:t>25.242.209,78</w:t>
            </w:r>
            <w:r w:rsidR="00D32B4B" w:rsidRPr="004F3CB0">
              <w:rPr>
                <w:rFonts w:asciiTheme="minorHAnsi" w:hAnsiTheme="minorHAnsi" w:cstheme="minorHAnsi"/>
                <w:snapToGrid w:val="0"/>
                <w:sz w:val="24"/>
                <w:szCs w:val="24"/>
              </w:rPr>
              <w:t xml:space="preserve"> </w:t>
            </w:r>
            <w:r w:rsidR="00D32B4B">
              <w:rPr>
                <w:rFonts w:asciiTheme="minorHAnsi" w:hAnsiTheme="minorHAnsi" w:cstheme="minorHAnsi"/>
                <w:snapToGrid w:val="0"/>
                <w:sz w:val="24"/>
                <w:szCs w:val="24"/>
              </w:rPr>
              <w:t>euros</w:t>
            </w:r>
            <w:r w:rsidRPr="00061C02">
              <w:rPr>
                <w:rFonts w:asciiTheme="minorHAnsi" w:hAnsiTheme="minorHAnsi" w:cstheme="minorHAnsi"/>
                <w:snapToGrid w:val="0"/>
                <w:sz w:val="24"/>
                <w:szCs w:val="24"/>
              </w:rPr>
              <w:t xml:space="preserve"> </w:t>
            </w:r>
            <w:r>
              <w:rPr>
                <w:rFonts w:asciiTheme="minorHAnsi" w:hAnsiTheme="minorHAnsi" w:cstheme="minorHAnsi"/>
                <w:snapToGrid w:val="0"/>
                <w:sz w:val="24"/>
                <w:szCs w:val="24"/>
              </w:rPr>
              <w:t>(R</w:t>
            </w:r>
            <w:r w:rsidRPr="00061C02">
              <w:rPr>
                <w:rFonts w:asciiTheme="minorHAnsi" w:hAnsiTheme="minorHAnsi" w:cstheme="minorHAnsi"/>
                <w:snapToGrid w:val="0"/>
                <w:sz w:val="24"/>
                <w:szCs w:val="24"/>
              </w:rPr>
              <w:t>edacción de proyecto, construcción y conservación de una residencia para personas mayores en el barrio de Abetxuko</w:t>
            </w:r>
            <w:r>
              <w:rPr>
                <w:rFonts w:asciiTheme="minorHAnsi" w:hAnsiTheme="minorHAnsi" w:cstheme="minorHAnsi"/>
                <w:snapToGrid w:val="0"/>
                <w:sz w:val="24"/>
                <w:szCs w:val="24"/>
              </w:rPr>
              <w:t xml:space="preserve"> </w:t>
            </w:r>
            <w:r w:rsidR="00C2164F">
              <w:rPr>
                <w:rFonts w:asciiTheme="minorHAnsi" w:hAnsiTheme="minorHAnsi" w:cstheme="minorHAnsi"/>
                <w:snapToGrid w:val="0"/>
                <w:sz w:val="24"/>
                <w:szCs w:val="24"/>
              </w:rPr>
              <w:t xml:space="preserve"> y Residencia Arabarren) </w:t>
            </w:r>
            <w:r>
              <w:rPr>
                <w:rFonts w:asciiTheme="minorHAnsi" w:hAnsiTheme="minorHAnsi" w:cstheme="minorHAnsi"/>
                <w:snapToGrid w:val="0"/>
                <w:sz w:val="24"/>
                <w:szCs w:val="24"/>
              </w:rPr>
              <w:t>de acuerdo a la</w:t>
            </w:r>
            <w:r w:rsidR="00BD01FF">
              <w:rPr>
                <w:rFonts w:asciiTheme="minorHAnsi" w:hAnsiTheme="minorHAnsi" w:cstheme="minorHAnsi"/>
                <w:snapToGrid w:val="0"/>
                <w:sz w:val="24"/>
                <w:szCs w:val="24"/>
              </w:rPr>
              <w:t>s</w:t>
            </w:r>
            <w:r>
              <w:rPr>
                <w:rFonts w:asciiTheme="minorHAnsi" w:hAnsiTheme="minorHAnsi" w:cstheme="minorHAnsi"/>
                <w:snapToGrid w:val="0"/>
                <w:sz w:val="24"/>
                <w:szCs w:val="24"/>
              </w:rPr>
              <w:t xml:space="preserve"> </w:t>
            </w:r>
            <w:r w:rsidR="008A1967" w:rsidRPr="008A1967">
              <w:rPr>
                <w:rFonts w:asciiTheme="minorHAnsi" w:hAnsiTheme="minorHAnsi" w:cstheme="minorHAnsi"/>
                <w:snapToGrid w:val="0"/>
                <w:sz w:val="24"/>
                <w:szCs w:val="24"/>
              </w:rPr>
              <w:t>comunicaci</w:t>
            </w:r>
            <w:r w:rsidR="00BD01FF">
              <w:rPr>
                <w:rFonts w:asciiTheme="minorHAnsi" w:hAnsiTheme="minorHAnsi" w:cstheme="minorHAnsi"/>
                <w:snapToGrid w:val="0"/>
                <w:sz w:val="24"/>
                <w:szCs w:val="24"/>
              </w:rPr>
              <w:t>ones</w:t>
            </w:r>
            <w:r w:rsidR="008A1967" w:rsidRPr="008A1967">
              <w:rPr>
                <w:rFonts w:asciiTheme="minorHAnsi" w:hAnsiTheme="minorHAnsi" w:cstheme="minorHAnsi"/>
                <w:snapToGrid w:val="0"/>
                <w:sz w:val="24"/>
                <w:szCs w:val="24"/>
              </w:rPr>
              <w:t xml:space="preserve"> de la IGAE </w:t>
            </w:r>
            <w:r w:rsidR="00C2164F">
              <w:rPr>
                <w:rFonts w:asciiTheme="minorHAnsi" w:hAnsiTheme="minorHAnsi" w:cstheme="minorHAnsi"/>
                <w:snapToGrid w:val="0"/>
                <w:sz w:val="24"/>
                <w:szCs w:val="24"/>
              </w:rPr>
              <w:t xml:space="preserve"> </w:t>
            </w:r>
            <w:r w:rsidR="00061C02" w:rsidRPr="00061C02">
              <w:rPr>
                <w:rFonts w:asciiTheme="minorHAnsi" w:hAnsiTheme="minorHAnsi" w:cstheme="minorHAnsi"/>
                <w:snapToGrid w:val="0"/>
                <w:sz w:val="24"/>
                <w:szCs w:val="24"/>
              </w:rPr>
              <w:t xml:space="preserve">y </w:t>
            </w:r>
            <w:r w:rsidR="00C2164F">
              <w:rPr>
                <w:rFonts w:asciiTheme="minorHAnsi" w:hAnsiTheme="minorHAnsi" w:cstheme="minorHAnsi"/>
                <w:snapToGrid w:val="0"/>
                <w:sz w:val="24"/>
                <w:szCs w:val="24"/>
              </w:rPr>
              <w:t>que</w:t>
            </w:r>
            <w:r w:rsidR="00061C02" w:rsidRPr="00061C02">
              <w:rPr>
                <w:rFonts w:asciiTheme="minorHAnsi" w:hAnsiTheme="minorHAnsi" w:cstheme="minorHAnsi"/>
                <w:snapToGrid w:val="0"/>
                <w:sz w:val="24"/>
                <w:szCs w:val="24"/>
              </w:rPr>
              <w:t xml:space="preserve"> considera que </w:t>
            </w:r>
            <w:r w:rsidR="00C2164F">
              <w:rPr>
                <w:rFonts w:asciiTheme="minorHAnsi" w:hAnsiTheme="minorHAnsi" w:cstheme="minorHAnsi"/>
                <w:snapToGrid w:val="0"/>
                <w:sz w:val="24"/>
                <w:szCs w:val="24"/>
              </w:rPr>
              <w:t>dichos</w:t>
            </w:r>
            <w:r w:rsidR="00061C02" w:rsidRPr="00061C02">
              <w:rPr>
                <w:rFonts w:asciiTheme="minorHAnsi" w:hAnsiTheme="minorHAnsi" w:cstheme="minorHAnsi"/>
                <w:snapToGrid w:val="0"/>
                <w:sz w:val="24"/>
                <w:szCs w:val="24"/>
              </w:rPr>
              <w:t xml:space="preserve"> contratos constituyen Asociaciones Público-Privadas de acuerdo al Sistema Europeo de Cuentas (SEC) (Reglamento nº 549/2013) y al Manual de Eurostat para el déficit y endeudamiento públicos, y que, en consecuencia, el propietario económico de los activos es la </w:t>
            </w:r>
            <w:r w:rsidR="00061C02" w:rsidRPr="00061C02">
              <w:rPr>
                <w:rFonts w:asciiTheme="minorHAnsi" w:hAnsiTheme="minorHAnsi" w:cstheme="minorHAnsi"/>
                <w:snapToGrid w:val="0"/>
                <w:sz w:val="24"/>
                <w:szCs w:val="24"/>
              </w:rPr>
              <w:lastRenderedPageBreak/>
              <w:t xml:space="preserve">administración contratante, esto es, Diputación Foral de Álava. </w:t>
            </w:r>
          </w:p>
          <w:p w14:paraId="6E0572A3" w14:textId="77777777" w:rsidR="0046161E" w:rsidRDefault="0046161E" w:rsidP="00061C02">
            <w:pPr>
              <w:jc w:val="both"/>
              <w:rPr>
                <w:rFonts w:asciiTheme="minorHAnsi" w:hAnsiTheme="minorHAnsi" w:cstheme="minorHAnsi"/>
                <w:snapToGrid w:val="0"/>
                <w:sz w:val="24"/>
                <w:szCs w:val="24"/>
              </w:rPr>
            </w:pPr>
          </w:p>
          <w:p w14:paraId="5C1F8423" w14:textId="401D291B" w:rsidR="0046161E" w:rsidRPr="00061C02" w:rsidRDefault="0046161E" w:rsidP="00061C02">
            <w:pPr>
              <w:jc w:val="both"/>
              <w:rPr>
                <w:rFonts w:asciiTheme="minorHAnsi" w:hAnsiTheme="minorHAnsi" w:cstheme="minorHAnsi"/>
                <w:snapToGrid w:val="0"/>
                <w:sz w:val="24"/>
                <w:szCs w:val="24"/>
              </w:rPr>
            </w:pPr>
            <w:r w:rsidRPr="00FC0CBA">
              <w:rPr>
                <w:rFonts w:asciiTheme="minorHAnsi" w:hAnsiTheme="minorHAnsi" w:cstheme="minorHAnsi"/>
                <w:sz w:val="24"/>
                <w:szCs w:val="24"/>
              </w:rPr>
              <w:t xml:space="preserve">En el ejercicio 2025, mediante el Acuerdo del Consejo de Gobierno nº 746/2025, de 9 de </w:t>
            </w:r>
            <w:r>
              <w:rPr>
                <w:rFonts w:asciiTheme="minorHAnsi" w:hAnsiTheme="minorHAnsi" w:cstheme="minorHAnsi"/>
                <w:sz w:val="24"/>
                <w:szCs w:val="24"/>
              </w:rPr>
              <w:t>diciembre</w:t>
            </w:r>
            <w:r w:rsidRPr="00FC0CBA">
              <w:rPr>
                <w:rFonts w:asciiTheme="minorHAnsi" w:hAnsiTheme="minorHAnsi" w:cstheme="minorHAnsi"/>
                <w:sz w:val="24"/>
                <w:szCs w:val="24"/>
              </w:rPr>
              <w:t>, se aprueba la resolución anticipada del derecho de superficie y, en consecuencia, del contrato de arrendamiento de la Residencia de Lakua.</w:t>
            </w:r>
          </w:p>
          <w:p w14:paraId="5FBF945A" w14:textId="77777777" w:rsidR="00061C02" w:rsidRPr="00061C02" w:rsidRDefault="00061C02" w:rsidP="00061C02">
            <w:pPr>
              <w:jc w:val="both"/>
              <w:rPr>
                <w:rFonts w:asciiTheme="minorHAnsi" w:hAnsiTheme="minorHAnsi" w:cstheme="minorHAnsi"/>
                <w:snapToGrid w:val="0"/>
                <w:sz w:val="24"/>
                <w:szCs w:val="24"/>
              </w:rPr>
            </w:pPr>
          </w:p>
          <w:p w14:paraId="557840B3" w14:textId="77777777" w:rsidR="00061C02" w:rsidRDefault="00061C02" w:rsidP="00A475DB">
            <w:pPr>
              <w:jc w:val="both"/>
              <w:rPr>
                <w:rFonts w:asciiTheme="minorHAnsi" w:hAnsiTheme="minorHAnsi" w:cstheme="minorHAnsi"/>
                <w:snapToGrid w:val="0"/>
                <w:sz w:val="24"/>
                <w:szCs w:val="24"/>
              </w:rPr>
            </w:pPr>
          </w:p>
          <w:p w14:paraId="74F81709" w14:textId="2C286620" w:rsidR="006B6DCA" w:rsidRDefault="006B6DCA" w:rsidP="006B6DCA">
            <w:p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El total de Deuda Pública del Sector Público Foral de Álava, en términos SEC, a 31 de diciembre de 20</w:t>
            </w:r>
            <w:r>
              <w:rPr>
                <w:rFonts w:asciiTheme="minorHAnsi" w:hAnsiTheme="minorHAnsi" w:cstheme="minorHAnsi"/>
                <w:snapToGrid w:val="0"/>
                <w:sz w:val="24"/>
                <w:szCs w:val="24"/>
              </w:rPr>
              <w:t>2</w:t>
            </w:r>
            <w:r w:rsidR="006E74AA">
              <w:rPr>
                <w:rFonts w:asciiTheme="minorHAnsi" w:hAnsiTheme="minorHAnsi" w:cstheme="minorHAnsi"/>
                <w:snapToGrid w:val="0"/>
                <w:sz w:val="24"/>
                <w:szCs w:val="24"/>
              </w:rPr>
              <w:t>5</w:t>
            </w:r>
            <w:r w:rsidRPr="008E7FCC">
              <w:rPr>
                <w:rFonts w:asciiTheme="minorHAnsi" w:hAnsiTheme="minorHAnsi" w:cstheme="minorHAnsi"/>
                <w:snapToGrid w:val="0"/>
                <w:sz w:val="24"/>
                <w:szCs w:val="24"/>
              </w:rPr>
              <w:t xml:space="preserve"> es de:</w:t>
            </w:r>
          </w:p>
          <w:p w14:paraId="5CAD90A0" w14:textId="4453A52D" w:rsidR="00A475DB" w:rsidRDefault="00A475DB" w:rsidP="00A475DB">
            <w:pPr>
              <w:jc w:val="both"/>
              <w:rPr>
                <w:rFonts w:asciiTheme="minorHAnsi" w:hAnsiTheme="minorHAnsi" w:cstheme="minorHAnsi"/>
                <w:snapToGrid w:val="0"/>
                <w:sz w:val="24"/>
                <w:szCs w:val="24"/>
              </w:rPr>
            </w:pPr>
          </w:p>
          <w:p w14:paraId="57F4813E" w14:textId="77777777" w:rsidR="00320255" w:rsidRPr="008E7FCC" w:rsidRDefault="00320255" w:rsidP="00A475DB">
            <w:pPr>
              <w:jc w:val="both"/>
              <w:rPr>
                <w:rFonts w:asciiTheme="minorHAnsi" w:hAnsiTheme="minorHAnsi" w:cstheme="minorHAnsi"/>
                <w:snapToGrid w:val="0"/>
                <w:sz w:val="24"/>
                <w:szCs w:val="24"/>
              </w:rPr>
            </w:pPr>
          </w:p>
          <w:p w14:paraId="65C800EC" w14:textId="488AEEAD" w:rsidR="00E81B9E" w:rsidRPr="008E7FCC" w:rsidRDefault="00D32B4B" w:rsidP="00A475DB">
            <w:pPr>
              <w:jc w:val="center"/>
              <w:rPr>
                <w:rFonts w:asciiTheme="minorHAnsi" w:hAnsiTheme="minorHAnsi" w:cstheme="minorHAnsi"/>
                <w:sz w:val="24"/>
                <w:szCs w:val="24"/>
              </w:rPr>
            </w:pPr>
            <w:r w:rsidRPr="00D32B4B">
              <w:rPr>
                <w:rFonts w:asciiTheme="minorHAnsi" w:hAnsiTheme="minorHAnsi" w:cstheme="minorHAnsi"/>
                <w:snapToGrid w:val="0"/>
                <w:sz w:val="24"/>
                <w:szCs w:val="24"/>
              </w:rPr>
              <w:t>5</w:t>
            </w:r>
            <w:r w:rsidR="006E74AA">
              <w:rPr>
                <w:rFonts w:asciiTheme="minorHAnsi" w:hAnsiTheme="minorHAnsi" w:cstheme="minorHAnsi"/>
                <w:snapToGrid w:val="0"/>
                <w:sz w:val="24"/>
                <w:szCs w:val="24"/>
              </w:rPr>
              <w:t>15.901.299,01</w:t>
            </w:r>
            <w:r w:rsidRPr="00D32B4B">
              <w:rPr>
                <w:rFonts w:asciiTheme="minorHAnsi" w:hAnsiTheme="minorHAnsi" w:cstheme="minorHAnsi"/>
                <w:snapToGrid w:val="0"/>
                <w:sz w:val="24"/>
                <w:szCs w:val="24"/>
              </w:rPr>
              <w:t xml:space="preserve"> </w:t>
            </w:r>
            <w:r w:rsidR="00E81B9E" w:rsidRPr="008E7FCC">
              <w:rPr>
                <w:rFonts w:asciiTheme="minorHAnsi" w:hAnsiTheme="minorHAnsi" w:cstheme="minorHAnsi"/>
                <w:snapToGrid w:val="0"/>
                <w:sz w:val="24"/>
                <w:szCs w:val="24"/>
              </w:rPr>
              <w:t>euros.</w:t>
            </w:r>
          </w:p>
        </w:tc>
      </w:tr>
      <w:tr w:rsidR="00142CB7" w:rsidRPr="008E7FCC" w14:paraId="79F0A951" w14:textId="77777777" w:rsidTr="00B40F8D">
        <w:tc>
          <w:tcPr>
            <w:tcW w:w="4605" w:type="dxa"/>
            <w:tcBorders>
              <w:right w:val="single" w:sz="4" w:space="0" w:color="808080"/>
            </w:tcBorders>
          </w:tcPr>
          <w:p w14:paraId="2B2DC190" w14:textId="77777777" w:rsidR="00142CB7" w:rsidRDefault="00142CB7" w:rsidP="00B40F8D">
            <w:pPr>
              <w:ind w:right="57"/>
              <w:jc w:val="both"/>
              <w:rPr>
                <w:rFonts w:asciiTheme="minorHAnsi" w:hAnsiTheme="minorHAnsi" w:cstheme="minorHAnsi"/>
                <w:snapToGrid w:val="0"/>
                <w:sz w:val="24"/>
                <w:szCs w:val="24"/>
              </w:rPr>
            </w:pPr>
          </w:p>
          <w:p w14:paraId="156787C8" w14:textId="77777777" w:rsidR="00142CB7" w:rsidRDefault="00142CB7" w:rsidP="00B40F8D">
            <w:pPr>
              <w:ind w:right="57"/>
              <w:jc w:val="both"/>
              <w:rPr>
                <w:rFonts w:asciiTheme="minorHAnsi" w:hAnsiTheme="minorHAnsi" w:cstheme="minorHAnsi"/>
                <w:snapToGrid w:val="0"/>
                <w:sz w:val="24"/>
                <w:szCs w:val="24"/>
              </w:rPr>
            </w:pPr>
          </w:p>
          <w:p w14:paraId="78D16E52" w14:textId="43343736" w:rsidR="00142CB7" w:rsidRDefault="009717D9" w:rsidP="00B40F8D">
            <w:pPr>
              <w:ind w:right="57"/>
              <w:jc w:val="both"/>
              <w:rPr>
                <w:rFonts w:asciiTheme="minorHAnsi" w:hAnsiTheme="minorHAnsi" w:cstheme="minorHAnsi"/>
                <w:snapToGrid w:val="0"/>
                <w:sz w:val="24"/>
                <w:szCs w:val="24"/>
              </w:rPr>
            </w:pPr>
            <w:r w:rsidRPr="009717D9">
              <w:rPr>
                <w:rFonts w:asciiTheme="minorHAnsi" w:hAnsiTheme="minorHAnsi" w:cstheme="minorHAnsi"/>
                <w:snapToGrid w:val="0"/>
                <w:sz w:val="24"/>
                <w:szCs w:val="24"/>
              </w:rPr>
              <w:t>202</w:t>
            </w:r>
            <w:r w:rsidR="006E74AA">
              <w:rPr>
                <w:rFonts w:asciiTheme="minorHAnsi" w:hAnsiTheme="minorHAnsi" w:cstheme="minorHAnsi"/>
                <w:snapToGrid w:val="0"/>
                <w:sz w:val="24"/>
                <w:szCs w:val="24"/>
              </w:rPr>
              <w:t>4</w:t>
            </w:r>
            <w:r w:rsidRPr="009717D9">
              <w:rPr>
                <w:rFonts w:asciiTheme="minorHAnsi" w:hAnsiTheme="minorHAnsi" w:cstheme="minorHAnsi"/>
                <w:snapToGrid w:val="0"/>
                <w:sz w:val="24"/>
                <w:szCs w:val="24"/>
              </w:rPr>
              <w:t>ko abenduaren 31n, Arabako sektore publikoaren zor publikoaren zenbatekoa 52</w:t>
            </w:r>
            <w:r w:rsidR="006E74AA">
              <w:rPr>
                <w:rFonts w:asciiTheme="minorHAnsi" w:hAnsiTheme="minorHAnsi" w:cstheme="minorHAnsi"/>
                <w:snapToGrid w:val="0"/>
                <w:sz w:val="24"/>
                <w:szCs w:val="24"/>
              </w:rPr>
              <w:t>2.242.430,17</w:t>
            </w:r>
            <w:r w:rsidRPr="009717D9">
              <w:rPr>
                <w:rFonts w:asciiTheme="minorHAnsi" w:hAnsiTheme="minorHAnsi" w:cstheme="minorHAnsi"/>
                <w:snapToGrid w:val="0"/>
                <w:sz w:val="24"/>
                <w:szCs w:val="24"/>
              </w:rPr>
              <w:t xml:space="preserve"> eurokoa zen.</w:t>
            </w:r>
          </w:p>
          <w:p w14:paraId="40F1E431" w14:textId="77777777" w:rsidR="009717D9" w:rsidRDefault="009717D9" w:rsidP="00B40F8D">
            <w:pPr>
              <w:ind w:right="57"/>
              <w:jc w:val="both"/>
              <w:rPr>
                <w:rFonts w:asciiTheme="minorHAnsi" w:hAnsiTheme="minorHAnsi" w:cstheme="minorHAnsi"/>
                <w:snapToGrid w:val="0"/>
                <w:sz w:val="24"/>
                <w:szCs w:val="24"/>
              </w:rPr>
            </w:pPr>
          </w:p>
          <w:p w14:paraId="3FD0CEA9" w14:textId="713280C4" w:rsidR="009717D9" w:rsidRPr="008E7FCC" w:rsidRDefault="009717D9" w:rsidP="00B40F8D">
            <w:pPr>
              <w:ind w:right="57"/>
              <w:jc w:val="both"/>
              <w:rPr>
                <w:rFonts w:asciiTheme="minorHAnsi" w:hAnsiTheme="minorHAnsi" w:cstheme="minorHAnsi"/>
                <w:snapToGrid w:val="0"/>
                <w:sz w:val="24"/>
                <w:szCs w:val="24"/>
              </w:rPr>
            </w:pPr>
          </w:p>
        </w:tc>
        <w:tc>
          <w:tcPr>
            <w:tcW w:w="4605" w:type="dxa"/>
            <w:tcBorders>
              <w:left w:val="single" w:sz="4" w:space="0" w:color="808080"/>
            </w:tcBorders>
          </w:tcPr>
          <w:p w14:paraId="4894FC6A" w14:textId="77777777" w:rsidR="00142CB7" w:rsidRDefault="00142CB7" w:rsidP="00B40F8D">
            <w:pPr>
              <w:jc w:val="both"/>
              <w:rPr>
                <w:rFonts w:asciiTheme="minorHAnsi" w:hAnsiTheme="minorHAnsi" w:cstheme="minorHAnsi"/>
                <w:sz w:val="24"/>
                <w:szCs w:val="24"/>
              </w:rPr>
            </w:pPr>
          </w:p>
          <w:p w14:paraId="16A4523D" w14:textId="77777777" w:rsidR="00142CB7" w:rsidRDefault="00142CB7" w:rsidP="00B40F8D">
            <w:pPr>
              <w:jc w:val="both"/>
              <w:rPr>
                <w:rFonts w:asciiTheme="minorHAnsi" w:hAnsiTheme="minorHAnsi" w:cstheme="minorHAnsi"/>
                <w:sz w:val="24"/>
                <w:szCs w:val="24"/>
              </w:rPr>
            </w:pPr>
          </w:p>
          <w:p w14:paraId="28D5417F" w14:textId="59778754" w:rsidR="00922A3F" w:rsidRDefault="00922A3F" w:rsidP="00B40F8D">
            <w:pPr>
              <w:jc w:val="both"/>
              <w:rPr>
                <w:rFonts w:asciiTheme="minorHAnsi" w:hAnsiTheme="minorHAnsi" w:cstheme="minorHAnsi"/>
                <w:sz w:val="24"/>
                <w:szCs w:val="24"/>
              </w:rPr>
            </w:pPr>
            <w:r w:rsidRPr="00922A3F">
              <w:rPr>
                <w:rFonts w:asciiTheme="minorHAnsi" w:hAnsiTheme="minorHAnsi" w:cstheme="minorHAnsi"/>
                <w:sz w:val="24"/>
                <w:szCs w:val="24"/>
              </w:rPr>
              <w:t>A 31 de diciembre de 202</w:t>
            </w:r>
            <w:r w:rsidR="006E74AA">
              <w:rPr>
                <w:rFonts w:asciiTheme="minorHAnsi" w:hAnsiTheme="minorHAnsi" w:cstheme="minorHAnsi"/>
                <w:sz w:val="24"/>
                <w:szCs w:val="24"/>
              </w:rPr>
              <w:t>4</w:t>
            </w:r>
            <w:r w:rsidRPr="00922A3F">
              <w:rPr>
                <w:rFonts w:asciiTheme="minorHAnsi" w:hAnsiTheme="minorHAnsi" w:cstheme="minorHAnsi"/>
                <w:sz w:val="24"/>
                <w:szCs w:val="24"/>
              </w:rPr>
              <w:t>, el importe de la Deuda Pública del Sector Público de Álava ascendía a 52</w:t>
            </w:r>
            <w:r w:rsidR="006E74AA">
              <w:rPr>
                <w:rFonts w:asciiTheme="minorHAnsi" w:hAnsiTheme="minorHAnsi" w:cstheme="minorHAnsi"/>
                <w:sz w:val="24"/>
                <w:szCs w:val="24"/>
              </w:rPr>
              <w:t>2.242.430,17</w:t>
            </w:r>
            <w:r w:rsidRPr="00922A3F">
              <w:rPr>
                <w:rFonts w:asciiTheme="minorHAnsi" w:hAnsiTheme="minorHAnsi" w:cstheme="minorHAnsi"/>
                <w:sz w:val="24"/>
                <w:szCs w:val="24"/>
              </w:rPr>
              <w:t xml:space="preserve"> euros</w:t>
            </w:r>
            <w:r>
              <w:rPr>
                <w:rFonts w:asciiTheme="minorHAnsi" w:hAnsiTheme="minorHAnsi" w:cstheme="minorHAnsi"/>
                <w:sz w:val="24"/>
                <w:szCs w:val="24"/>
              </w:rPr>
              <w:t>.</w:t>
            </w:r>
          </w:p>
          <w:p w14:paraId="5A1219A8" w14:textId="77777777" w:rsidR="009717D9" w:rsidRDefault="009717D9" w:rsidP="00B40F8D">
            <w:pPr>
              <w:jc w:val="both"/>
              <w:rPr>
                <w:rFonts w:asciiTheme="minorHAnsi" w:hAnsiTheme="minorHAnsi" w:cstheme="minorHAnsi"/>
                <w:sz w:val="24"/>
                <w:szCs w:val="24"/>
              </w:rPr>
            </w:pPr>
          </w:p>
          <w:p w14:paraId="38F3BEEF" w14:textId="5F784752" w:rsidR="00142CB7" w:rsidRPr="00142CB7" w:rsidRDefault="00142CB7" w:rsidP="00B40F8D">
            <w:pPr>
              <w:jc w:val="both"/>
              <w:rPr>
                <w:rFonts w:asciiTheme="minorHAnsi" w:hAnsiTheme="minorHAnsi" w:cstheme="minorHAnsi"/>
                <w:sz w:val="24"/>
                <w:szCs w:val="24"/>
                <w:u w:val="words"/>
              </w:rPr>
            </w:pPr>
          </w:p>
        </w:tc>
      </w:tr>
      <w:tr w:rsidR="00737B82" w:rsidRPr="008E7FCC" w14:paraId="32A9FFF6" w14:textId="77777777" w:rsidTr="00021C92">
        <w:tc>
          <w:tcPr>
            <w:tcW w:w="4605" w:type="dxa"/>
            <w:tcBorders>
              <w:right w:val="single" w:sz="4" w:space="0" w:color="808080"/>
            </w:tcBorders>
          </w:tcPr>
          <w:p w14:paraId="41841219" w14:textId="698FA320" w:rsidR="00737B82" w:rsidRPr="00DA7EE0" w:rsidRDefault="007B27ED" w:rsidP="00021C92">
            <w:pPr>
              <w:ind w:right="57"/>
              <w:jc w:val="both"/>
              <w:rPr>
                <w:rFonts w:asciiTheme="minorHAnsi" w:hAnsiTheme="minorHAnsi" w:cstheme="minorHAnsi"/>
                <w:snapToGrid w:val="0"/>
                <w:sz w:val="24"/>
                <w:szCs w:val="24"/>
              </w:rPr>
            </w:pPr>
            <w:r w:rsidRPr="007B27ED">
              <w:rPr>
                <w:rFonts w:asciiTheme="minorHAnsi" w:hAnsiTheme="minorHAnsi" w:cstheme="minorHAnsi"/>
                <w:snapToGrid w:val="0"/>
                <w:sz w:val="24"/>
                <w:szCs w:val="24"/>
              </w:rPr>
              <w:t>Beraz, bete egiten da 2024ko ekitaldirako ezarritako zor publikoaren helburua.</w:t>
            </w:r>
          </w:p>
        </w:tc>
        <w:tc>
          <w:tcPr>
            <w:tcW w:w="4605" w:type="dxa"/>
            <w:tcBorders>
              <w:left w:val="single" w:sz="4" w:space="0" w:color="808080"/>
            </w:tcBorders>
          </w:tcPr>
          <w:p w14:paraId="44EC1E9E" w14:textId="59CA6B8E" w:rsidR="00737B82" w:rsidRPr="007B27ED" w:rsidRDefault="00737B82" w:rsidP="00021C92">
            <w:pPr>
              <w:jc w:val="both"/>
              <w:rPr>
                <w:rFonts w:asciiTheme="minorHAnsi" w:hAnsiTheme="minorHAnsi" w:cstheme="minorHAnsi"/>
                <w:snapToGrid w:val="0"/>
                <w:sz w:val="24"/>
                <w:szCs w:val="24"/>
              </w:rPr>
            </w:pPr>
            <w:r w:rsidRPr="007B27ED">
              <w:rPr>
                <w:rFonts w:asciiTheme="minorHAnsi" w:hAnsiTheme="minorHAnsi" w:cstheme="minorHAnsi"/>
                <w:snapToGrid w:val="0"/>
                <w:sz w:val="24"/>
                <w:szCs w:val="24"/>
              </w:rPr>
              <w:t xml:space="preserve">Por lo tanto, </w:t>
            </w:r>
            <w:r w:rsidR="007B27ED" w:rsidRPr="007B27ED">
              <w:rPr>
                <w:rFonts w:asciiTheme="minorHAnsi" w:hAnsiTheme="minorHAnsi" w:cstheme="minorHAnsi"/>
                <w:snapToGrid w:val="0"/>
                <w:sz w:val="24"/>
                <w:szCs w:val="24"/>
              </w:rPr>
              <w:t>se</w:t>
            </w:r>
            <w:r w:rsidRPr="007B27ED">
              <w:rPr>
                <w:rFonts w:asciiTheme="minorHAnsi" w:hAnsiTheme="minorHAnsi" w:cstheme="minorHAnsi"/>
                <w:snapToGrid w:val="0"/>
                <w:sz w:val="24"/>
                <w:szCs w:val="24"/>
              </w:rPr>
              <w:t xml:space="preserve"> cumple con el objetivo de deuda pública establecido para el ejercicio 202</w:t>
            </w:r>
            <w:r w:rsidR="00CF3831">
              <w:rPr>
                <w:rFonts w:asciiTheme="minorHAnsi" w:hAnsiTheme="minorHAnsi" w:cstheme="minorHAnsi"/>
                <w:snapToGrid w:val="0"/>
                <w:sz w:val="24"/>
                <w:szCs w:val="24"/>
              </w:rPr>
              <w:t>5</w:t>
            </w:r>
            <w:r w:rsidRPr="007B27ED">
              <w:rPr>
                <w:rFonts w:asciiTheme="minorHAnsi" w:hAnsiTheme="minorHAnsi" w:cstheme="minorHAnsi"/>
                <w:snapToGrid w:val="0"/>
                <w:sz w:val="24"/>
                <w:szCs w:val="24"/>
              </w:rPr>
              <w:t>.</w:t>
            </w:r>
          </w:p>
          <w:p w14:paraId="315F5E1B" w14:textId="77777777" w:rsidR="00737B82" w:rsidRPr="00922A3F" w:rsidRDefault="00737B82" w:rsidP="00021C92">
            <w:pPr>
              <w:jc w:val="both"/>
              <w:rPr>
                <w:rFonts w:asciiTheme="minorHAnsi" w:hAnsiTheme="minorHAnsi" w:cstheme="minorHAnsi"/>
                <w:sz w:val="24"/>
                <w:szCs w:val="24"/>
              </w:rPr>
            </w:pPr>
          </w:p>
        </w:tc>
      </w:tr>
    </w:tbl>
    <w:p w14:paraId="31D396FE" w14:textId="77777777" w:rsidR="0039580C" w:rsidRPr="006F19A5" w:rsidRDefault="0039580C">
      <w:pPr>
        <w:rPr>
          <w:rFonts w:asciiTheme="minorHAnsi" w:hAnsiTheme="minorHAnsi" w:cstheme="minorHAnsi"/>
          <w:snapToGrid w:val="0"/>
          <w:sz w:val="24"/>
          <w:szCs w:val="24"/>
        </w:rPr>
      </w:pPr>
    </w:p>
    <w:sectPr w:rsidR="0039580C" w:rsidRPr="006F19A5" w:rsidSect="00CB0FEF">
      <w:headerReference w:type="default" r:id="rId25"/>
      <w:headerReference w:type="first" r:id="rId26"/>
      <w:pgSz w:w="11906" w:h="16838" w:code="9"/>
      <w:pgMar w:top="1418" w:right="567"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006E" w14:textId="77777777" w:rsidR="00E71F38" w:rsidRDefault="00E71F38">
      <w:r>
        <w:separator/>
      </w:r>
    </w:p>
  </w:endnote>
  <w:endnote w:type="continuationSeparator" w:id="0">
    <w:p w14:paraId="72E84E01" w14:textId="77777777" w:rsidR="00E71F38" w:rsidRDefault="00E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1835" w14:textId="77777777" w:rsidR="00E71F38" w:rsidRDefault="00E71F38">
      <w:r>
        <w:separator/>
      </w:r>
    </w:p>
  </w:footnote>
  <w:footnote w:type="continuationSeparator" w:id="0">
    <w:p w14:paraId="59EB7CEC" w14:textId="77777777" w:rsidR="00E71F38" w:rsidRDefault="00E7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54D24431" w14:textId="77777777" w:rsidTr="009B0DF3">
      <w:tc>
        <w:tcPr>
          <w:tcW w:w="6591" w:type="dxa"/>
        </w:tcPr>
        <w:p w14:paraId="4A8689EA" w14:textId="77777777" w:rsidR="00231F31" w:rsidRDefault="00231F31" w:rsidP="009B0DF3">
          <w:pPr>
            <w:pStyle w:val="Encabezado"/>
            <w:ind w:left="74"/>
            <w:rPr>
              <w:noProof/>
              <w:sz w:val="16"/>
            </w:rPr>
          </w:pPr>
          <w:r>
            <w:rPr>
              <w:noProof/>
              <w:sz w:val="16"/>
            </w:rPr>
            <w:object w:dxaOrig="3301" w:dyaOrig="1126" w14:anchorId="6DD3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44329719" r:id="rId2"/>
            </w:object>
          </w:r>
        </w:p>
        <w:p w14:paraId="2665C5A7" w14:textId="77777777" w:rsidR="00231F31" w:rsidRDefault="00231F31" w:rsidP="009B0DF3">
          <w:pPr>
            <w:pStyle w:val="Encabezado"/>
            <w:ind w:left="1064"/>
            <w:rPr>
              <w:noProof/>
              <w:sz w:val="16"/>
            </w:rPr>
          </w:pPr>
        </w:p>
      </w:tc>
      <w:tc>
        <w:tcPr>
          <w:tcW w:w="2551" w:type="dxa"/>
        </w:tcPr>
        <w:p w14:paraId="295C63DF"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870316F"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3255DD7"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2B8DFE3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015F2AAD"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3AF4F162"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61DD21D4" w14:textId="77777777" w:rsidR="00231F31" w:rsidRDefault="00231F31" w:rsidP="009B0DF3">
          <w:pPr>
            <w:pStyle w:val="Encabezado"/>
            <w:ind w:left="-70"/>
            <w:rPr>
              <w:noProof/>
              <w:sz w:val="16"/>
            </w:rPr>
          </w:pPr>
        </w:p>
        <w:p w14:paraId="7B67B687" w14:textId="77777777" w:rsidR="00231F31" w:rsidRDefault="00231F31" w:rsidP="009B0DF3">
          <w:pPr>
            <w:pStyle w:val="Encabezado"/>
            <w:ind w:left="-70"/>
            <w:rPr>
              <w:noProof/>
              <w:sz w:val="18"/>
            </w:rPr>
          </w:pPr>
        </w:p>
      </w:tc>
    </w:tr>
  </w:tbl>
  <w:p w14:paraId="218EDC0D" w14:textId="77777777" w:rsidR="00231F31" w:rsidRDefault="00EB7BE0" w:rsidP="002C4DDC">
    <w:pPr>
      <w:pStyle w:val="Encabezado"/>
    </w:pPr>
    <w:r>
      <w:pict w14:anchorId="7654C792">
        <v:shape id="_x0000_i1026"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7163BDD9" w14:textId="77777777" w:rsidTr="005133A3">
      <w:tc>
        <w:tcPr>
          <w:tcW w:w="9210" w:type="dxa"/>
        </w:tcPr>
        <w:p w14:paraId="009CA6CF" w14:textId="7347876F" w:rsidR="00231F31" w:rsidRPr="001149EF" w:rsidRDefault="00281833" w:rsidP="005133A3">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w:t>
          </w:r>
          <w:r w:rsidR="00371557">
            <w:rPr>
              <w:rFonts w:asciiTheme="minorHAnsi" w:hAnsiTheme="minorHAnsi" w:cstheme="minorHAnsi"/>
              <w:b/>
              <w:sz w:val="24"/>
              <w:szCs w:val="24"/>
            </w:rPr>
            <w:t>5</w:t>
          </w:r>
          <w:r w:rsidR="00231F31" w:rsidRPr="001149EF">
            <w:rPr>
              <w:rFonts w:asciiTheme="minorHAnsi" w:hAnsiTheme="minorHAnsi" w:cstheme="minorHAnsi"/>
              <w:b/>
              <w:sz w:val="24"/>
              <w:szCs w:val="24"/>
            </w:rPr>
            <w:t xml:space="preserve">/ </w:t>
          </w:r>
        </w:p>
        <w:p w14:paraId="14B7FCA3" w14:textId="5AE64D22" w:rsidR="00231F31" w:rsidRPr="001149EF" w:rsidRDefault="00231F31" w:rsidP="006B67BC">
          <w:pPr>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 – 20</w:t>
          </w:r>
          <w:r w:rsidR="00B23FA6">
            <w:rPr>
              <w:rFonts w:asciiTheme="minorHAnsi" w:hAnsiTheme="minorHAnsi" w:cstheme="minorHAnsi"/>
              <w:b/>
              <w:sz w:val="24"/>
              <w:szCs w:val="24"/>
            </w:rPr>
            <w:t>2</w:t>
          </w:r>
          <w:r w:rsidR="00371557">
            <w:rPr>
              <w:rFonts w:asciiTheme="minorHAnsi" w:hAnsiTheme="minorHAnsi" w:cstheme="minorHAnsi"/>
              <w:b/>
              <w:sz w:val="24"/>
              <w:szCs w:val="24"/>
            </w:rPr>
            <w:t>5</w:t>
          </w:r>
        </w:p>
      </w:tc>
    </w:tr>
  </w:tbl>
  <w:p w14:paraId="1A7721DC" w14:textId="77777777" w:rsidR="00231F31" w:rsidRDefault="00EB7BE0" w:rsidP="0020017B">
    <w:pPr>
      <w:pStyle w:val="Encabezado"/>
      <w:spacing w:before="120" w:after="120"/>
    </w:pPr>
    <w:r>
      <w:pict w14:anchorId="2D7930BD">
        <v:shape id="_x0000_i1027" type="#_x0000_t75" style="width:567pt;height:7.1pt;mso-position-horizontal:absolute" o:hrpct="0" o:hralign="center" o:hr="t">
          <v:imagedata r:id="rId3" o:title="BD10290_"/>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67D80899" w14:textId="77777777" w:rsidTr="009B0DF3">
      <w:tc>
        <w:tcPr>
          <w:tcW w:w="6591" w:type="dxa"/>
        </w:tcPr>
        <w:p w14:paraId="206D6F84" w14:textId="77777777" w:rsidR="00231F31" w:rsidRDefault="00231F31" w:rsidP="009B0DF3">
          <w:pPr>
            <w:pStyle w:val="Encabezado"/>
            <w:ind w:left="74"/>
            <w:rPr>
              <w:noProof/>
              <w:sz w:val="16"/>
            </w:rPr>
          </w:pPr>
          <w:r>
            <w:rPr>
              <w:noProof/>
              <w:sz w:val="16"/>
            </w:rPr>
            <w:object w:dxaOrig="3301" w:dyaOrig="1126" w14:anchorId="1D4F9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75pt;height:56.25pt" fillcolor="window">
                <v:imagedata r:id="rId1" o:title=""/>
              </v:shape>
              <o:OLEObject Type="Embed" ProgID="Word.Picture.8" ShapeID="_x0000_i1028" DrawAspect="Content" ObjectID="_1844329720" r:id="rId2"/>
            </w:object>
          </w:r>
        </w:p>
        <w:p w14:paraId="215BDFAA" w14:textId="77777777" w:rsidR="00231F31" w:rsidRDefault="00231F31" w:rsidP="009B0DF3">
          <w:pPr>
            <w:pStyle w:val="Encabezado"/>
            <w:ind w:left="1064"/>
            <w:rPr>
              <w:noProof/>
              <w:sz w:val="16"/>
            </w:rPr>
          </w:pPr>
        </w:p>
      </w:tc>
      <w:tc>
        <w:tcPr>
          <w:tcW w:w="2551" w:type="dxa"/>
        </w:tcPr>
        <w:p w14:paraId="5CA045E3"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BA5FA1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79784262"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15979760"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7396F565"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01511463"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1E87D4A3" w14:textId="77777777" w:rsidR="00231F31" w:rsidRDefault="00231F31" w:rsidP="009B0DF3">
          <w:pPr>
            <w:pStyle w:val="Encabezado"/>
            <w:ind w:left="-70"/>
            <w:rPr>
              <w:noProof/>
              <w:sz w:val="16"/>
            </w:rPr>
          </w:pPr>
        </w:p>
        <w:p w14:paraId="5BF52D4F" w14:textId="77777777" w:rsidR="00231F31" w:rsidRDefault="00231F31" w:rsidP="009B0DF3">
          <w:pPr>
            <w:pStyle w:val="Encabezado"/>
            <w:ind w:left="-70"/>
            <w:rPr>
              <w:noProof/>
              <w:sz w:val="18"/>
            </w:rPr>
          </w:pPr>
        </w:p>
      </w:tc>
    </w:tr>
  </w:tbl>
  <w:p w14:paraId="65CED675" w14:textId="77777777" w:rsidR="00231F31" w:rsidRDefault="00EB7BE0" w:rsidP="002C4DDC">
    <w:pPr>
      <w:pStyle w:val="Encabezado"/>
    </w:pPr>
    <w:r>
      <w:pict w14:anchorId="1067C0DE">
        <v:shape id="_x0000_i1029"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2896425A" w14:textId="77777777" w:rsidTr="005133A3">
      <w:tc>
        <w:tcPr>
          <w:tcW w:w="9210" w:type="dxa"/>
        </w:tcPr>
        <w:p w14:paraId="4B063087" w14:textId="0F94E00C" w:rsidR="00231F31" w:rsidRPr="001149EF" w:rsidRDefault="00281833" w:rsidP="005133A3">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w:t>
          </w:r>
          <w:r w:rsidR="002C7614">
            <w:rPr>
              <w:rFonts w:asciiTheme="minorHAnsi" w:hAnsiTheme="minorHAnsi" w:cstheme="minorHAnsi"/>
              <w:b/>
              <w:sz w:val="24"/>
              <w:szCs w:val="24"/>
            </w:rPr>
            <w:t>5</w:t>
          </w:r>
          <w:r w:rsidR="00231F31" w:rsidRPr="001149EF">
            <w:rPr>
              <w:rFonts w:asciiTheme="minorHAnsi" w:hAnsiTheme="minorHAnsi" w:cstheme="minorHAnsi"/>
              <w:b/>
              <w:sz w:val="24"/>
              <w:szCs w:val="24"/>
            </w:rPr>
            <w:t xml:space="preserve">/ </w:t>
          </w:r>
        </w:p>
        <w:p w14:paraId="478085B5" w14:textId="5CA899BD" w:rsidR="00231F31" w:rsidRPr="005133A3" w:rsidRDefault="00231F31" w:rsidP="006B67BC">
          <w:pPr>
            <w:ind w:left="170"/>
            <w:jc w:val="both"/>
            <w:rPr>
              <w:rFonts w:ascii="Arial" w:hAnsi="Arial" w:cs="Arial"/>
              <w:b/>
              <w:sz w:val="24"/>
              <w:szCs w:val="24"/>
            </w:rPr>
          </w:pPr>
          <w:r w:rsidRPr="001149EF">
            <w:rPr>
              <w:rFonts w:asciiTheme="minorHAnsi" w:hAnsiTheme="minorHAnsi" w:cstheme="minorHAnsi"/>
              <w:b/>
              <w:sz w:val="24"/>
              <w:szCs w:val="24"/>
            </w:rPr>
            <w:t xml:space="preserve"> INFORME DE ESTABILIDAD PRESUPUESTARIA Y SOSTENIBILIDAD FINANCIERA - 20</w:t>
          </w:r>
          <w:r w:rsidR="00B23FA6">
            <w:rPr>
              <w:rFonts w:asciiTheme="minorHAnsi" w:hAnsiTheme="minorHAnsi" w:cstheme="minorHAnsi"/>
              <w:b/>
              <w:sz w:val="24"/>
              <w:szCs w:val="24"/>
            </w:rPr>
            <w:t>2</w:t>
          </w:r>
          <w:r w:rsidR="002C7614">
            <w:rPr>
              <w:rFonts w:asciiTheme="minorHAnsi" w:hAnsiTheme="minorHAnsi" w:cstheme="minorHAnsi"/>
              <w:b/>
              <w:sz w:val="24"/>
              <w:szCs w:val="24"/>
            </w:rPr>
            <w:t>5</w:t>
          </w:r>
        </w:p>
      </w:tc>
    </w:tr>
  </w:tbl>
  <w:p w14:paraId="277C491E" w14:textId="77777777" w:rsidR="00231F31" w:rsidRDefault="00EB7BE0" w:rsidP="0020017B">
    <w:pPr>
      <w:pStyle w:val="Encabezado"/>
      <w:spacing w:before="120" w:after="120"/>
    </w:pPr>
    <w:r>
      <w:pict w14:anchorId="775EBEDD">
        <v:shape id="_x0000_i1030" type="#_x0000_t75" style="width:567pt;height:7.1pt;mso-position-horizontal:absolute" o:hrpct="0" o:hralign="center" o:hr="t">
          <v:imagedata r:id="rId3" o:title="BD10290_"/>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78" w:type="dxa"/>
      <w:tblLayout w:type="fixed"/>
      <w:tblCellMar>
        <w:left w:w="70" w:type="dxa"/>
        <w:right w:w="70" w:type="dxa"/>
      </w:tblCellMar>
      <w:tblLook w:val="0000" w:firstRow="0" w:lastRow="0" w:firstColumn="0" w:lastColumn="0" w:noHBand="0" w:noVBand="0"/>
    </w:tblPr>
    <w:tblGrid>
      <w:gridCol w:w="6591"/>
      <w:gridCol w:w="2551"/>
      <w:gridCol w:w="1064"/>
      <w:gridCol w:w="3472"/>
    </w:tblGrid>
    <w:tr w:rsidR="00231F31" w14:paraId="23F5C30E" w14:textId="77777777" w:rsidTr="00693004">
      <w:tc>
        <w:tcPr>
          <w:tcW w:w="10206" w:type="dxa"/>
          <w:gridSpan w:val="3"/>
        </w:tcPr>
        <w:p w14:paraId="40EDD234" w14:textId="77777777" w:rsidR="00231F31" w:rsidRDefault="00231F31" w:rsidP="00E041FE">
          <w:pPr>
            <w:pStyle w:val="Encabezado"/>
            <w:ind w:left="1064"/>
            <w:rPr>
              <w:noProof/>
              <w:sz w:val="16"/>
            </w:rPr>
          </w:pPr>
        </w:p>
      </w:tc>
      <w:tc>
        <w:tcPr>
          <w:tcW w:w="3472" w:type="dxa"/>
        </w:tcPr>
        <w:p w14:paraId="09BC9D93" w14:textId="77777777" w:rsidR="00231F31" w:rsidRDefault="00231F31" w:rsidP="00E041FE">
          <w:pPr>
            <w:pStyle w:val="Encabezado"/>
            <w:ind w:left="-70"/>
            <w:rPr>
              <w:noProof/>
              <w:sz w:val="18"/>
            </w:rPr>
          </w:pPr>
        </w:p>
      </w:tc>
    </w:tr>
    <w:tr w:rsidR="00693004" w14:paraId="7C7335AC" w14:textId="77777777" w:rsidTr="00693004">
      <w:trPr>
        <w:gridAfter w:val="2"/>
        <w:wAfter w:w="4536" w:type="dxa"/>
      </w:trPr>
      <w:tc>
        <w:tcPr>
          <w:tcW w:w="6591" w:type="dxa"/>
        </w:tcPr>
        <w:p w14:paraId="216B2B3D" w14:textId="77777777" w:rsidR="00693004" w:rsidRDefault="00693004" w:rsidP="00693004">
          <w:pPr>
            <w:pStyle w:val="Encabezado"/>
            <w:ind w:left="74"/>
            <w:rPr>
              <w:noProof/>
              <w:sz w:val="16"/>
            </w:rPr>
          </w:pPr>
          <w:r>
            <w:rPr>
              <w:noProof/>
              <w:sz w:val="16"/>
            </w:rPr>
            <w:object w:dxaOrig="3301" w:dyaOrig="1126" w14:anchorId="6F147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5.75pt;height:56.25pt" fillcolor="window">
                <v:imagedata r:id="rId1" o:title=""/>
              </v:shape>
              <o:OLEObject Type="Embed" ProgID="Word.Picture.8" ShapeID="_x0000_i1031" DrawAspect="Content" ObjectID="_1844329721" r:id="rId2"/>
            </w:object>
          </w:r>
        </w:p>
        <w:p w14:paraId="27667870" w14:textId="77777777" w:rsidR="00693004" w:rsidRDefault="00693004" w:rsidP="00693004">
          <w:pPr>
            <w:pStyle w:val="Encabezado"/>
            <w:ind w:left="1064"/>
            <w:rPr>
              <w:noProof/>
              <w:sz w:val="16"/>
            </w:rPr>
          </w:pPr>
        </w:p>
      </w:tc>
      <w:tc>
        <w:tcPr>
          <w:tcW w:w="2551" w:type="dxa"/>
        </w:tcPr>
        <w:p w14:paraId="212719C9"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7414F73A"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35D69A6"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11AAEFA2"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65B7C3A9" w14:textId="77777777" w:rsidR="00693004" w:rsidRPr="00A57E5E" w:rsidRDefault="00693004" w:rsidP="00693004">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55DA11DF" w14:textId="77777777" w:rsidR="00693004" w:rsidRPr="00A57E5E" w:rsidRDefault="00693004" w:rsidP="00693004">
          <w:pPr>
            <w:pStyle w:val="Encabezado"/>
            <w:ind w:left="-70"/>
            <w:rPr>
              <w:rFonts w:ascii="Arial" w:hAnsi="Arial" w:cs="Arial"/>
              <w:noProof/>
              <w:sz w:val="16"/>
            </w:rPr>
          </w:pPr>
          <w:r w:rsidRPr="00A57E5E">
            <w:rPr>
              <w:rFonts w:ascii="Arial" w:hAnsi="Arial" w:cs="Arial"/>
              <w:noProof/>
              <w:sz w:val="16"/>
            </w:rPr>
            <w:t>Servicio de Contabilidad</w:t>
          </w:r>
        </w:p>
        <w:p w14:paraId="29EC6BEF" w14:textId="77777777" w:rsidR="00693004" w:rsidRDefault="00693004" w:rsidP="00693004">
          <w:pPr>
            <w:pStyle w:val="Encabezado"/>
            <w:ind w:left="-70"/>
            <w:rPr>
              <w:noProof/>
              <w:sz w:val="16"/>
            </w:rPr>
          </w:pPr>
        </w:p>
        <w:p w14:paraId="6DF57415" w14:textId="77777777" w:rsidR="00693004" w:rsidRDefault="00693004" w:rsidP="00693004">
          <w:pPr>
            <w:pStyle w:val="Encabezado"/>
            <w:ind w:left="-70"/>
            <w:rPr>
              <w:noProof/>
              <w:sz w:val="18"/>
            </w:rPr>
          </w:pPr>
        </w:p>
      </w:tc>
    </w:tr>
  </w:tbl>
  <w:p w14:paraId="6ADF04FD" w14:textId="77777777" w:rsidR="00693004" w:rsidRDefault="00EB7BE0" w:rsidP="00693004">
    <w:pPr>
      <w:pStyle w:val="Encabezado"/>
    </w:pPr>
    <w:r>
      <w:pict w14:anchorId="7F9414C2">
        <v:shape id="_x0000_i1032"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693004" w:rsidRPr="002C5A81" w14:paraId="3827E480" w14:textId="77777777" w:rsidTr="00BE2406">
      <w:tc>
        <w:tcPr>
          <w:tcW w:w="9210" w:type="dxa"/>
        </w:tcPr>
        <w:p w14:paraId="08CF4158" w14:textId="66829D41" w:rsidR="00693004" w:rsidRPr="001149EF" w:rsidRDefault="00281833" w:rsidP="00693004">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w:t>
          </w:r>
          <w:r w:rsidR="00371557">
            <w:rPr>
              <w:rFonts w:asciiTheme="minorHAnsi" w:hAnsiTheme="minorHAnsi" w:cstheme="minorHAnsi"/>
              <w:b/>
              <w:sz w:val="24"/>
              <w:szCs w:val="24"/>
            </w:rPr>
            <w:t>5</w:t>
          </w:r>
          <w:r w:rsidR="00693004" w:rsidRPr="001149EF">
            <w:rPr>
              <w:rFonts w:asciiTheme="minorHAnsi" w:hAnsiTheme="minorHAnsi" w:cstheme="minorHAnsi"/>
              <w:b/>
              <w:sz w:val="24"/>
              <w:szCs w:val="24"/>
            </w:rPr>
            <w:t xml:space="preserve">/ </w:t>
          </w:r>
        </w:p>
        <w:p w14:paraId="120A81F2" w14:textId="5AA92E82" w:rsidR="00693004" w:rsidRPr="001149EF" w:rsidRDefault="00693004" w:rsidP="00693004">
          <w:pPr>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 – 20</w:t>
          </w:r>
          <w:r>
            <w:rPr>
              <w:rFonts w:asciiTheme="minorHAnsi" w:hAnsiTheme="minorHAnsi" w:cstheme="minorHAnsi"/>
              <w:b/>
              <w:sz w:val="24"/>
              <w:szCs w:val="24"/>
            </w:rPr>
            <w:t>2</w:t>
          </w:r>
          <w:r w:rsidR="00371557">
            <w:rPr>
              <w:rFonts w:asciiTheme="minorHAnsi" w:hAnsiTheme="minorHAnsi" w:cstheme="minorHAnsi"/>
              <w:b/>
              <w:sz w:val="24"/>
              <w:szCs w:val="24"/>
            </w:rPr>
            <w:t>5</w:t>
          </w:r>
        </w:p>
      </w:tc>
    </w:tr>
  </w:tbl>
  <w:p w14:paraId="6D75D631" w14:textId="77777777" w:rsidR="00693004" w:rsidRDefault="00EB7BE0" w:rsidP="00693004">
    <w:pPr>
      <w:pStyle w:val="Encabezado"/>
      <w:spacing w:before="120" w:after="120"/>
    </w:pPr>
    <w:r>
      <w:pict w14:anchorId="6EED51E2">
        <v:shape id="_x0000_i1033" type="#_x0000_t75" style="width:567pt;height:7.1pt;mso-position-horizontal:absolute" o:hrpct="0" o:hralign="center" o:hr="t">
          <v:imagedata r:id="rId3" o:title="BD10290_"/>
        </v:shape>
      </w:pict>
    </w:r>
  </w:p>
  <w:p w14:paraId="4B44A856" w14:textId="22822308" w:rsidR="00231F31" w:rsidRDefault="00231F3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60FDAFD4" w14:textId="77777777" w:rsidTr="009B0DF3">
      <w:tc>
        <w:tcPr>
          <w:tcW w:w="6591" w:type="dxa"/>
        </w:tcPr>
        <w:p w14:paraId="645F3FB5" w14:textId="77777777" w:rsidR="00231F31" w:rsidRDefault="00231F31" w:rsidP="009B0DF3">
          <w:pPr>
            <w:pStyle w:val="Encabezado"/>
            <w:ind w:left="74"/>
            <w:rPr>
              <w:noProof/>
              <w:sz w:val="16"/>
            </w:rPr>
          </w:pPr>
          <w:r>
            <w:rPr>
              <w:noProof/>
              <w:sz w:val="16"/>
            </w:rPr>
            <w:object w:dxaOrig="3301" w:dyaOrig="1126" w14:anchorId="19493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75pt;height:56.25pt" fillcolor="window">
                <v:imagedata r:id="rId1" o:title=""/>
              </v:shape>
              <o:OLEObject Type="Embed" ProgID="Word.Picture.8" ShapeID="_x0000_i1034" DrawAspect="Content" ObjectID="_1844329722" r:id="rId2"/>
            </w:object>
          </w:r>
        </w:p>
        <w:p w14:paraId="351BED27" w14:textId="77777777" w:rsidR="00231F31" w:rsidRDefault="00231F31" w:rsidP="009B0DF3">
          <w:pPr>
            <w:pStyle w:val="Encabezado"/>
            <w:ind w:left="1064"/>
            <w:rPr>
              <w:noProof/>
              <w:sz w:val="16"/>
            </w:rPr>
          </w:pPr>
        </w:p>
      </w:tc>
      <w:tc>
        <w:tcPr>
          <w:tcW w:w="2551" w:type="dxa"/>
        </w:tcPr>
        <w:p w14:paraId="0B65C850"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AC2620E"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E388761"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09AE7B5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05BE900D"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7AA8F539"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ED475E1" w14:textId="77777777" w:rsidR="00231F31" w:rsidRDefault="00231F31" w:rsidP="009B0DF3">
          <w:pPr>
            <w:pStyle w:val="Encabezado"/>
            <w:ind w:left="-70"/>
            <w:rPr>
              <w:noProof/>
              <w:sz w:val="16"/>
            </w:rPr>
          </w:pPr>
        </w:p>
        <w:p w14:paraId="77BB2169" w14:textId="77777777" w:rsidR="00231F31" w:rsidRDefault="00231F31" w:rsidP="009B0DF3">
          <w:pPr>
            <w:pStyle w:val="Encabezado"/>
            <w:ind w:left="-70"/>
            <w:rPr>
              <w:noProof/>
              <w:sz w:val="18"/>
            </w:rPr>
          </w:pPr>
        </w:p>
      </w:tc>
    </w:tr>
  </w:tbl>
  <w:p w14:paraId="7F4F4D6D" w14:textId="77777777" w:rsidR="00231F31" w:rsidRDefault="00EB7BE0" w:rsidP="002C4DDC">
    <w:pPr>
      <w:pStyle w:val="Encabezado"/>
    </w:pPr>
    <w:r>
      <w:pict w14:anchorId="28F77036">
        <v:shape id="_x0000_i1035"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4AE6573D" w14:textId="77777777" w:rsidTr="005133A3">
      <w:tc>
        <w:tcPr>
          <w:tcW w:w="9210" w:type="dxa"/>
        </w:tcPr>
        <w:p w14:paraId="205A40A4" w14:textId="6FE98F79" w:rsidR="00231F31" w:rsidRPr="00FE0D4F" w:rsidRDefault="00281833" w:rsidP="00492A0B">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w:t>
          </w:r>
          <w:r w:rsidR="004050FC">
            <w:rPr>
              <w:rFonts w:asciiTheme="minorHAnsi" w:hAnsiTheme="minorHAnsi" w:cstheme="minorHAnsi"/>
              <w:b/>
              <w:sz w:val="24"/>
              <w:szCs w:val="24"/>
            </w:rPr>
            <w:t>5</w:t>
          </w:r>
          <w:r w:rsidR="00231F31" w:rsidRPr="00FE0D4F">
            <w:rPr>
              <w:rFonts w:asciiTheme="minorHAnsi" w:hAnsiTheme="minorHAnsi" w:cstheme="minorHAnsi"/>
              <w:b/>
              <w:sz w:val="24"/>
              <w:szCs w:val="24"/>
            </w:rPr>
            <w:t xml:space="preserve"> / </w:t>
          </w:r>
        </w:p>
        <w:p w14:paraId="416E98BD" w14:textId="32066F7B" w:rsidR="00231F31" w:rsidRPr="005133A3" w:rsidRDefault="00231F31" w:rsidP="00231F31">
          <w:pPr>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w:t>
          </w:r>
          <w:r w:rsidR="00AB0C97">
            <w:rPr>
              <w:rFonts w:asciiTheme="minorHAnsi" w:hAnsiTheme="minorHAnsi" w:cstheme="minorHAnsi"/>
              <w:b/>
              <w:sz w:val="24"/>
              <w:szCs w:val="24"/>
            </w:rPr>
            <w:t>2</w:t>
          </w:r>
          <w:r w:rsidR="004050FC">
            <w:rPr>
              <w:rFonts w:asciiTheme="minorHAnsi" w:hAnsiTheme="minorHAnsi" w:cstheme="minorHAnsi"/>
              <w:b/>
              <w:sz w:val="24"/>
              <w:szCs w:val="24"/>
            </w:rPr>
            <w:t>5</w:t>
          </w:r>
        </w:p>
      </w:tc>
    </w:tr>
  </w:tbl>
  <w:p w14:paraId="01AD8B11" w14:textId="77777777" w:rsidR="00231F31" w:rsidRDefault="00EB7BE0" w:rsidP="0020017B">
    <w:pPr>
      <w:pStyle w:val="Encabezado"/>
      <w:spacing w:before="120" w:after="120"/>
    </w:pPr>
    <w:r>
      <w:pict w14:anchorId="37989146">
        <v:shape id="_x0000_i1036" type="#_x0000_t75" style="width:567pt;height:7.1pt;mso-position-horizontal:absolute" o:hrpct="0" o:hralign="center" o:hr="t">
          <v:imagedata r:id="rId3" o:title="BD10290_"/>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14:paraId="66C8EF6C" w14:textId="77777777" w:rsidTr="00451A5F">
      <w:tc>
        <w:tcPr>
          <w:tcW w:w="10985" w:type="dxa"/>
        </w:tcPr>
        <w:p w14:paraId="58EDBE36" w14:textId="77777777" w:rsidR="00231F31" w:rsidRDefault="00231F31" w:rsidP="009B0DF3">
          <w:pPr>
            <w:pStyle w:val="Encabezado"/>
            <w:ind w:left="74"/>
            <w:rPr>
              <w:noProof/>
              <w:sz w:val="16"/>
            </w:rPr>
          </w:pPr>
          <w:r>
            <w:rPr>
              <w:noProof/>
              <w:sz w:val="16"/>
            </w:rPr>
            <w:object w:dxaOrig="3301" w:dyaOrig="1126" w14:anchorId="7309F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65.75pt;height:56.25pt" fillcolor="window">
                <v:imagedata r:id="rId1" o:title=""/>
              </v:shape>
              <o:OLEObject Type="Embed" ProgID="Word.Picture.8" ShapeID="_x0000_i1067" DrawAspect="Content" ObjectID="_1844329723" r:id="rId2"/>
            </w:object>
          </w:r>
        </w:p>
        <w:p w14:paraId="33A709E4" w14:textId="77777777" w:rsidR="00231F31" w:rsidRDefault="00231F31" w:rsidP="009B0DF3">
          <w:pPr>
            <w:pStyle w:val="Encabezado"/>
            <w:ind w:left="1064"/>
            <w:rPr>
              <w:noProof/>
              <w:sz w:val="16"/>
            </w:rPr>
          </w:pPr>
        </w:p>
      </w:tc>
      <w:tc>
        <w:tcPr>
          <w:tcW w:w="2693" w:type="dxa"/>
        </w:tcPr>
        <w:p w14:paraId="2A33355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992F9D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6878AC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78E35CF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4573434E"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71E9E8AA"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58FC016" w14:textId="77777777" w:rsidR="00231F31" w:rsidRDefault="00231F31" w:rsidP="009B0DF3">
          <w:pPr>
            <w:pStyle w:val="Encabezado"/>
            <w:ind w:left="-70"/>
            <w:rPr>
              <w:noProof/>
              <w:sz w:val="18"/>
            </w:rPr>
          </w:pPr>
        </w:p>
      </w:tc>
    </w:tr>
  </w:tbl>
  <w:p w14:paraId="4595DD7F" w14:textId="77777777" w:rsidR="00231F31" w:rsidRDefault="00EB7BE0" w:rsidP="00482817">
    <w:pPr>
      <w:pStyle w:val="Encabezado"/>
    </w:pPr>
    <w:r>
      <w:pict w14:anchorId="5FC05A5A">
        <v:shape id="_x0000_i1068"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14:paraId="4C5C53D3" w14:textId="77777777" w:rsidTr="005133A3">
      <w:tc>
        <w:tcPr>
          <w:tcW w:w="13716" w:type="dxa"/>
        </w:tcPr>
        <w:p w14:paraId="215F341F" w14:textId="20A9B4A4" w:rsidR="00231F31" w:rsidRPr="00FE0D4F" w:rsidRDefault="00281833" w:rsidP="00501773">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w:t>
          </w:r>
          <w:r w:rsidR="00371557">
            <w:rPr>
              <w:rFonts w:asciiTheme="minorHAnsi" w:hAnsiTheme="minorHAnsi" w:cstheme="minorHAnsi"/>
              <w:b/>
              <w:sz w:val="24"/>
              <w:szCs w:val="24"/>
            </w:rPr>
            <w:t>5</w:t>
          </w:r>
          <w:r w:rsidR="00231F31" w:rsidRPr="00FE0D4F">
            <w:rPr>
              <w:rFonts w:asciiTheme="minorHAnsi" w:hAnsiTheme="minorHAnsi" w:cstheme="minorHAnsi"/>
              <w:b/>
              <w:sz w:val="24"/>
              <w:szCs w:val="24"/>
            </w:rPr>
            <w:t xml:space="preserve">/ </w:t>
          </w:r>
        </w:p>
        <w:p w14:paraId="5C5F3AB7" w14:textId="3F289D03"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w:t>
          </w:r>
          <w:r w:rsidR="003218D4">
            <w:rPr>
              <w:rFonts w:asciiTheme="minorHAnsi" w:hAnsiTheme="minorHAnsi" w:cstheme="minorHAnsi"/>
              <w:b/>
              <w:sz w:val="24"/>
              <w:szCs w:val="24"/>
            </w:rPr>
            <w:t>2</w:t>
          </w:r>
          <w:r w:rsidR="00371557">
            <w:rPr>
              <w:rFonts w:asciiTheme="minorHAnsi" w:hAnsiTheme="minorHAnsi" w:cstheme="minorHAnsi"/>
              <w:b/>
              <w:sz w:val="24"/>
              <w:szCs w:val="24"/>
            </w:rPr>
            <w:t>5</w:t>
          </w:r>
        </w:p>
      </w:tc>
    </w:tr>
  </w:tbl>
  <w:p w14:paraId="0D089B39" w14:textId="77777777" w:rsidR="00231F31" w:rsidRDefault="00EB7BE0">
    <w:pPr>
      <w:pStyle w:val="Encabezado"/>
    </w:pPr>
    <w:r>
      <w:pict w14:anchorId="71571F29">
        <v:shape id="_x0000_i1069" type="#_x0000_t75" style="width:680.4pt;height:7.1pt" o:hrpct="0" o:hr="t">
          <v:imagedata r:id="rId3" o:title="BD10290_"/>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14:paraId="5E087FC9" w14:textId="77777777" w:rsidTr="00451A5F">
      <w:tc>
        <w:tcPr>
          <w:tcW w:w="10985" w:type="dxa"/>
        </w:tcPr>
        <w:p w14:paraId="56AE3909" w14:textId="77777777" w:rsidR="00231F31" w:rsidRDefault="00231F31" w:rsidP="009B0DF3">
          <w:pPr>
            <w:pStyle w:val="Encabezado"/>
            <w:ind w:left="74"/>
            <w:rPr>
              <w:noProof/>
              <w:sz w:val="16"/>
            </w:rPr>
          </w:pPr>
          <w:r>
            <w:rPr>
              <w:noProof/>
              <w:sz w:val="16"/>
            </w:rPr>
            <w:object w:dxaOrig="3301" w:dyaOrig="1126" w14:anchorId="36535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65.75pt;height:56.25pt" fillcolor="window">
                <v:imagedata r:id="rId1" o:title=""/>
              </v:shape>
              <o:OLEObject Type="Embed" ProgID="Word.Picture.8" ShapeID="_x0000_i1070" DrawAspect="Content" ObjectID="_1844329724" r:id="rId2"/>
            </w:object>
          </w:r>
        </w:p>
        <w:p w14:paraId="74CEED80" w14:textId="77777777" w:rsidR="00231F31" w:rsidRDefault="00231F31" w:rsidP="009B0DF3">
          <w:pPr>
            <w:pStyle w:val="Encabezado"/>
            <w:ind w:left="1064"/>
            <w:rPr>
              <w:noProof/>
              <w:sz w:val="16"/>
            </w:rPr>
          </w:pPr>
        </w:p>
      </w:tc>
      <w:tc>
        <w:tcPr>
          <w:tcW w:w="2693" w:type="dxa"/>
        </w:tcPr>
        <w:p w14:paraId="417A428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A573F2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501DF27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27EC77E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35C0D899"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42422CD7"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7FBF03FA" w14:textId="77777777" w:rsidR="00231F31" w:rsidRDefault="00231F31" w:rsidP="009B0DF3">
          <w:pPr>
            <w:pStyle w:val="Encabezado"/>
            <w:ind w:left="-70"/>
            <w:rPr>
              <w:noProof/>
              <w:sz w:val="18"/>
            </w:rPr>
          </w:pPr>
        </w:p>
      </w:tc>
    </w:tr>
  </w:tbl>
  <w:p w14:paraId="071B2681" w14:textId="77777777" w:rsidR="00231F31" w:rsidRDefault="00EB7BE0" w:rsidP="002C4DDC">
    <w:pPr>
      <w:pStyle w:val="Encabezado"/>
    </w:pPr>
    <w:r>
      <w:pict w14:anchorId="36BF506C">
        <v:shape id="_x0000_i1071"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14:paraId="422123B1" w14:textId="77777777" w:rsidTr="005133A3">
      <w:tc>
        <w:tcPr>
          <w:tcW w:w="13716" w:type="dxa"/>
        </w:tcPr>
        <w:p w14:paraId="37A0C63B" w14:textId="2D92D62E" w:rsidR="00231F31" w:rsidRPr="00FE0D4F" w:rsidRDefault="00281833" w:rsidP="002F01D9">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w:t>
          </w:r>
          <w:r w:rsidR="00371557">
            <w:rPr>
              <w:rFonts w:asciiTheme="minorHAnsi" w:hAnsiTheme="minorHAnsi" w:cstheme="minorHAnsi"/>
              <w:b/>
              <w:sz w:val="24"/>
              <w:szCs w:val="24"/>
            </w:rPr>
            <w:t>5</w:t>
          </w:r>
          <w:r w:rsidR="00231F31" w:rsidRPr="00FE0D4F">
            <w:rPr>
              <w:rFonts w:asciiTheme="minorHAnsi" w:hAnsiTheme="minorHAnsi" w:cstheme="minorHAnsi"/>
              <w:b/>
              <w:sz w:val="24"/>
              <w:szCs w:val="24"/>
            </w:rPr>
            <w:t xml:space="preserve">/ </w:t>
          </w:r>
        </w:p>
        <w:p w14:paraId="2DE19515" w14:textId="3909678F"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 xml:space="preserve">INFORME DE ESTABILIDAD PRESUPUESTARIA Y SOSTENIBILIDAD FINANCIERA </w:t>
          </w:r>
          <w:r w:rsidR="00AB0C97">
            <w:rPr>
              <w:rFonts w:asciiTheme="minorHAnsi" w:hAnsiTheme="minorHAnsi" w:cstheme="minorHAnsi"/>
              <w:b/>
              <w:sz w:val="24"/>
              <w:szCs w:val="24"/>
            </w:rPr>
            <w:t>–</w:t>
          </w:r>
          <w:r w:rsidRPr="00FE0D4F">
            <w:rPr>
              <w:rFonts w:asciiTheme="minorHAnsi" w:hAnsiTheme="minorHAnsi" w:cstheme="minorHAnsi"/>
              <w:b/>
              <w:sz w:val="24"/>
              <w:szCs w:val="24"/>
            </w:rPr>
            <w:t xml:space="preserve"> 20</w:t>
          </w:r>
          <w:r w:rsidR="00AB0C97">
            <w:rPr>
              <w:rFonts w:asciiTheme="minorHAnsi" w:hAnsiTheme="minorHAnsi" w:cstheme="minorHAnsi"/>
              <w:b/>
              <w:sz w:val="24"/>
              <w:szCs w:val="24"/>
            </w:rPr>
            <w:t>2</w:t>
          </w:r>
          <w:r w:rsidR="00371557">
            <w:rPr>
              <w:rFonts w:asciiTheme="minorHAnsi" w:hAnsiTheme="minorHAnsi" w:cstheme="minorHAnsi"/>
              <w:b/>
              <w:sz w:val="24"/>
              <w:szCs w:val="24"/>
            </w:rPr>
            <w:t>5</w:t>
          </w:r>
        </w:p>
      </w:tc>
    </w:tr>
  </w:tbl>
  <w:p w14:paraId="0C6307B5" w14:textId="77777777" w:rsidR="00231F31" w:rsidRDefault="00EB7BE0">
    <w:pPr>
      <w:pStyle w:val="Encabezado"/>
    </w:pPr>
    <w:r>
      <w:pict w14:anchorId="647D0B82">
        <v:shape id="_x0000_i1072" type="#_x0000_t75" style="width:680.4pt;height:7.1pt" o:hrpct="0" o:hr="t">
          <v:imagedata r:id="rId3" o:title="BD10290_"/>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152E3771" w14:textId="77777777" w:rsidTr="009B0DF3">
      <w:tc>
        <w:tcPr>
          <w:tcW w:w="6591" w:type="dxa"/>
        </w:tcPr>
        <w:p w14:paraId="72EA16A9" w14:textId="77777777" w:rsidR="00231F31" w:rsidRDefault="00231F31" w:rsidP="009B0DF3">
          <w:pPr>
            <w:pStyle w:val="Encabezado"/>
            <w:ind w:left="74"/>
            <w:rPr>
              <w:noProof/>
              <w:sz w:val="16"/>
            </w:rPr>
          </w:pPr>
          <w:r>
            <w:rPr>
              <w:noProof/>
              <w:sz w:val="16"/>
            </w:rPr>
            <w:object w:dxaOrig="3301" w:dyaOrig="1126" w14:anchorId="2C2F7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5.75pt;height:56.25pt" fillcolor="window">
                <v:imagedata r:id="rId1" o:title=""/>
              </v:shape>
              <o:OLEObject Type="Embed" ProgID="Word.Picture.8" ShapeID="_x0000_i1043" DrawAspect="Content" ObjectID="_1844329725" r:id="rId2"/>
            </w:object>
          </w:r>
        </w:p>
        <w:p w14:paraId="19744589" w14:textId="77777777" w:rsidR="00231F31" w:rsidRDefault="00231F31" w:rsidP="009B0DF3">
          <w:pPr>
            <w:pStyle w:val="Encabezado"/>
            <w:ind w:left="1064"/>
            <w:rPr>
              <w:noProof/>
              <w:sz w:val="16"/>
            </w:rPr>
          </w:pPr>
        </w:p>
      </w:tc>
      <w:tc>
        <w:tcPr>
          <w:tcW w:w="2551" w:type="dxa"/>
        </w:tcPr>
        <w:p w14:paraId="1C9C613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364ABA5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BDBBEB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6830A99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2DE77674"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23B7FD22"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6476D5A5" w14:textId="77777777" w:rsidR="00231F31" w:rsidRDefault="00231F31" w:rsidP="009B0DF3">
          <w:pPr>
            <w:pStyle w:val="Encabezado"/>
            <w:ind w:left="-70"/>
            <w:rPr>
              <w:noProof/>
              <w:sz w:val="16"/>
            </w:rPr>
          </w:pPr>
        </w:p>
        <w:p w14:paraId="3DEF020B" w14:textId="77777777" w:rsidR="00231F31" w:rsidRDefault="00231F31" w:rsidP="009B0DF3">
          <w:pPr>
            <w:pStyle w:val="Encabezado"/>
            <w:ind w:left="-70"/>
            <w:rPr>
              <w:noProof/>
              <w:sz w:val="18"/>
            </w:rPr>
          </w:pPr>
        </w:p>
      </w:tc>
    </w:tr>
  </w:tbl>
  <w:p w14:paraId="29119C8E" w14:textId="77777777" w:rsidR="00231F31" w:rsidRDefault="00EB7BE0" w:rsidP="00357202">
    <w:pPr>
      <w:pStyle w:val="Encabezado"/>
    </w:pPr>
    <w:r>
      <w:pict w14:anchorId="33F46595">
        <v:shape id="_x0000_i1044" type="#_x0000_t75" style="width:453.6pt;height:7.1pt" o:hrpct="0" o:hr="t">
          <v:imagedata r:id="rId3" o:title="BD10290_"/>
        </v:shape>
      </w:pict>
    </w:r>
  </w:p>
  <w:tbl>
    <w:tblPr>
      <w:tblW w:w="0" w:type="auto"/>
      <w:tblLook w:val="01E0" w:firstRow="1" w:lastRow="1" w:firstColumn="1" w:lastColumn="1" w:noHBand="0" w:noVBand="0"/>
    </w:tblPr>
    <w:tblGrid>
      <w:gridCol w:w="9070"/>
    </w:tblGrid>
    <w:tr w:rsidR="00231F31" w:rsidRPr="002C5A81" w14:paraId="65FBB499" w14:textId="77777777" w:rsidTr="005133A3">
      <w:tc>
        <w:tcPr>
          <w:tcW w:w="9210" w:type="dxa"/>
        </w:tcPr>
        <w:p w14:paraId="23AFB766" w14:textId="1BB63EF3" w:rsidR="00231F31" w:rsidRPr="00F14225" w:rsidRDefault="00281833" w:rsidP="009A525A">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w:t>
          </w:r>
          <w:r w:rsidR="00371557">
            <w:rPr>
              <w:rFonts w:asciiTheme="minorHAnsi" w:hAnsiTheme="minorHAnsi" w:cstheme="minorHAnsi"/>
              <w:b/>
              <w:sz w:val="24"/>
              <w:szCs w:val="24"/>
            </w:rPr>
            <w:t>5</w:t>
          </w:r>
          <w:r w:rsidR="00231F31" w:rsidRPr="00F14225">
            <w:rPr>
              <w:rFonts w:asciiTheme="minorHAnsi" w:hAnsiTheme="minorHAnsi" w:cstheme="minorHAnsi"/>
              <w:b/>
              <w:sz w:val="24"/>
              <w:szCs w:val="24"/>
            </w:rPr>
            <w:t xml:space="preserve">/ </w:t>
          </w:r>
        </w:p>
        <w:p w14:paraId="271B864B" w14:textId="5A258701" w:rsidR="00231F31" w:rsidRPr="005133A3" w:rsidRDefault="00231F31" w:rsidP="009F45FD">
          <w:pPr>
            <w:spacing w:after="140"/>
            <w:ind w:left="170"/>
            <w:jc w:val="both"/>
            <w:rPr>
              <w:rFonts w:ascii="Arial" w:hAnsi="Arial" w:cs="Arial"/>
              <w:b/>
              <w:sz w:val="24"/>
              <w:szCs w:val="24"/>
            </w:rPr>
          </w:pPr>
          <w:r w:rsidRPr="00F14225">
            <w:rPr>
              <w:rFonts w:asciiTheme="minorHAnsi" w:hAnsiTheme="minorHAnsi" w:cstheme="minorHAnsi"/>
              <w:b/>
              <w:sz w:val="24"/>
              <w:szCs w:val="24"/>
            </w:rPr>
            <w:t>INFORME DE ESTABILIDAD PRESUPUESTARIA Y SOSTENIBILIDAD FINANCIERA - 20</w:t>
          </w:r>
          <w:r w:rsidR="00DE5031">
            <w:rPr>
              <w:rFonts w:asciiTheme="minorHAnsi" w:hAnsiTheme="minorHAnsi" w:cstheme="minorHAnsi"/>
              <w:b/>
              <w:sz w:val="24"/>
              <w:szCs w:val="24"/>
            </w:rPr>
            <w:t>2</w:t>
          </w:r>
          <w:r w:rsidR="00371557">
            <w:rPr>
              <w:rFonts w:asciiTheme="minorHAnsi" w:hAnsiTheme="minorHAnsi" w:cstheme="minorHAnsi"/>
              <w:b/>
              <w:sz w:val="24"/>
              <w:szCs w:val="24"/>
            </w:rPr>
            <w:t>5</w:t>
          </w:r>
        </w:p>
      </w:tc>
    </w:tr>
  </w:tbl>
  <w:p w14:paraId="044C4B1F" w14:textId="77777777" w:rsidR="00231F31" w:rsidRDefault="00EB7BE0">
    <w:pPr>
      <w:pStyle w:val="Encabezado"/>
    </w:pPr>
    <w:r>
      <w:pict w14:anchorId="41E9DC45">
        <v:shape id="_x0000_i1045" type="#_x0000_t75" style="width:453.6pt;height:7.1pt" o:hrpct="0" o:hr="t">
          <v:imagedata r:id="rId3" o:title="BD10290_"/>
        </v:shape>
      </w:pict>
    </w:r>
  </w:p>
  <w:p w14:paraId="4DCFCBDF" w14:textId="77777777" w:rsidR="00A01382" w:rsidRDefault="00A01382">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5CC09945" w14:textId="77777777" w:rsidTr="009B0DF3">
      <w:tc>
        <w:tcPr>
          <w:tcW w:w="6591" w:type="dxa"/>
        </w:tcPr>
        <w:p w14:paraId="299E586C" w14:textId="77777777" w:rsidR="00231F31" w:rsidRDefault="00231F31" w:rsidP="009B0DF3">
          <w:pPr>
            <w:pStyle w:val="Encabezado"/>
            <w:ind w:left="74"/>
            <w:rPr>
              <w:noProof/>
              <w:sz w:val="16"/>
            </w:rPr>
          </w:pPr>
          <w:r>
            <w:rPr>
              <w:noProof/>
              <w:sz w:val="16"/>
            </w:rPr>
            <w:object w:dxaOrig="3301" w:dyaOrig="1126" w14:anchorId="43B42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5.75pt;height:56.25pt" fillcolor="window">
                <v:imagedata r:id="rId1" o:title=""/>
              </v:shape>
              <o:OLEObject Type="Embed" ProgID="Word.Picture.8" ShapeID="_x0000_i1046" DrawAspect="Content" ObjectID="_1844329726" r:id="rId2"/>
            </w:object>
          </w:r>
        </w:p>
        <w:p w14:paraId="3AB2FA7B" w14:textId="77777777" w:rsidR="00231F31" w:rsidRDefault="00231F31" w:rsidP="009B0DF3">
          <w:pPr>
            <w:pStyle w:val="Encabezado"/>
            <w:ind w:left="1064"/>
            <w:rPr>
              <w:noProof/>
              <w:sz w:val="16"/>
            </w:rPr>
          </w:pPr>
        </w:p>
      </w:tc>
      <w:tc>
        <w:tcPr>
          <w:tcW w:w="2551" w:type="dxa"/>
        </w:tcPr>
        <w:p w14:paraId="7F4012F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824056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78F08733"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3E7FAB9C"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42E751B8"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3F36D5B6"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5B1871A" w14:textId="77777777" w:rsidR="00231F31" w:rsidRDefault="00231F31" w:rsidP="009B0DF3">
          <w:pPr>
            <w:pStyle w:val="Encabezado"/>
            <w:ind w:left="-70"/>
            <w:rPr>
              <w:noProof/>
              <w:sz w:val="16"/>
            </w:rPr>
          </w:pPr>
        </w:p>
        <w:p w14:paraId="7698BE11" w14:textId="77777777" w:rsidR="00231F31" w:rsidRDefault="00231F31" w:rsidP="009B0DF3">
          <w:pPr>
            <w:pStyle w:val="Encabezado"/>
            <w:ind w:left="-70"/>
            <w:rPr>
              <w:noProof/>
              <w:sz w:val="18"/>
            </w:rPr>
          </w:pPr>
        </w:p>
      </w:tc>
    </w:tr>
  </w:tbl>
  <w:p w14:paraId="63C4D916" w14:textId="77777777" w:rsidR="00231F31" w:rsidRDefault="00EB7BE0" w:rsidP="00CB0FEF">
    <w:pPr>
      <w:pStyle w:val="Encabezado"/>
    </w:pPr>
    <w:r>
      <w:pict w14:anchorId="7132D187">
        <v:shape id="_x0000_i1047" type="#_x0000_t75" style="width:453.6pt;height:7.1pt" o:hrpct="0" o:hr="t">
          <v:imagedata r:id="rId3" o:title="BD10290_"/>
        </v:shape>
      </w:pict>
    </w:r>
  </w:p>
  <w:tbl>
    <w:tblPr>
      <w:tblW w:w="0" w:type="auto"/>
      <w:tblLook w:val="01E0" w:firstRow="1" w:lastRow="1" w:firstColumn="1" w:lastColumn="1" w:noHBand="0" w:noVBand="0"/>
    </w:tblPr>
    <w:tblGrid>
      <w:gridCol w:w="9210"/>
    </w:tblGrid>
    <w:tr w:rsidR="00231F31" w:rsidRPr="002C5A81" w14:paraId="4E2A8D0A" w14:textId="77777777" w:rsidTr="005133A3">
      <w:tc>
        <w:tcPr>
          <w:tcW w:w="9210" w:type="dxa"/>
        </w:tcPr>
        <w:p w14:paraId="11C905D9" w14:textId="299A0699" w:rsidR="00231F31" w:rsidRPr="00240BAC" w:rsidRDefault="00281833" w:rsidP="009A525A">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w:t>
          </w:r>
          <w:r w:rsidR="00371557">
            <w:rPr>
              <w:rFonts w:asciiTheme="minorHAnsi" w:hAnsiTheme="minorHAnsi" w:cstheme="minorHAnsi"/>
              <w:b/>
              <w:sz w:val="24"/>
              <w:szCs w:val="24"/>
            </w:rPr>
            <w:t>5</w:t>
          </w:r>
          <w:r w:rsidR="00231F31" w:rsidRPr="00240BAC">
            <w:rPr>
              <w:rFonts w:asciiTheme="minorHAnsi" w:hAnsiTheme="minorHAnsi" w:cstheme="minorHAnsi"/>
              <w:b/>
              <w:sz w:val="24"/>
              <w:szCs w:val="24"/>
            </w:rPr>
            <w:t xml:space="preserve">/ </w:t>
          </w:r>
        </w:p>
        <w:p w14:paraId="67F21C0A" w14:textId="1D10E909" w:rsidR="00231F31" w:rsidRPr="005133A3" w:rsidRDefault="00231F31" w:rsidP="00DA6728">
          <w:pPr>
            <w:ind w:left="170"/>
            <w:jc w:val="both"/>
            <w:rPr>
              <w:rFonts w:ascii="Arial" w:hAnsi="Arial" w:cs="Arial"/>
              <w:b/>
              <w:sz w:val="24"/>
              <w:szCs w:val="24"/>
            </w:rPr>
          </w:pPr>
          <w:r w:rsidRPr="00240BAC">
            <w:rPr>
              <w:rFonts w:asciiTheme="minorHAnsi" w:hAnsiTheme="minorHAnsi" w:cstheme="minorHAnsi"/>
              <w:b/>
              <w:sz w:val="24"/>
              <w:szCs w:val="24"/>
            </w:rPr>
            <w:t>INFORME DE ESTABILIDAD PRESUPUESTARIA Y SOSTENIBILIDAD FINANCIERA - 20</w:t>
          </w:r>
          <w:r w:rsidR="008E7FCC">
            <w:rPr>
              <w:rFonts w:asciiTheme="minorHAnsi" w:hAnsiTheme="minorHAnsi" w:cstheme="minorHAnsi"/>
              <w:b/>
              <w:sz w:val="24"/>
              <w:szCs w:val="24"/>
            </w:rPr>
            <w:t>2</w:t>
          </w:r>
          <w:r w:rsidR="00371557">
            <w:rPr>
              <w:rFonts w:asciiTheme="minorHAnsi" w:hAnsiTheme="minorHAnsi" w:cstheme="minorHAnsi"/>
              <w:b/>
              <w:sz w:val="24"/>
              <w:szCs w:val="24"/>
            </w:rPr>
            <w:t>5</w:t>
          </w:r>
        </w:p>
      </w:tc>
    </w:tr>
  </w:tbl>
  <w:p w14:paraId="51719791" w14:textId="77777777" w:rsidR="00231F31" w:rsidRDefault="00EB7BE0" w:rsidP="0020017B">
    <w:pPr>
      <w:pStyle w:val="Encabezado"/>
      <w:spacing w:before="120" w:after="120"/>
    </w:pPr>
    <w:r>
      <w:pict w14:anchorId="459D0F25">
        <v:shape id="_x0000_i1048" type="#_x0000_t75" style="width:453.6pt;height:7.1pt" o:hrpct="0" o:hr="t">
          <v:imagedata r:id="rId3" o:title="BD10290_"/>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E67"/>
    <w:multiLevelType w:val="hybridMultilevel"/>
    <w:tmpl w:val="576665C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525C0"/>
    <w:multiLevelType w:val="hybridMultilevel"/>
    <w:tmpl w:val="D5DCD232"/>
    <w:lvl w:ilvl="0" w:tplc="368CEE22">
      <w:start w:val="1"/>
      <w:numFmt w:val="bullet"/>
      <w:lvlText w:val=""/>
      <w:lvlJc w:val="left"/>
      <w:pPr>
        <w:tabs>
          <w:tab w:val="num" w:pos="284"/>
        </w:tabs>
        <w:ind w:left="720" w:hanging="38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A7138"/>
    <w:multiLevelType w:val="hybridMultilevel"/>
    <w:tmpl w:val="A2F66390"/>
    <w:lvl w:ilvl="0" w:tplc="EB56FC26">
      <w:start w:val="1"/>
      <w:numFmt w:val="bullet"/>
      <w:lvlText w:val=""/>
      <w:lvlJc w:val="left"/>
      <w:pPr>
        <w:tabs>
          <w:tab w:val="num" w:pos="170"/>
        </w:tabs>
        <w:ind w:left="227"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00996"/>
    <w:multiLevelType w:val="hybridMultilevel"/>
    <w:tmpl w:val="F1A8424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858"/>
    <w:multiLevelType w:val="multilevel"/>
    <w:tmpl w:val="71265816"/>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E46070"/>
    <w:multiLevelType w:val="singleLevel"/>
    <w:tmpl w:val="FF96B89E"/>
    <w:lvl w:ilvl="0">
      <w:numFmt w:val="bullet"/>
      <w:lvlText w:val="–"/>
      <w:lvlJc w:val="left"/>
      <w:pPr>
        <w:tabs>
          <w:tab w:val="num" w:pos="420"/>
        </w:tabs>
        <w:ind w:left="420" w:hanging="360"/>
      </w:pPr>
      <w:rPr>
        <w:rFonts w:ascii="Times New Roman" w:hAnsi="Times New Roman" w:hint="default"/>
      </w:rPr>
    </w:lvl>
  </w:abstractNum>
  <w:abstractNum w:abstractNumId="6" w15:restartNumberingAfterBreak="0">
    <w:nsid w:val="367E449E"/>
    <w:multiLevelType w:val="hybridMultilevel"/>
    <w:tmpl w:val="6018F15E"/>
    <w:lvl w:ilvl="0" w:tplc="FC7CE674">
      <w:start w:val="1"/>
      <w:numFmt w:val="bullet"/>
      <w:lvlText w:val=""/>
      <w:lvlJc w:val="left"/>
      <w:pPr>
        <w:tabs>
          <w:tab w:val="num" w:pos="397"/>
        </w:tabs>
        <w:ind w:left="45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2278D"/>
    <w:multiLevelType w:val="hybridMultilevel"/>
    <w:tmpl w:val="4E986C9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AD41FAE"/>
    <w:multiLevelType w:val="hybridMultilevel"/>
    <w:tmpl w:val="0B1C843C"/>
    <w:lvl w:ilvl="0" w:tplc="05B66BF2">
      <w:start w:val="1"/>
      <w:numFmt w:val="bullet"/>
      <w:lvlText w:val="-"/>
      <w:lvlJc w:val="left"/>
      <w:pPr>
        <w:tabs>
          <w:tab w:val="num" w:pos="453"/>
        </w:tabs>
        <w:ind w:left="679"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50DED"/>
    <w:multiLevelType w:val="multilevel"/>
    <w:tmpl w:val="6ADE2C8C"/>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
      <w:lvlJc w:val="left"/>
      <w:pPr>
        <w:tabs>
          <w:tab w:val="num" w:pos="454"/>
        </w:tabs>
        <w:ind w:left="454" w:firstLine="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12C28"/>
    <w:multiLevelType w:val="hybridMultilevel"/>
    <w:tmpl w:val="6930D31A"/>
    <w:lvl w:ilvl="0" w:tplc="E994573C">
      <w:start w:val="1"/>
      <w:numFmt w:val="bullet"/>
      <w:lvlText w:val="-"/>
      <w:lvlJc w:val="left"/>
      <w:pPr>
        <w:tabs>
          <w:tab w:val="num" w:pos="453"/>
        </w:tabs>
        <w:ind w:left="680" w:hanging="227"/>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6F42ED"/>
    <w:multiLevelType w:val="multilevel"/>
    <w:tmpl w:val="848EC188"/>
    <w:lvl w:ilvl="0">
      <w:start w:val="1"/>
      <w:numFmt w:val="bullet"/>
      <w:lvlText w:val="-"/>
      <w:lvlJc w:val="left"/>
      <w:pPr>
        <w:tabs>
          <w:tab w:val="num" w:pos="454"/>
        </w:tabs>
        <w:ind w:left="680" w:hanging="22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E14C72"/>
    <w:multiLevelType w:val="hybridMultilevel"/>
    <w:tmpl w:val="EA8EF8DE"/>
    <w:lvl w:ilvl="0" w:tplc="C5168E56">
      <w:start w:val="1"/>
      <w:numFmt w:val="decimal"/>
      <w:lvlText w:val="%1)"/>
      <w:lvlJc w:val="left"/>
      <w:pPr>
        <w:ind w:left="1065" w:hanging="705"/>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34B3057"/>
    <w:multiLevelType w:val="hybridMultilevel"/>
    <w:tmpl w:val="8D50B844"/>
    <w:lvl w:ilvl="0" w:tplc="E63669C2">
      <w:start w:val="1"/>
      <w:numFmt w:val="bullet"/>
      <w:lvlText w:val=""/>
      <w:lvlJc w:val="left"/>
      <w:pPr>
        <w:tabs>
          <w:tab w:val="num" w:pos="530"/>
        </w:tabs>
        <w:ind w:left="530" w:hanging="360"/>
      </w:pPr>
      <w:rPr>
        <w:rFonts w:ascii="Symbol" w:hAnsi="Symbol" w:hint="default"/>
      </w:rPr>
    </w:lvl>
    <w:lvl w:ilvl="1" w:tplc="0C0A0003">
      <w:start w:val="1"/>
      <w:numFmt w:val="bullet"/>
      <w:lvlText w:val="o"/>
      <w:lvlJc w:val="left"/>
      <w:pPr>
        <w:tabs>
          <w:tab w:val="num" w:pos="1250"/>
        </w:tabs>
        <w:ind w:left="1250" w:hanging="360"/>
      </w:pPr>
      <w:rPr>
        <w:rFonts w:ascii="Courier New" w:hAnsi="Courier New" w:cs="Courier New" w:hint="default"/>
      </w:rPr>
    </w:lvl>
    <w:lvl w:ilvl="2" w:tplc="0C0A0005" w:tentative="1">
      <w:start w:val="1"/>
      <w:numFmt w:val="bullet"/>
      <w:lvlText w:val=""/>
      <w:lvlJc w:val="left"/>
      <w:pPr>
        <w:tabs>
          <w:tab w:val="num" w:pos="1970"/>
        </w:tabs>
        <w:ind w:left="1970" w:hanging="360"/>
      </w:pPr>
      <w:rPr>
        <w:rFonts w:ascii="Wingdings" w:hAnsi="Wingdings" w:hint="default"/>
      </w:rPr>
    </w:lvl>
    <w:lvl w:ilvl="3" w:tplc="0C0A0001" w:tentative="1">
      <w:start w:val="1"/>
      <w:numFmt w:val="bullet"/>
      <w:lvlText w:val=""/>
      <w:lvlJc w:val="left"/>
      <w:pPr>
        <w:tabs>
          <w:tab w:val="num" w:pos="2690"/>
        </w:tabs>
        <w:ind w:left="2690" w:hanging="360"/>
      </w:pPr>
      <w:rPr>
        <w:rFonts w:ascii="Symbol" w:hAnsi="Symbol" w:hint="default"/>
      </w:rPr>
    </w:lvl>
    <w:lvl w:ilvl="4" w:tplc="0C0A0003" w:tentative="1">
      <w:start w:val="1"/>
      <w:numFmt w:val="bullet"/>
      <w:lvlText w:val="o"/>
      <w:lvlJc w:val="left"/>
      <w:pPr>
        <w:tabs>
          <w:tab w:val="num" w:pos="3410"/>
        </w:tabs>
        <w:ind w:left="3410" w:hanging="360"/>
      </w:pPr>
      <w:rPr>
        <w:rFonts w:ascii="Courier New" w:hAnsi="Courier New" w:cs="Courier New" w:hint="default"/>
      </w:rPr>
    </w:lvl>
    <w:lvl w:ilvl="5" w:tplc="0C0A0005" w:tentative="1">
      <w:start w:val="1"/>
      <w:numFmt w:val="bullet"/>
      <w:lvlText w:val=""/>
      <w:lvlJc w:val="left"/>
      <w:pPr>
        <w:tabs>
          <w:tab w:val="num" w:pos="4130"/>
        </w:tabs>
        <w:ind w:left="4130" w:hanging="360"/>
      </w:pPr>
      <w:rPr>
        <w:rFonts w:ascii="Wingdings" w:hAnsi="Wingdings" w:hint="default"/>
      </w:rPr>
    </w:lvl>
    <w:lvl w:ilvl="6" w:tplc="0C0A0001" w:tentative="1">
      <w:start w:val="1"/>
      <w:numFmt w:val="bullet"/>
      <w:lvlText w:val=""/>
      <w:lvlJc w:val="left"/>
      <w:pPr>
        <w:tabs>
          <w:tab w:val="num" w:pos="4850"/>
        </w:tabs>
        <w:ind w:left="4850" w:hanging="360"/>
      </w:pPr>
      <w:rPr>
        <w:rFonts w:ascii="Symbol" w:hAnsi="Symbol" w:hint="default"/>
      </w:rPr>
    </w:lvl>
    <w:lvl w:ilvl="7" w:tplc="0C0A0003" w:tentative="1">
      <w:start w:val="1"/>
      <w:numFmt w:val="bullet"/>
      <w:lvlText w:val="o"/>
      <w:lvlJc w:val="left"/>
      <w:pPr>
        <w:tabs>
          <w:tab w:val="num" w:pos="5570"/>
        </w:tabs>
        <w:ind w:left="5570" w:hanging="360"/>
      </w:pPr>
      <w:rPr>
        <w:rFonts w:ascii="Courier New" w:hAnsi="Courier New" w:cs="Courier New" w:hint="default"/>
      </w:rPr>
    </w:lvl>
    <w:lvl w:ilvl="8" w:tplc="0C0A0005" w:tentative="1">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53EB2156"/>
    <w:multiLevelType w:val="hybridMultilevel"/>
    <w:tmpl w:val="3830D5EE"/>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3C1D69"/>
    <w:multiLevelType w:val="hybridMultilevel"/>
    <w:tmpl w:val="F586CD80"/>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3A2B95"/>
    <w:multiLevelType w:val="hybridMultilevel"/>
    <w:tmpl w:val="63763BA6"/>
    <w:lvl w:ilvl="0" w:tplc="EF7AAF26">
      <w:start w:val="1"/>
      <w:numFmt w:val="bullet"/>
      <w:lvlText w:val="-"/>
      <w:lvlJc w:val="left"/>
      <w:pPr>
        <w:tabs>
          <w:tab w:val="num" w:pos="454"/>
        </w:tabs>
        <w:ind w:left="454" w:hanging="171"/>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2B7648"/>
    <w:multiLevelType w:val="multilevel"/>
    <w:tmpl w:val="A2F66390"/>
    <w:lvl w:ilvl="0">
      <w:start w:val="1"/>
      <w:numFmt w:val="bullet"/>
      <w:lvlText w:val=""/>
      <w:lvlJc w:val="left"/>
      <w:pPr>
        <w:tabs>
          <w:tab w:val="num" w:pos="170"/>
        </w:tabs>
        <w:ind w:left="227"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03E5D"/>
    <w:multiLevelType w:val="multilevel"/>
    <w:tmpl w:val="6930D31A"/>
    <w:lvl w:ilvl="0">
      <w:start w:val="1"/>
      <w:numFmt w:val="bullet"/>
      <w:lvlText w:val="-"/>
      <w:lvlJc w:val="left"/>
      <w:pPr>
        <w:tabs>
          <w:tab w:val="num" w:pos="453"/>
        </w:tabs>
        <w:ind w:left="680"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1349E"/>
    <w:multiLevelType w:val="hybridMultilevel"/>
    <w:tmpl w:val="848EC188"/>
    <w:lvl w:ilvl="0" w:tplc="9BEE7812">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14B90"/>
    <w:multiLevelType w:val="hybridMultilevel"/>
    <w:tmpl w:val="3410D5DA"/>
    <w:lvl w:ilvl="0" w:tplc="332A3C5A">
      <w:start w:val="1"/>
      <w:numFmt w:val="bullet"/>
      <w:lvlText w:val="-"/>
      <w:lvlJc w:val="left"/>
      <w:pPr>
        <w:tabs>
          <w:tab w:val="num" w:pos="454"/>
        </w:tabs>
        <w:ind w:left="454" w:firstLine="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31C9B"/>
    <w:multiLevelType w:val="hybridMultilevel"/>
    <w:tmpl w:val="33581AD6"/>
    <w:lvl w:ilvl="0" w:tplc="B3E043F8">
      <w:start w:val="1"/>
      <w:numFmt w:val="bullet"/>
      <w:lvlText w:val="-"/>
      <w:lvlJc w:val="left"/>
      <w:pPr>
        <w:tabs>
          <w:tab w:val="num" w:pos="454"/>
        </w:tabs>
        <w:ind w:left="454" w:hanging="1"/>
      </w:pPr>
      <w:rPr>
        <w:rFonts w:ascii="Times New Roman" w:hAnsi="Times New Roman" w:cs="Times New Roman" w:hint="default"/>
      </w:rPr>
    </w:lvl>
    <w:lvl w:ilvl="1" w:tplc="4268154C">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5C6876"/>
    <w:multiLevelType w:val="multilevel"/>
    <w:tmpl w:val="3410D5DA"/>
    <w:lvl w:ilvl="0">
      <w:start w:val="1"/>
      <w:numFmt w:val="bullet"/>
      <w:lvlText w:val="-"/>
      <w:lvlJc w:val="left"/>
      <w:pPr>
        <w:tabs>
          <w:tab w:val="num" w:pos="454"/>
        </w:tabs>
        <w:ind w:left="454"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BA6C83"/>
    <w:multiLevelType w:val="hybridMultilevel"/>
    <w:tmpl w:val="6ADE2C8C"/>
    <w:lvl w:ilvl="0" w:tplc="B3E043F8">
      <w:start w:val="1"/>
      <w:numFmt w:val="bullet"/>
      <w:lvlText w:val="-"/>
      <w:lvlJc w:val="left"/>
      <w:pPr>
        <w:tabs>
          <w:tab w:val="num" w:pos="454"/>
        </w:tabs>
        <w:ind w:left="454" w:hanging="1"/>
      </w:pPr>
      <w:rPr>
        <w:rFonts w:ascii="Times New Roman" w:hAnsi="Times New Roman" w:cs="Times New Roman" w:hint="default"/>
      </w:rPr>
    </w:lvl>
    <w:lvl w:ilvl="1" w:tplc="61069B62">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86214C"/>
    <w:multiLevelType w:val="multilevel"/>
    <w:tmpl w:val="D5DCD232"/>
    <w:lvl w:ilvl="0">
      <w:start w:val="1"/>
      <w:numFmt w:val="bullet"/>
      <w:lvlText w:val=""/>
      <w:lvlJc w:val="left"/>
      <w:pPr>
        <w:tabs>
          <w:tab w:val="num" w:pos="284"/>
        </w:tabs>
        <w:ind w:left="720" w:hanging="38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4313223">
    <w:abstractNumId w:val="5"/>
  </w:num>
  <w:num w:numId="2" w16cid:durableId="1284727275">
    <w:abstractNumId w:val="13"/>
  </w:num>
  <w:num w:numId="3" w16cid:durableId="299186599">
    <w:abstractNumId w:val="16"/>
  </w:num>
  <w:num w:numId="4" w16cid:durableId="760492355">
    <w:abstractNumId w:val="23"/>
  </w:num>
  <w:num w:numId="5" w16cid:durableId="275335031">
    <w:abstractNumId w:val="4"/>
  </w:num>
  <w:num w:numId="6" w16cid:durableId="246615393">
    <w:abstractNumId w:val="9"/>
  </w:num>
  <w:num w:numId="7" w16cid:durableId="297810253">
    <w:abstractNumId w:val="21"/>
  </w:num>
  <w:num w:numId="8" w16cid:durableId="1238636999">
    <w:abstractNumId w:val="20"/>
  </w:num>
  <w:num w:numId="9" w16cid:durableId="86657804">
    <w:abstractNumId w:val="22"/>
  </w:num>
  <w:num w:numId="10" w16cid:durableId="511913306">
    <w:abstractNumId w:val="10"/>
  </w:num>
  <w:num w:numId="11" w16cid:durableId="603080199">
    <w:abstractNumId w:val="19"/>
  </w:num>
  <w:num w:numId="12" w16cid:durableId="1725981495">
    <w:abstractNumId w:val="18"/>
  </w:num>
  <w:num w:numId="13" w16cid:durableId="1174153707">
    <w:abstractNumId w:val="11"/>
  </w:num>
  <w:num w:numId="14" w16cid:durableId="1871138929">
    <w:abstractNumId w:val="8"/>
  </w:num>
  <w:num w:numId="15" w16cid:durableId="1869878608">
    <w:abstractNumId w:val="0"/>
  </w:num>
  <w:num w:numId="16" w16cid:durableId="1120224746">
    <w:abstractNumId w:val="3"/>
  </w:num>
  <w:num w:numId="17" w16cid:durableId="1522862670">
    <w:abstractNumId w:val="14"/>
  </w:num>
  <w:num w:numId="18" w16cid:durableId="1805854166">
    <w:abstractNumId w:val="15"/>
  </w:num>
  <w:num w:numId="19" w16cid:durableId="138348555">
    <w:abstractNumId w:val="1"/>
  </w:num>
  <w:num w:numId="20" w16cid:durableId="1042366038">
    <w:abstractNumId w:val="24"/>
  </w:num>
  <w:num w:numId="21" w16cid:durableId="2174971">
    <w:abstractNumId w:val="2"/>
  </w:num>
  <w:num w:numId="22" w16cid:durableId="883448585">
    <w:abstractNumId w:val="17"/>
  </w:num>
  <w:num w:numId="23" w16cid:durableId="2077704853">
    <w:abstractNumId w:val="6"/>
  </w:num>
  <w:num w:numId="24" w16cid:durableId="239142831">
    <w:abstractNumId w:val="12"/>
  </w:num>
  <w:num w:numId="25" w16cid:durableId="384719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5E"/>
    <w:rsid w:val="00012922"/>
    <w:rsid w:val="0002307E"/>
    <w:rsid w:val="000249E2"/>
    <w:rsid w:val="00026534"/>
    <w:rsid w:val="00050830"/>
    <w:rsid w:val="00050DF9"/>
    <w:rsid w:val="000525D8"/>
    <w:rsid w:val="000563CE"/>
    <w:rsid w:val="00061C02"/>
    <w:rsid w:val="000625F6"/>
    <w:rsid w:val="00062920"/>
    <w:rsid w:val="00076E8F"/>
    <w:rsid w:val="0008517F"/>
    <w:rsid w:val="00091459"/>
    <w:rsid w:val="00092342"/>
    <w:rsid w:val="00094F4B"/>
    <w:rsid w:val="0009583B"/>
    <w:rsid w:val="000B600F"/>
    <w:rsid w:val="000C100F"/>
    <w:rsid w:val="000C19D4"/>
    <w:rsid w:val="000C21F3"/>
    <w:rsid w:val="000C6971"/>
    <w:rsid w:val="00102CFC"/>
    <w:rsid w:val="00104CCC"/>
    <w:rsid w:val="00110523"/>
    <w:rsid w:val="0011151B"/>
    <w:rsid w:val="001135AF"/>
    <w:rsid w:val="001141C7"/>
    <w:rsid w:val="001149EF"/>
    <w:rsid w:val="001231E7"/>
    <w:rsid w:val="0012380F"/>
    <w:rsid w:val="001349C6"/>
    <w:rsid w:val="00142CB7"/>
    <w:rsid w:val="001466A3"/>
    <w:rsid w:val="001468B0"/>
    <w:rsid w:val="00151727"/>
    <w:rsid w:val="00162935"/>
    <w:rsid w:val="00185190"/>
    <w:rsid w:val="0019168A"/>
    <w:rsid w:val="00195799"/>
    <w:rsid w:val="00196FCE"/>
    <w:rsid w:val="001A0F3A"/>
    <w:rsid w:val="001B0E0A"/>
    <w:rsid w:val="001C1658"/>
    <w:rsid w:val="001C4CCA"/>
    <w:rsid w:val="001C5F43"/>
    <w:rsid w:val="001D27B9"/>
    <w:rsid w:val="001E5090"/>
    <w:rsid w:val="001F5A93"/>
    <w:rsid w:val="001F70B7"/>
    <w:rsid w:val="0020017B"/>
    <w:rsid w:val="0020406D"/>
    <w:rsid w:val="00207C42"/>
    <w:rsid w:val="00231F31"/>
    <w:rsid w:val="00240BAC"/>
    <w:rsid w:val="0025064D"/>
    <w:rsid w:val="00251CD8"/>
    <w:rsid w:val="002637A7"/>
    <w:rsid w:val="002657C9"/>
    <w:rsid w:val="00265994"/>
    <w:rsid w:val="002719EC"/>
    <w:rsid w:val="002776E8"/>
    <w:rsid w:val="00281833"/>
    <w:rsid w:val="00284B23"/>
    <w:rsid w:val="0029045E"/>
    <w:rsid w:val="002A3291"/>
    <w:rsid w:val="002A71FE"/>
    <w:rsid w:val="002B0078"/>
    <w:rsid w:val="002B3608"/>
    <w:rsid w:val="002B399D"/>
    <w:rsid w:val="002B73F8"/>
    <w:rsid w:val="002C4DDC"/>
    <w:rsid w:val="002C5A81"/>
    <w:rsid w:val="002C7614"/>
    <w:rsid w:val="002E4F5D"/>
    <w:rsid w:val="002F01D9"/>
    <w:rsid w:val="002F2F8C"/>
    <w:rsid w:val="003070DB"/>
    <w:rsid w:val="00311E9C"/>
    <w:rsid w:val="0031265C"/>
    <w:rsid w:val="00313686"/>
    <w:rsid w:val="003156ED"/>
    <w:rsid w:val="00315DDA"/>
    <w:rsid w:val="00320255"/>
    <w:rsid w:val="003218D4"/>
    <w:rsid w:val="00336295"/>
    <w:rsid w:val="00340307"/>
    <w:rsid w:val="00343BCB"/>
    <w:rsid w:val="003448B6"/>
    <w:rsid w:val="00357202"/>
    <w:rsid w:val="00361F93"/>
    <w:rsid w:val="003621F3"/>
    <w:rsid w:val="003651B2"/>
    <w:rsid w:val="00371557"/>
    <w:rsid w:val="00373590"/>
    <w:rsid w:val="0037523E"/>
    <w:rsid w:val="00393E15"/>
    <w:rsid w:val="0039580C"/>
    <w:rsid w:val="003A19CE"/>
    <w:rsid w:val="003A2F17"/>
    <w:rsid w:val="003C37C9"/>
    <w:rsid w:val="003D2C39"/>
    <w:rsid w:val="003F001F"/>
    <w:rsid w:val="0040005A"/>
    <w:rsid w:val="00402815"/>
    <w:rsid w:val="004050FC"/>
    <w:rsid w:val="00451A5F"/>
    <w:rsid w:val="0046161E"/>
    <w:rsid w:val="00470EED"/>
    <w:rsid w:val="0047153B"/>
    <w:rsid w:val="0047754E"/>
    <w:rsid w:val="00482817"/>
    <w:rsid w:val="0048728F"/>
    <w:rsid w:val="00492A0B"/>
    <w:rsid w:val="00495D76"/>
    <w:rsid w:val="00497298"/>
    <w:rsid w:val="004A0C52"/>
    <w:rsid w:val="004B1404"/>
    <w:rsid w:val="004C69E7"/>
    <w:rsid w:val="004D074D"/>
    <w:rsid w:val="004E3513"/>
    <w:rsid w:val="004F3CB0"/>
    <w:rsid w:val="004F5B0E"/>
    <w:rsid w:val="004F7F3C"/>
    <w:rsid w:val="00500C15"/>
    <w:rsid w:val="00501773"/>
    <w:rsid w:val="0050460D"/>
    <w:rsid w:val="005072F0"/>
    <w:rsid w:val="00507417"/>
    <w:rsid w:val="005107CD"/>
    <w:rsid w:val="005133A3"/>
    <w:rsid w:val="0051571A"/>
    <w:rsid w:val="00520038"/>
    <w:rsid w:val="005327E7"/>
    <w:rsid w:val="00536A76"/>
    <w:rsid w:val="00537085"/>
    <w:rsid w:val="0055730A"/>
    <w:rsid w:val="0056390E"/>
    <w:rsid w:val="00564300"/>
    <w:rsid w:val="00581DE1"/>
    <w:rsid w:val="0059786F"/>
    <w:rsid w:val="00597BB8"/>
    <w:rsid w:val="005A1A20"/>
    <w:rsid w:val="005A3C8E"/>
    <w:rsid w:val="005B452F"/>
    <w:rsid w:val="005B5F54"/>
    <w:rsid w:val="005B7E91"/>
    <w:rsid w:val="005D19E7"/>
    <w:rsid w:val="005D3105"/>
    <w:rsid w:val="005D4B82"/>
    <w:rsid w:val="005D791E"/>
    <w:rsid w:val="005F1092"/>
    <w:rsid w:val="005F3A30"/>
    <w:rsid w:val="005F7CE2"/>
    <w:rsid w:val="00601F9B"/>
    <w:rsid w:val="006163C8"/>
    <w:rsid w:val="006220BA"/>
    <w:rsid w:val="00635214"/>
    <w:rsid w:val="00641CB7"/>
    <w:rsid w:val="00643B10"/>
    <w:rsid w:val="006504BE"/>
    <w:rsid w:val="00651081"/>
    <w:rsid w:val="00654801"/>
    <w:rsid w:val="00671D4E"/>
    <w:rsid w:val="00683EF3"/>
    <w:rsid w:val="00685989"/>
    <w:rsid w:val="00693004"/>
    <w:rsid w:val="0069657D"/>
    <w:rsid w:val="00697BA7"/>
    <w:rsid w:val="006B67BC"/>
    <w:rsid w:val="006B6DCA"/>
    <w:rsid w:val="006C036A"/>
    <w:rsid w:val="006E74AA"/>
    <w:rsid w:val="006F19A5"/>
    <w:rsid w:val="007007B2"/>
    <w:rsid w:val="00737B82"/>
    <w:rsid w:val="00737E56"/>
    <w:rsid w:val="00740837"/>
    <w:rsid w:val="00743236"/>
    <w:rsid w:val="00746C19"/>
    <w:rsid w:val="00754735"/>
    <w:rsid w:val="007578DB"/>
    <w:rsid w:val="00762DC6"/>
    <w:rsid w:val="00763344"/>
    <w:rsid w:val="007857F7"/>
    <w:rsid w:val="00787686"/>
    <w:rsid w:val="007913F8"/>
    <w:rsid w:val="00791B67"/>
    <w:rsid w:val="00794FC1"/>
    <w:rsid w:val="007A455C"/>
    <w:rsid w:val="007A6CB6"/>
    <w:rsid w:val="007B27ED"/>
    <w:rsid w:val="007D116E"/>
    <w:rsid w:val="007D2C07"/>
    <w:rsid w:val="007D3796"/>
    <w:rsid w:val="007D5AAD"/>
    <w:rsid w:val="007F09F2"/>
    <w:rsid w:val="0080231C"/>
    <w:rsid w:val="008161EF"/>
    <w:rsid w:val="00821A7A"/>
    <w:rsid w:val="00822999"/>
    <w:rsid w:val="0082395F"/>
    <w:rsid w:val="0082535A"/>
    <w:rsid w:val="008256B5"/>
    <w:rsid w:val="00830828"/>
    <w:rsid w:val="00832C6F"/>
    <w:rsid w:val="008334E2"/>
    <w:rsid w:val="00845979"/>
    <w:rsid w:val="0085624C"/>
    <w:rsid w:val="00860159"/>
    <w:rsid w:val="0086323B"/>
    <w:rsid w:val="00864ACF"/>
    <w:rsid w:val="00866E18"/>
    <w:rsid w:val="0088197D"/>
    <w:rsid w:val="00882DEA"/>
    <w:rsid w:val="0088437A"/>
    <w:rsid w:val="008848FF"/>
    <w:rsid w:val="00887FA5"/>
    <w:rsid w:val="008A1967"/>
    <w:rsid w:val="008A5CD1"/>
    <w:rsid w:val="008A7286"/>
    <w:rsid w:val="008B3605"/>
    <w:rsid w:val="008B6526"/>
    <w:rsid w:val="008C6E78"/>
    <w:rsid w:val="008D0725"/>
    <w:rsid w:val="008D6734"/>
    <w:rsid w:val="008E3A83"/>
    <w:rsid w:val="008E7FCC"/>
    <w:rsid w:val="00902460"/>
    <w:rsid w:val="00906F4C"/>
    <w:rsid w:val="00922A3F"/>
    <w:rsid w:val="009269D2"/>
    <w:rsid w:val="00945282"/>
    <w:rsid w:val="0094665C"/>
    <w:rsid w:val="00951F4B"/>
    <w:rsid w:val="0096629D"/>
    <w:rsid w:val="0097177D"/>
    <w:rsid w:val="009717D9"/>
    <w:rsid w:val="00973A11"/>
    <w:rsid w:val="009771B8"/>
    <w:rsid w:val="009771CC"/>
    <w:rsid w:val="00987417"/>
    <w:rsid w:val="00992C09"/>
    <w:rsid w:val="009A0498"/>
    <w:rsid w:val="009A51FE"/>
    <w:rsid w:val="009A525A"/>
    <w:rsid w:val="009B0DF3"/>
    <w:rsid w:val="009B1CCA"/>
    <w:rsid w:val="009B236A"/>
    <w:rsid w:val="009C116C"/>
    <w:rsid w:val="009D70BB"/>
    <w:rsid w:val="009E4617"/>
    <w:rsid w:val="009F45FD"/>
    <w:rsid w:val="00A008FB"/>
    <w:rsid w:val="00A01382"/>
    <w:rsid w:val="00A045F5"/>
    <w:rsid w:val="00A152BC"/>
    <w:rsid w:val="00A15373"/>
    <w:rsid w:val="00A41C08"/>
    <w:rsid w:val="00A44ECA"/>
    <w:rsid w:val="00A470B3"/>
    <w:rsid w:val="00A475DB"/>
    <w:rsid w:val="00A540C1"/>
    <w:rsid w:val="00A57E5E"/>
    <w:rsid w:val="00A60ABC"/>
    <w:rsid w:val="00A60BDB"/>
    <w:rsid w:val="00A852FC"/>
    <w:rsid w:val="00A93ACD"/>
    <w:rsid w:val="00AA2487"/>
    <w:rsid w:val="00AA2B8B"/>
    <w:rsid w:val="00AB089B"/>
    <w:rsid w:val="00AB0C97"/>
    <w:rsid w:val="00AB5CAD"/>
    <w:rsid w:val="00AB71D7"/>
    <w:rsid w:val="00AC35A9"/>
    <w:rsid w:val="00AD09C9"/>
    <w:rsid w:val="00AD3A69"/>
    <w:rsid w:val="00AD4683"/>
    <w:rsid w:val="00AE1ABA"/>
    <w:rsid w:val="00AF7435"/>
    <w:rsid w:val="00B02DFE"/>
    <w:rsid w:val="00B06CD0"/>
    <w:rsid w:val="00B14DD0"/>
    <w:rsid w:val="00B15E3A"/>
    <w:rsid w:val="00B23FA6"/>
    <w:rsid w:val="00B24A21"/>
    <w:rsid w:val="00B24B7F"/>
    <w:rsid w:val="00B34A32"/>
    <w:rsid w:val="00B37493"/>
    <w:rsid w:val="00B44DF2"/>
    <w:rsid w:val="00B46F6D"/>
    <w:rsid w:val="00B53DC2"/>
    <w:rsid w:val="00B56C4C"/>
    <w:rsid w:val="00B5773B"/>
    <w:rsid w:val="00B63396"/>
    <w:rsid w:val="00B754D0"/>
    <w:rsid w:val="00B92561"/>
    <w:rsid w:val="00B949A5"/>
    <w:rsid w:val="00BA1E95"/>
    <w:rsid w:val="00BA4B9B"/>
    <w:rsid w:val="00BB1FE9"/>
    <w:rsid w:val="00BB3AC5"/>
    <w:rsid w:val="00BC6F54"/>
    <w:rsid w:val="00BD01FF"/>
    <w:rsid w:val="00BD357D"/>
    <w:rsid w:val="00BD769B"/>
    <w:rsid w:val="00C06C09"/>
    <w:rsid w:val="00C147C4"/>
    <w:rsid w:val="00C2164F"/>
    <w:rsid w:val="00C26615"/>
    <w:rsid w:val="00C33CAF"/>
    <w:rsid w:val="00C33D8B"/>
    <w:rsid w:val="00C478DF"/>
    <w:rsid w:val="00C60861"/>
    <w:rsid w:val="00C64EB1"/>
    <w:rsid w:val="00C94670"/>
    <w:rsid w:val="00CA2446"/>
    <w:rsid w:val="00CB0FEF"/>
    <w:rsid w:val="00CC1F76"/>
    <w:rsid w:val="00CC2F3B"/>
    <w:rsid w:val="00CD1ECE"/>
    <w:rsid w:val="00CD4C93"/>
    <w:rsid w:val="00CD796C"/>
    <w:rsid w:val="00CF1FC6"/>
    <w:rsid w:val="00CF3831"/>
    <w:rsid w:val="00CF793C"/>
    <w:rsid w:val="00D00C08"/>
    <w:rsid w:val="00D00ED2"/>
    <w:rsid w:val="00D32B4B"/>
    <w:rsid w:val="00D34067"/>
    <w:rsid w:val="00D34B11"/>
    <w:rsid w:val="00D40873"/>
    <w:rsid w:val="00D51772"/>
    <w:rsid w:val="00D53C4C"/>
    <w:rsid w:val="00D66B42"/>
    <w:rsid w:val="00D77730"/>
    <w:rsid w:val="00D808B0"/>
    <w:rsid w:val="00D854A8"/>
    <w:rsid w:val="00DA26F8"/>
    <w:rsid w:val="00DA6728"/>
    <w:rsid w:val="00DA735C"/>
    <w:rsid w:val="00DA7EE0"/>
    <w:rsid w:val="00DB0219"/>
    <w:rsid w:val="00DC25F8"/>
    <w:rsid w:val="00DC2DBC"/>
    <w:rsid w:val="00DC560C"/>
    <w:rsid w:val="00DC7F5E"/>
    <w:rsid w:val="00DD0EF0"/>
    <w:rsid w:val="00DD2099"/>
    <w:rsid w:val="00DE0F85"/>
    <w:rsid w:val="00DE5031"/>
    <w:rsid w:val="00DF374D"/>
    <w:rsid w:val="00E041FE"/>
    <w:rsid w:val="00E055E6"/>
    <w:rsid w:val="00E1587A"/>
    <w:rsid w:val="00E225E5"/>
    <w:rsid w:val="00E23E30"/>
    <w:rsid w:val="00E250EC"/>
    <w:rsid w:val="00E3493A"/>
    <w:rsid w:val="00E43978"/>
    <w:rsid w:val="00E450D6"/>
    <w:rsid w:val="00E4643C"/>
    <w:rsid w:val="00E5611A"/>
    <w:rsid w:val="00E611B5"/>
    <w:rsid w:val="00E71F38"/>
    <w:rsid w:val="00E75736"/>
    <w:rsid w:val="00E81B9E"/>
    <w:rsid w:val="00EA016C"/>
    <w:rsid w:val="00EA654D"/>
    <w:rsid w:val="00EA66F8"/>
    <w:rsid w:val="00EB3FEE"/>
    <w:rsid w:val="00EB6B0B"/>
    <w:rsid w:val="00EB7BE0"/>
    <w:rsid w:val="00EC35C3"/>
    <w:rsid w:val="00EC59D9"/>
    <w:rsid w:val="00EF29EB"/>
    <w:rsid w:val="00EF4742"/>
    <w:rsid w:val="00F033E8"/>
    <w:rsid w:val="00F04B67"/>
    <w:rsid w:val="00F14225"/>
    <w:rsid w:val="00F21E3E"/>
    <w:rsid w:val="00F25B9A"/>
    <w:rsid w:val="00F32A65"/>
    <w:rsid w:val="00F36638"/>
    <w:rsid w:val="00F44E1E"/>
    <w:rsid w:val="00F5538E"/>
    <w:rsid w:val="00F56C3D"/>
    <w:rsid w:val="00F60A3D"/>
    <w:rsid w:val="00F844A5"/>
    <w:rsid w:val="00FA2600"/>
    <w:rsid w:val="00FA7148"/>
    <w:rsid w:val="00FB6A4F"/>
    <w:rsid w:val="00FC2318"/>
    <w:rsid w:val="00FE0D4F"/>
    <w:rsid w:val="00FE1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C17F7"/>
  <w15:docId w15:val="{7EB46DEC-14B9-429A-9478-1733F8E4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Ttulo1">
    <w:name w:val="heading 1"/>
    <w:basedOn w:val="Normal"/>
    <w:next w:val="Normal"/>
    <w:qFormat/>
    <w:pPr>
      <w:keepNext/>
      <w:outlineLvl w:val="0"/>
    </w:pPr>
    <w:rPr>
      <w:rFonts w:ascii="Arial" w:hAnsi="Arial"/>
      <w:snapToGrid w:val="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napToGrid w:val="0"/>
      <w:sz w:val="24"/>
      <w:u w:val="single"/>
    </w:rPr>
  </w:style>
  <w:style w:type="paragraph" w:styleId="Encabezado">
    <w:name w:val="header"/>
    <w:basedOn w:val="Normal"/>
    <w:rsid w:val="00A57E5E"/>
    <w:pPr>
      <w:tabs>
        <w:tab w:val="center" w:pos="4252"/>
        <w:tab w:val="right" w:pos="8504"/>
      </w:tabs>
    </w:pPr>
  </w:style>
  <w:style w:type="paragraph" w:styleId="Piedepgina">
    <w:name w:val="footer"/>
    <w:basedOn w:val="Normal"/>
    <w:rsid w:val="00A57E5E"/>
    <w:pPr>
      <w:tabs>
        <w:tab w:val="center" w:pos="4252"/>
        <w:tab w:val="right" w:pos="8504"/>
      </w:tabs>
    </w:pPr>
  </w:style>
  <w:style w:type="table" w:styleId="Tablaconcuadrcula">
    <w:name w:val="Table Grid"/>
    <w:basedOn w:val="Tablanormal"/>
    <w:rsid w:val="002C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82817"/>
    <w:rPr>
      <w:rFonts w:ascii="Tahoma" w:hAnsi="Tahoma" w:cs="Tahoma"/>
      <w:sz w:val="16"/>
      <w:szCs w:val="16"/>
    </w:rPr>
  </w:style>
  <w:style w:type="character" w:customStyle="1" w:styleId="apple-converted-space">
    <w:name w:val="apple-converted-space"/>
    <w:basedOn w:val="Fuentedeprrafopredeter"/>
    <w:rsid w:val="00D77730"/>
  </w:style>
  <w:style w:type="character" w:styleId="Refdecomentario">
    <w:name w:val="annotation reference"/>
    <w:semiHidden/>
    <w:rsid w:val="00597BB8"/>
    <w:rPr>
      <w:sz w:val="16"/>
      <w:szCs w:val="16"/>
    </w:rPr>
  </w:style>
  <w:style w:type="paragraph" w:styleId="Textocomentario">
    <w:name w:val="annotation text"/>
    <w:basedOn w:val="Normal"/>
    <w:semiHidden/>
    <w:rsid w:val="00597BB8"/>
    <w:rPr>
      <w:sz w:val="20"/>
    </w:rPr>
  </w:style>
  <w:style w:type="paragraph" w:styleId="Asuntodelcomentario">
    <w:name w:val="annotation subject"/>
    <w:basedOn w:val="Textocomentario"/>
    <w:next w:val="Textocomentario"/>
    <w:semiHidden/>
    <w:rsid w:val="00597BB8"/>
    <w:rPr>
      <w:b/>
      <w:bCs/>
    </w:rPr>
  </w:style>
  <w:style w:type="paragraph" w:styleId="Prrafodelista">
    <w:name w:val="List Paragraph"/>
    <w:basedOn w:val="Normal"/>
    <w:uiPriority w:val="34"/>
    <w:qFormat/>
    <w:rsid w:val="00515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304226">
      <w:bodyDiv w:val="1"/>
      <w:marLeft w:val="0"/>
      <w:marRight w:val="0"/>
      <w:marTop w:val="0"/>
      <w:marBottom w:val="0"/>
      <w:divBdr>
        <w:top w:val="none" w:sz="0" w:space="0" w:color="auto"/>
        <w:left w:val="none" w:sz="0" w:space="0" w:color="auto"/>
        <w:bottom w:val="none" w:sz="0" w:space="0" w:color="auto"/>
        <w:right w:val="none" w:sz="0" w:space="0" w:color="auto"/>
      </w:divBdr>
    </w:div>
    <w:div w:id="1542589285">
      <w:bodyDiv w:val="1"/>
      <w:marLeft w:val="0"/>
      <w:marRight w:val="0"/>
      <w:marTop w:val="0"/>
      <w:marBottom w:val="0"/>
      <w:divBdr>
        <w:top w:val="none" w:sz="0" w:space="0" w:color="auto"/>
        <w:left w:val="none" w:sz="0" w:space="0" w:color="auto"/>
        <w:bottom w:val="none" w:sz="0" w:space="0" w:color="auto"/>
        <w:right w:val="none" w:sz="0" w:space="0" w:color="auto"/>
      </w:divBdr>
    </w:div>
    <w:div w:id="182874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image" Target="media/image13.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5.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6.bin"/><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7.bin"/><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8.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B873C-86F6-484E-B6E0-7BFEC102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11240</TotalTime>
  <Pages>26</Pages>
  <Words>4421</Words>
  <Characters>24317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Introducción</vt:lpstr>
    </vt:vector>
  </TitlesOfParts>
  <Company>DFA-AFA</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jlcimi</dc:creator>
  <cp:lastModifiedBy>Mosquera Lacalle, Ainhoa</cp:lastModifiedBy>
  <cp:revision>93</cp:revision>
  <cp:lastPrinted>2026-06-03T06:50:00Z</cp:lastPrinted>
  <dcterms:created xsi:type="dcterms:W3CDTF">2022-05-06T07:24:00Z</dcterms:created>
  <dcterms:modified xsi:type="dcterms:W3CDTF">2026-06-30T11:02:00Z</dcterms:modified>
</cp:coreProperties>
</file>