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8350" w14:textId="77777777" w:rsidR="00E30652" w:rsidRPr="00865705" w:rsidRDefault="00E30652" w:rsidP="00E30652">
      <w:pPr>
        <w:tabs>
          <w:tab w:val="right" w:pos="8789"/>
        </w:tabs>
        <w:spacing w:after="480"/>
        <w:jc w:val="both"/>
        <w:rPr>
          <w:b/>
          <w:sz w:val="24"/>
          <w:szCs w:val="24"/>
          <w:lang w:val="es-ES"/>
        </w:rPr>
      </w:pPr>
      <w:r>
        <w:rPr>
          <w:rFonts w:ascii="Arial" w:eastAsia="Arial" w:hAnsi="Arial"/>
          <w:b/>
          <w:bCs/>
          <w:sz w:val="24"/>
          <w:szCs w:val="24"/>
          <w:lang w:val="eu-ES"/>
        </w:rPr>
        <w:t xml:space="preserve">FORU ARAU PROIEKTUA, ARABA GARAPEN AGENTZIA </w:t>
      </w:r>
      <w:proofErr w:type="spellStart"/>
      <w:r>
        <w:rPr>
          <w:rFonts w:ascii="Arial" w:eastAsia="Arial" w:hAnsi="Arial"/>
          <w:b/>
          <w:bCs/>
          <w:sz w:val="24"/>
          <w:szCs w:val="24"/>
          <w:lang w:val="eu-ES"/>
        </w:rPr>
        <w:t>SAUri</w:t>
      </w:r>
      <w:proofErr w:type="spellEnd"/>
      <w:r>
        <w:rPr>
          <w:rFonts w:ascii="Arial" w:eastAsia="Arial" w:hAnsi="Arial"/>
          <w:b/>
          <w:bCs/>
          <w:sz w:val="24"/>
          <w:szCs w:val="24"/>
          <w:lang w:val="eu-ES"/>
        </w:rPr>
        <w:t xml:space="preserve"> BAIMENA EMATEN DIONA GAIA EUSKADIKO JAKINTZA INDUSTRIEN ETA TEKNOLOGIA APLIKATUEN ELKARTEAREKIN LANKIDETZA HITZARMENA SINATZEKO, “ARABA 4.0: AIARALDEA DIGITALA” PROIEKTUA MARTXAN JARTZEKO</w:t>
      </w:r>
    </w:p>
    <w:p w14:paraId="27237492" w14:textId="77777777" w:rsidR="00E30652" w:rsidRDefault="00E30652" w:rsidP="00E30652">
      <w:pPr>
        <w:tabs>
          <w:tab w:val="right" w:pos="8789"/>
        </w:tabs>
        <w:spacing w:after="480"/>
        <w:jc w:val="center"/>
        <w:rPr>
          <w:b/>
          <w:sz w:val="24"/>
          <w:szCs w:val="24"/>
          <w:lang w:val="es-ES"/>
        </w:rPr>
      </w:pPr>
      <w:r>
        <w:rPr>
          <w:rFonts w:ascii="Arial" w:eastAsia="Arial" w:hAnsi="Arial"/>
          <w:b/>
          <w:bCs/>
          <w:sz w:val="24"/>
          <w:szCs w:val="24"/>
          <w:lang w:val="eu-ES"/>
        </w:rPr>
        <w:t>ZIOEN ADIERAZPENA</w:t>
      </w:r>
    </w:p>
    <w:p w14:paraId="163BDD15" w14:textId="77777777" w:rsidR="00E30652" w:rsidRDefault="00E30652" w:rsidP="00E30652">
      <w:pPr>
        <w:tabs>
          <w:tab w:val="right" w:pos="8789"/>
        </w:tabs>
        <w:jc w:val="both"/>
        <w:rPr>
          <w:sz w:val="22"/>
          <w:szCs w:val="22"/>
          <w:lang w:val="es-ES"/>
        </w:rPr>
      </w:pPr>
    </w:p>
    <w:p w14:paraId="119D3284" w14:textId="77777777" w:rsidR="00E30652" w:rsidRPr="005E7D36" w:rsidRDefault="00E30652" w:rsidP="00E30652">
      <w:pPr>
        <w:tabs>
          <w:tab w:val="right" w:pos="8789"/>
        </w:tabs>
        <w:jc w:val="both"/>
        <w:rPr>
          <w:sz w:val="22"/>
          <w:szCs w:val="22"/>
          <w:lang w:val="es-ES"/>
        </w:rPr>
      </w:pPr>
      <w:r>
        <w:rPr>
          <w:rFonts w:ascii="Arial" w:eastAsia="Arial" w:hAnsi="Arial"/>
          <w:sz w:val="22"/>
          <w:szCs w:val="22"/>
          <w:lang w:val="eu-ES"/>
        </w:rPr>
        <w:t>Arabako Foru Aldundiak ditu garapen teknologikoaren, berrikuntzaren eta enpresa lehiakortasunaren arloko eskumenak. Zehazki, Ekonomia Garapenaren eta Jasangarritasunaren Sailak eta haren mendeko Araba Garapen Agentziak, besteak beste, Arabako Lurralde Historikoaren garapen ekonomikoa bultzatu eta sustatzeko eginkizuna dute, baita enpresa eta jarduera ekonomiko berriak sortzea eta daudenak hobetzea edo hedatzea sustatzea ere.</w:t>
      </w:r>
    </w:p>
    <w:p w14:paraId="56A7BB28" w14:textId="77777777" w:rsidR="00E30652" w:rsidRPr="005E7D36" w:rsidRDefault="00E30652" w:rsidP="00E30652">
      <w:pPr>
        <w:tabs>
          <w:tab w:val="right" w:pos="8789"/>
        </w:tabs>
        <w:jc w:val="both"/>
        <w:rPr>
          <w:sz w:val="22"/>
          <w:szCs w:val="22"/>
          <w:lang w:val="es-ES"/>
        </w:rPr>
      </w:pPr>
    </w:p>
    <w:p w14:paraId="7BC3D920" w14:textId="77777777" w:rsidR="00E30652" w:rsidRPr="005E7D36" w:rsidRDefault="00E30652" w:rsidP="00E30652">
      <w:pPr>
        <w:tabs>
          <w:tab w:val="right" w:pos="8789"/>
        </w:tabs>
        <w:jc w:val="both"/>
        <w:rPr>
          <w:sz w:val="22"/>
          <w:szCs w:val="22"/>
          <w:lang w:val="es-ES"/>
        </w:rPr>
      </w:pPr>
      <w:r>
        <w:rPr>
          <w:rFonts w:ascii="Arial" w:eastAsia="Arial" w:hAnsi="Arial"/>
          <w:sz w:val="22"/>
          <w:szCs w:val="22"/>
          <w:lang w:val="eu-ES"/>
        </w:rPr>
        <w:t xml:space="preserve">GAIA Euskadiko Jakintza Industrien eta Teknologia Aplikatuen Elkartea da, eta sektore horretako 311 enpresa baino gehiago biltzen ditu. Berrikuntza </w:t>
      </w:r>
      <w:proofErr w:type="spellStart"/>
      <w:r>
        <w:rPr>
          <w:rFonts w:ascii="Arial" w:eastAsia="Arial" w:hAnsi="Arial"/>
          <w:sz w:val="22"/>
          <w:szCs w:val="22"/>
          <w:lang w:val="eu-ES"/>
        </w:rPr>
        <w:t>kolaboratiboan</w:t>
      </w:r>
      <w:proofErr w:type="spellEnd"/>
      <w:r>
        <w:rPr>
          <w:rFonts w:ascii="Arial" w:eastAsia="Arial" w:hAnsi="Arial"/>
          <w:sz w:val="22"/>
          <w:szCs w:val="22"/>
          <w:lang w:val="eu-ES"/>
        </w:rPr>
        <w:t xml:space="preserve"> erreferente izatea du helburu, soluzio </w:t>
      </w:r>
      <w:proofErr w:type="spellStart"/>
      <w:r>
        <w:rPr>
          <w:rFonts w:ascii="Arial" w:eastAsia="Arial" w:hAnsi="Arial"/>
          <w:sz w:val="22"/>
          <w:szCs w:val="22"/>
          <w:lang w:val="eu-ES"/>
        </w:rPr>
        <w:t>globalki</w:t>
      </w:r>
      <w:proofErr w:type="spellEnd"/>
      <w:r>
        <w:rPr>
          <w:rFonts w:ascii="Arial" w:eastAsia="Arial" w:hAnsi="Arial"/>
          <w:sz w:val="22"/>
          <w:szCs w:val="22"/>
          <w:lang w:val="eu-ES"/>
        </w:rPr>
        <w:t xml:space="preserve"> lehiakorrak eratu eta abian jartzeko, ezagutza eta teknologia propioan oinarrituta (aholkularitza, ingeniaritza, elektronika, informatika, telekomunikazioak eta </w:t>
      </w:r>
      <w:proofErr w:type="spellStart"/>
      <w:r>
        <w:rPr>
          <w:rFonts w:ascii="Arial" w:eastAsia="Arial" w:hAnsi="Arial"/>
          <w:sz w:val="22"/>
          <w:szCs w:val="22"/>
          <w:lang w:val="eu-ES"/>
        </w:rPr>
        <w:t>gamifikazioa</w:t>
      </w:r>
      <w:proofErr w:type="spellEnd"/>
      <w:r>
        <w:rPr>
          <w:rFonts w:ascii="Arial" w:eastAsia="Arial" w:hAnsi="Arial"/>
          <w:sz w:val="22"/>
          <w:szCs w:val="22"/>
          <w:lang w:val="eu-ES"/>
        </w:rPr>
        <w:t>).</w:t>
      </w:r>
    </w:p>
    <w:p w14:paraId="236D9A89" w14:textId="77777777" w:rsidR="00E30652" w:rsidRPr="005E7D36" w:rsidRDefault="00E30652" w:rsidP="00E30652">
      <w:pPr>
        <w:tabs>
          <w:tab w:val="right" w:pos="8789"/>
        </w:tabs>
        <w:jc w:val="both"/>
        <w:rPr>
          <w:sz w:val="22"/>
          <w:szCs w:val="22"/>
          <w:lang w:val="es-ES"/>
        </w:rPr>
      </w:pPr>
    </w:p>
    <w:p w14:paraId="3ECE41A0" w14:textId="77777777" w:rsidR="00E30652" w:rsidRPr="005E7D36" w:rsidRDefault="00E30652" w:rsidP="00E30652">
      <w:pPr>
        <w:tabs>
          <w:tab w:val="right" w:pos="8789"/>
        </w:tabs>
        <w:jc w:val="both"/>
        <w:rPr>
          <w:sz w:val="22"/>
          <w:szCs w:val="22"/>
          <w:lang w:val="es-ES"/>
        </w:rPr>
      </w:pPr>
      <w:r>
        <w:rPr>
          <w:rFonts w:ascii="Arial" w:eastAsia="Arial" w:hAnsi="Arial"/>
          <w:sz w:val="22"/>
          <w:szCs w:val="22"/>
          <w:lang w:val="eu-ES"/>
        </w:rPr>
        <w:t>Arabako Foru Aldundiak Aiaraldeko Berehalako Jarduketa Plana eta Aiaraldea Eskualderako Plan Estrategikoa martxan jartzea bultzatu du, zonaldea ekonomikoki indartzeko eta suspertzeko. Plan horien bidez, zonaren garapen ekonomikoa eta soziala bizkortzeko aukera emango duten eta egingarriak, zehatzak eta ekiteko modukoak izango diren hainbat jarduera eraldatzaile identifikatu dira.</w:t>
      </w:r>
    </w:p>
    <w:p w14:paraId="09B87863" w14:textId="77777777" w:rsidR="00E30652" w:rsidRPr="005E7D36" w:rsidRDefault="00E30652" w:rsidP="00E30652">
      <w:pPr>
        <w:tabs>
          <w:tab w:val="right" w:pos="8789"/>
        </w:tabs>
        <w:jc w:val="both"/>
        <w:rPr>
          <w:sz w:val="22"/>
          <w:szCs w:val="22"/>
          <w:lang w:val="es-ES"/>
        </w:rPr>
      </w:pPr>
    </w:p>
    <w:p w14:paraId="04EF189A" w14:textId="77777777" w:rsidR="00E30652" w:rsidRPr="005E7D36" w:rsidRDefault="00E30652" w:rsidP="00E30652">
      <w:pPr>
        <w:tabs>
          <w:tab w:val="right" w:pos="8789"/>
        </w:tabs>
        <w:jc w:val="both"/>
        <w:rPr>
          <w:sz w:val="22"/>
          <w:szCs w:val="22"/>
          <w:lang w:val="es-ES"/>
        </w:rPr>
      </w:pPr>
      <w:r>
        <w:rPr>
          <w:rFonts w:ascii="Arial" w:eastAsia="Arial" w:hAnsi="Arial"/>
          <w:sz w:val="22"/>
          <w:szCs w:val="22"/>
          <w:lang w:val="eu-ES"/>
        </w:rPr>
        <w:t xml:space="preserve">Azaroaren 8ko 667/2022 Akordioari jarraikiz, Arabako Foru Aldundiak 1.650.000 euro transferitu zizkion Araba Garapen Agentzia </w:t>
      </w:r>
      <w:proofErr w:type="spellStart"/>
      <w:r>
        <w:rPr>
          <w:rFonts w:ascii="Arial" w:eastAsia="Arial" w:hAnsi="Arial"/>
          <w:sz w:val="22"/>
          <w:szCs w:val="22"/>
          <w:lang w:val="eu-ES"/>
        </w:rPr>
        <w:t>SAUri</w:t>
      </w:r>
      <w:proofErr w:type="spellEnd"/>
      <w:r>
        <w:rPr>
          <w:rFonts w:ascii="Arial" w:eastAsia="Arial" w:hAnsi="Arial"/>
          <w:sz w:val="22"/>
          <w:szCs w:val="22"/>
          <w:lang w:val="eu-ES"/>
        </w:rPr>
        <w:t xml:space="preserve">, Aiaraldeko Berehalako Jarduketa Planaren zenbait jarduketa gauzatzeko eta, zehazki, Aiara Industrial </w:t>
      </w:r>
      <w:proofErr w:type="spellStart"/>
      <w:r>
        <w:rPr>
          <w:rFonts w:ascii="Arial" w:eastAsia="Arial" w:hAnsi="Arial"/>
          <w:sz w:val="22"/>
          <w:szCs w:val="22"/>
          <w:lang w:val="eu-ES"/>
        </w:rPr>
        <w:t>Lab</w:t>
      </w:r>
      <w:proofErr w:type="spellEnd"/>
      <w:r>
        <w:rPr>
          <w:rFonts w:ascii="Arial" w:eastAsia="Arial" w:hAnsi="Arial"/>
          <w:sz w:val="22"/>
          <w:szCs w:val="22"/>
          <w:lang w:val="eu-ES"/>
        </w:rPr>
        <w:t xml:space="preserve"> proiektuaren buru izateko. Ekimen horren helburua da </w:t>
      </w:r>
      <w:proofErr w:type="spellStart"/>
      <w:r>
        <w:rPr>
          <w:rFonts w:ascii="Arial" w:eastAsia="Arial" w:hAnsi="Arial"/>
          <w:sz w:val="22"/>
          <w:szCs w:val="22"/>
          <w:lang w:val="eu-ES"/>
        </w:rPr>
        <w:t>startupak</w:t>
      </w:r>
      <w:proofErr w:type="spellEnd"/>
      <w:r>
        <w:rPr>
          <w:rFonts w:ascii="Arial" w:eastAsia="Arial" w:hAnsi="Arial"/>
          <w:sz w:val="22"/>
          <w:szCs w:val="22"/>
          <w:lang w:val="eu-ES"/>
        </w:rPr>
        <w:t xml:space="preserve"> erakartzeko, sortzeko eta bizkortzeko zentro bat sortzea eta eskualdeko enpresei gaitasun teknologiko berriak ematea.</w:t>
      </w:r>
    </w:p>
    <w:p w14:paraId="638F8CFB" w14:textId="77777777" w:rsidR="00E30652" w:rsidRPr="005E7D36" w:rsidRDefault="00E30652" w:rsidP="00E30652">
      <w:pPr>
        <w:tabs>
          <w:tab w:val="right" w:pos="8789"/>
        </w:tabs>
        <w:jc w:val="both"/>
        <w:rPr>
          <w:sz w:val="22"/>
          <w:szCs w:val="22"/>
          <w:lang w:val="es-ES"/>
        </w:rPr>
      </w:pPr>
    </w:p>
    <w:p w14:paraId="15206C80" w14:textId="77777777" w:rsidR="00E30652" w:rsidRPr="005E7D36" w:rsidRDefault="00E30652" w:rsidP="00E30652">
      <w:pPr>
        <w:tabs>
          <w:tab w:val="right" w:pos="8789"/>
        </w:tabs>
        <w:jc w:val="both"/>
        <w:rPr>
          <w:sz w:val="22"/>
          <w:szCs w:val="22"/>
          <w:lang w:val="es-ES"/>
        </w:rPr>
      </w:pPr>
      <w:r>
        <w:rPr>
          <w:rFonts w:ascii="Arial" w:eastAsia="Arial" w:hAnsi="Arial"/>
          <w:sz w:val="22"/>
          <w:szCs w:val="22"/>
          <w:lang w:val="eu-ES"/>
        </w:rPr>
        <w:t xml:space="preserve">2022tik, </w:t>
      </w:r>
      <w:proofErr w:type="spellStart"/>
      <w:r>
        <w:rPr>
          <w:rFonts w:ascii="Arial" w:eastAsia="Arial" w:hAnsi="Arial"/>
          <w:sz w:val="22"/>
          <w:szCs w:val="22"/>
          <w:lang w:val="eu-ES"/>
        </w:rPr>
        <w:t>GAIAk</w:t>
      </w:r>
      <w:proofErr w:type="spellEnd"/>
      <w:r>
        <w:rPr>
          <w:rFonts w:ascii="Arial" w:eastAsia="Arial" w:hAnsi="Arial"/>
          <w:sz w:val="22"/>
          <w:szCs w:val="22"/>
          <w:lang w:val="eu-ES"/>
        </w:rPr>
        <w:t xml:space="preserve"> sentsibilizazio eta berme jarduketak egiten ditu, bai eta Aiaraldeko enpresa eta erakundeei eraldaketa digitalari buruz aholku emateko eta gai horri begira laguntzeko jarduketak ere, “ETEen Bulego Azeleratzailea” programaren esparruan, Arabako Foru Aldundiak eta </w:t>
      </w:r>
      <w:proofErr w:type="spellStart"/>
      <w:r>
        <w:rPr>
          <w:rFonts w:ascii="Arial" w:eastAsia="Arial" w:hAnsi="Arial"/>
          <w:sz w:val="22"/>
          <w:szCs w:val="22"/>
          <w:lang w:val="eu-ES"/>
        </w:rPr>
        <w:t>GAIAk</w:t>
      </w:r>
      <w:proofErr w:type="spellEnd"/>
      <w:r>
        <w:rPr>
          <w:rFonts w:ascii="Arial" w:eastAsia="Arial" w:hAnsi="Arial"/>
          <w:sz w:val="22"/>
          <w:szCs w:val="22"/>
          <w:lang w:val="eu-ES"/>
        </w:rPr>
        <w:t xml:space="preserve"> 2022ko martxoan sinatutako asmo protokoloaren babespean. </w:t>
      </w:r>
    </w:p>
    <w:p w14:paraId="17EF32E2" w14:textId="77777777" w:rsidR="00E30652" w:rsidRPr="005E7D36" w:rsidRDefault="00E30652" w:rsidP="00E30652">
      <w:pPr>
        <w:tabs>
          <w:tab w:val="right" w:pos="8789"/>
        </w:tabs>
        <w:jc w:val="both"/>
        <w:rPr>
          <w:sz w:val="22"/>
          <w:szCs w:val="22"/>
          <w:lang w:val="es-ES"/>
        </w:rPr>
      </w:pPr>
    </w:p>
    <w:p w14:paraId="4E7FCD69" w14:textId="77777777" w:rsidR="00E30652" w:rsidRPr="00865705" w:rsidRDefault="00E30652" w:rsidP="00E30652">
      <w:pPr>
        <w:tabs>
          <w:tab w:val="right" w:pos="8789"/>
        </w:tabs>
        <w:jc w:val="both"/>
        <w:rPr>
          <w:sz w:val="22"/>
          <w:szCs w:val="22"/>
          <w:lang w:val="es-ES"/>
        </w:rPr>
      </w:pPr>
      <w:r>
        <w:rPr>
          <w:rFonts w:ascii="Arial" w:eastAsia="Arial" w:hAnsi="Arial"/>
          <w:sz w:val="22"/>
          <w:szCs w:val="22"/>
          <w:lang w:val="eu-ES"/>
        </w:rPr>
        <w:t xml:space="preserve">Arabako Foru Aldundiak, Araba Garapen Agentzia </w:t>
      </w:r>
      <w:proofErr w:type="spellStart"/>
      <w:r>
        <w:rPr>
          <w:rFonts w:ascii="Arial" w:eastAsia="Arial" w:hAnsi="Arial"/>
          <w:sz w:val="22"/>
          <w:szCs w:val="22"/>
          <w:lang w:val="eu-ES"/>
        </w:rPr>
        <w:t>SAUren</w:t>
      </w:r>
      <w:proofErr w:type="spellEnd"/>
      <w:r>
        <w:rPr>
          <w:rFonts w:ascii="Arial" w:eastAsia="Arial" w:hAnsi="Arial"/>
          <w:sz w:val="22"/>
          <w:szCs w:val="22"/>
          <w:lang w:val="eu-ES"/>
        </w:rPr>
        <w:t xml:space="preserve"> bitartez, Aiaraldeko industria eta enpresak eraldatzea sustatuko duten jarduketak abian jartzearen aldeko apustua egiten du, haien lehiakortasunean aurrera egiteko. Horretarako, elkarrekin lan eginez, ingurunearen eta bertako erakundeen eraldaketa digitala sortu eta indartu behar da, jakintza eta teknologia aplikatuko industria indartu behar da eta industria sarea modernizatu behar da, alderdi sozioekonomikoak hobetzeko aukera izateko.</w:t>
      </w:r>
    </w:p>
    <w:p w14:paraId="17F80FA9" w14:textId="77777777" w:rsidR="00E30652" w:rsidRPr="00865705" w:rsidRDefault="00E30652" w:rsidP="00E30652">
      <w:pPr>
        <w:tabs>
          <w:tab w:val="right" w:pos="8789"/>
        </w:tabs>
        <w:jc w:val="both"/>
        <w:rPr>
          <w:sz w:val="22"/>
          <w:szCs w:val="22"/>
          <w:lang w:val="es-ES"/>
        </w:rPr>
      </w:pPr>
    </w:p>
    <w:p w14:paraId="227D8A0F" w14:textId="77777777" w:rsidR="00E30652" w:rsidRPr="00A12614" w:rsidRDefault="00E30652" w:rsidP="00E30652">
      <w:pPr>
        <w:tabs>
          <w:tab w:val="right" w:pos="8789"/>
        </w:tabs>
        <w:jc w:val="both"/>
        <w:rPr>
          <w:sz w:val="22"/>
          <w:szCs w:val="22"/>
          <w:lang w:val="es-ES"/>
        </w:rPr>
      </w:pPr>
      <w:bookmarkStart w:id="0" w:name="_Hlk159925031"/>
      <w:bookmarkStart w:id="1" w:name="_Hlk159924499"/>
      <w:r>
        <w:rPr>
          <w:rFonts w:ascii="Arial" w:eastAsia="Arial" w:hAnsi="Arial"/>
          <w:sz w:val="22"/>
          <w:szCs w:val="22"/>
          <w:lang w:val="eu-ES"/>
        </w:rPr>
        <w:t xml:space="preserve">Horretarako, asmoa da Araba Garapen Agentziak lankidetza hitzarmen bat sinatzea GAIA Euskadiko Jakintza Industrien eta Teknologia Aplikatuen Elkartearekin. Foru sozietateak egin beharreko jarduketak 250.000,00 euroko kostua izango du guztira, gutxi gorabehera. Epea 2025eko abendura artekoa izango da (hamabi hilabetez luza daiteke), eta “Araba 4.0: Aiaraldea </w:t>
      </w:r>
      <w:r>
        <w:rPr>
          <w:rFonts w:ascii="Arial" w:eastAsia="Arial" w:hAnsi="Arial"/>
          <w:sz w:val="22"/>
          <w:szCs w:val="22"/>
          <w:lang w:val="eu-ES"/>
        </w:rPr>
        <w:lastRenderedPageBreak/>
        <w:t>Digitala” proiektua martxan jarriko da. Proiektuaren helburu nagusia eraldaketa digitala sustatzea da, horretarako proiektu pilotuak hedatuz eta teknologia gaitzaile eta disruptiboetan arreta jarriz. Hori guztia Aiaraldeko ETE industrialen lehiakortasuna hobetzeko helburuarekin (Aiara, Amurrio, Artziniega, Laudio eta Okondo udalerriak).</w:t>
      </w:r>
    </w:p>
    <w:bookmarkEnd w:id="0"/>
    <w:p w14:paraId="452615C0" w14:textId="77777777" w:rsidR="00E30652" w:rsidRDefault="00E30652" w:rsidP="00E30652">
      <w:pPr>
        <w:jc w:val="both"/>
        <w:rPr>
          <w:noProof/>
          <w:color w:val="00B0F0"/>
          <w:sz w:val="22"/>
          <w:lang w:val="es-ES"/>
        </w:rPr>
      </w:pPr>
    </w:p>
    <w:bookmarkEnd w:id="1"/>
    <w:p w14:paraId="611D3858" w14:textId="77777777" w:rsidR="00E30652" w:rsidRDefault="00E30652" w:rsidP="00E30652">
      <w:pPr>
        <w:autoSpaceDE w:val="0"/>
        <w:autoSpaceDN w:val="0"/>
        <w:adjustRightInd w:val="0"/>
        <w:jc w:val="both"/>
        <w:rPr>
          <w:noProof/>
          <w:sz w:val="22"/>
          <w:lang w:val="es-ES"/>
        </w:rPr>
      </w:pPr>
      <w:r>
        <w:rPr>
          <w:rFonts w:ascii="Arial" w:eastAsia="Arial" w:hAnsi="Arial"/>
          <w:noProof/>
          <w:sz w:val="22"/>
          <w:szCs w:val="22"/>
          <w:lang w:val="eu-ES"/>
        </w:rPr>
        <w:t>Foru sektore publikoaren aurrekontuen luzapenaren egoera eta 3/2023 Foru Arauaren 56. artikuluan xedatutakoa kontuan hartuta, non ezartzen baita transferentzia eta dirulaguntza arruntak eta kapital transferentziak eta dirulaguntza arruntak egiteko erabiltzen diren eta sektore publiko enpresarial eta fundazionaleko erakundeen aurrekontuetan sartuta dauden ordainketa kredituek izaera mugatzailea izango dutela, eta Araba Garapen Agentziaren 2023ko aurrekontuetan ordainketa kreditu hori ez dagoela kontuan hartuta, Batzar Nagusiek aldez aurretik baimendu beharko dute foru sozietate publiko horrek edozein motatako laguntzak ematea.</w:t>
      </w:r>
    </w:p>
    <w:p w14:paraId="390780C1" w14:textId="77777777" w:rsidR="00E30652" w:rsidRDefault="00E30652" w:rsidP="00E30652">
      <w:pPr>
        <w:jc w:val="both"/>
        <w:rPr>
          <w:noProof/>
          <w:sz w:val="22"/>
          <w:lang w:val="es-ES"/>
        </w:rPr>
      </w:pPr>
    </w:p>
    <w:p w14:paraId="6FE33E75" w14:textId="77777777" w:rsidR="00E30652" w:rsidRDefault="00E30652" w:rsidP="00E30652">
      <w:pPr>
        <w:jc w:val="both"/>
        <w:rPr>
          <w:noProof/>
          <w:sz w:val="22"/>
          <w:lang w:val="es-ES"/>
        </w:rPr>
      </w:pPr>
      <w:r>
        <w:rPr>
          <w:rFonts w:ascii="Arial" w:eastAsia="Arial" w:hAnsi="Arial"/>
          <w:noProof/>
          <w:sz w:val="22"/>
          <w:szCs w:val="22"/>
          <w:lang w:val="eu-ES"/>
        </w:rPr>
        <w:t>Arabako Lurralde Historikoaren Erakunde Antolaketari buruzko 1983ko martxoaren 7ko Foru Arauaren 6. artikuluak Batzar Nagusiei dagozkien eskumenak ezartzen ditu. Era berean, Arabako Foru Aldundiaren gobernuari, antolaketari eta araubide juridikoari buruzko martxoaren 15eko 10/2023 Foru Arauaren 6. artikuluak ezartzen duenez, ekimen arautzailea gauzatzean, Foru Gobernu Kontseiluari dagokio foru arauen proiektuak onestea Batzar Nagusietara bidaltzeko, apirilaren 22ko 17/2013 Foru Arauaren bidez onartutako Batzar Nagusien Funtzionamendu Araudian ezarri den eran.</w:t>
      </w:r>
    </w:p>
    <w:p w14:paraId="7BE0003E" w14:textId="77777777" w:rsidR="00E30652" w:rsidRDefault="00E30652" w:rsidP="00E30652">
      <w:pPr>
        <w:jc w:val="both"/>
        <w:rPr>
          <w:noProof/>
          <w:sz w:val="22"/>
          <w:lang w:val="es-ES"/>
        </w:rPr>
      </w:pPr>
    </w:p>
    <w:p w14:paraId="5B764089" w14:textId="77777777" w:rsidR="00E30652" w:rsidRDefault="00E30652" w:rsidP="00E30652">
      <w:pPr>
        <w:jc w:val="both"/>
        <w:rPr>
          <w:noProof/>
          <w:sz w:val="22"/>
          <w:lang w:val="es-ES"/>
        </w:rPr>
      </w:pPr>
      <w:r>
        <w:rPr>
          <w:rFonts w:ascii="Arial" w:eastAsia="Arial" w:hAnsi="Arial"/>
          <w:noProof/>
          <w:sz w:val="22"/>
          <w:szCs w:val="22"/>
          <w:lang w:val="eu-ES"/>
        </w:rPr>
        <w:t xml:space="preserve">Arabako Foru Aldundiaren xedapen orokorrak egiteko prozedurari buruzko Foru Gobernu Kontseiluaren otsailaren 28ko 6/2023 Foru Dekretuaren 2. artikuluaren arabera, dekretu horretan xedatutako prozeduratik salbuetsita dago. </w:t>
      </w:r>
    </w:p>
    <w:p w14:paraId="6296A4E7" w14:textId="77777777" w:rsidR="00E30652" w:rsidRPr="00E51E8F" w:rsidRDefault="00E30652" w:rsidP="00E30652">
      <w:pPr>
        <w:jc w:val="both"/>
        <w:rPr>
          <w:strike/>
          <w:noProof/>
          <w:sz w:val="22"/>
          <w:lang w:val="es-ES"/>
        </w:rPr>
      </w:pPr>
    </w:p>
    <w:p w14:paraId="484129A7" w14:textId="77777777" w:rsidR="00E30652" w:rsidRPr="005E7D36" w:rsidRDefault="00E30652" w:rsidP="00E30652">
      <w:pPr>
        <w:contextualSpacing/>
        <w:jc w:val="both"/>
        <w:rPr>
          <w:color w:val="00B050"/>
          <w:sz w:val="22"/>
          <w:szCs w:val="22"/>
          <w:lang w:val="es-ES"/>
        </w:rPr>
      </w:pPr>
      <w:r>
        <w:rPr>
          <w:rFonts w:ascii="Arial" w:eastAsia="Arial" w:hAnsi="Arial"/>
          <w:sz w:val="22"/>
          <w:szCs w:val="22"/>
          <w:lang w:val="eu-ES"/>
        </w:rPr>
        <w:t xml:space="preserve">Emakumeen eta gizonen berdintasun eraginkorra lortzeko martxoaren 22ko 3/2007 Lege Organikoan eta, Euskadi mailan, emakumeen eta gizonen berdintasunerako eta emakumeen aurkako indarkeria matxistarik gabe bizitzeko Legearen testu </w:t>
      </w:r>
      <w:proofErr w:type="spellStart"/>
      <w:r>
        <w:rPr>
          <w:rFonts w:ascii="Arial" w:eastAsia="Arial" w:hAnsi="Arial"/>
          <w:sz w:val="22"/>
          <w:szCs w:val="22"/>
          <w:lang w:val="eu-ES"/>
        </w:rPr>
        <w:t>bategina</w:t>
      </w:r>
      <w:proofErr w:type="spellEnd"/>
      <w:r>
        <w:rPr>
          <w:rFonts w:ascii="Arial" w:eastAsia="Arial" w:hAnsi="Arial"/>
          <w:sz w:val="22"/>
          <w:szCs w:val="22"/>
          <w:lang w:val="eu-ES"/>
        </w:rPr>
        <w:t xml:space="preserve"> onartzen duen martxoaren 16ko 1/2023 Legegintzako Dekretuan xedatutakoa betez, arau hau prozeduran genero ikuspegia txertatzeko helburuarekin planifikatu da.</w:t>
      </w:r>
    </w:p>
    <w:p w14:paraId="06E7CF8D" w14:textId="77777777" w:rsidR="00E30652" w:rsidRDefault="00E30652" w:rsidP="00E30652">
      <w:pPr>
        <w:tabs>
          <w:tab w:val="right" w:pos="8789"/>
        </w:tabs>
        <w:jc w:val="both"/>
        <w:rPr>
          <w:sz w:val="22"/>
          <w:szCs w:val="22"/>
          <w:lang w:val="es-ES"/>
        </w:rPr>
      </w:pPr>
    </w:p>
    <w:p w14:paraId="06120C93" w14:textId="77777777" w:rsidR="00E30652" w:rsidRPr="005E7D36" w:rsidRDefault="00E30652" w:rsidP="00E30652">
      <w:pPr>
        <w:tabs>
          <w:tab w:val="right" w:pos="8789"/>
        </w:tabs>
        <w:jc w:val="both"/>
        <w:rPr>
          <w:sz w:val="22"/>
          <w:szCs w:val="22"/>
          <w:lang w:val="es-ES"/>
        </w:rPr>
      </w:pPr>
    </w:p>
    <w:p w14:paraId="7D79074A" w14:textId="77777777" w:rsidR="00E30652" w:rsidRPr="00003902" w:rsidRDefault="00E30652" w:rsidP="00E30652">
      <w:pPr>
        <w:tabs>
          <w:tab w:val="right" w:pos="8789"/>
        </w:tabs>
        <w:jc w:val="both"/>
        <w:rPr>
          <w:sz w:val="22"/>
          <w:szCs w:val="22"/>
        </w:rPr>
      </w:pPr>
      <w:r>
        <w:rPr>
          <w:rFonts w:ascii="Arial" w:eastAsia="Arial" w:hAnsi="Arial"/>
          <w:b/>
          <w:bCs/>
          <w:sz w:val="22"/>
          <w:szCs w:val="22"/>
          <w:lang w:val="eu-ES"/>
        </w:rPr>
        <w:t xml:space="preserve">Artikulu bakarra. </w:t>
      </w:r>
      <w:r>
        <w:rPr>
          <w:rFonts w:ascii="Arial" w:eastAsia="Arial" w:hAnsi="Arial"/>
          <w:sz w:val="22"/>
          <w:szCs w:val="22"/>
          <w:lang w:val="eu-ES"/>
        </w:rPr>
        <w:t xml:space="preserve">Araba Garapen Agentzia </w:t>
      </w:r>
      <w:proofErr w:type="spellStart"/>
      <w:r>
        <w:rPr>
          <w:rFonts w:ascii="Arial" w:eastAsia="Arial" w:hAnsi="Arial"/>
          <w:sz w:val="22"/>
          <w:szCs w:val="22"/>
          <w:lang w:val="eu-ES"/>
        </w:rPr>
        <w:t>SAUri</w:t>
      </w:r>
      <w:proofErr w:type="spellEnd"/>
      <w:r>
        <w:rPr>
          <w:rFonts w:ascii="Arial" w:eastAsia="Arial" w:hAnsi="Arial"/>
          <w:sz w:val="22"/>
          <w:szCs w:val="22"/>
          <w:lang w:val="eu-ES"/>
        </w:rPr>
        <w:t xml:space="preserve"> baimena ematen zaio GAIA Euskadiko Jakintza Industrien eta Teknologia Aplikatuen Elkartearekin lankidetza hitzarmena sinatzeko, “Araba 4.0: Aiaraldea Digitala” proiektua martxan jartzeko. ARABA GARAPEN AGENTZIA </w:t>
      </w:r>
      <w:proofErr w:type="spellStart"/>
      <w:r>
        <w:rPr>
          <w:rFonts w:ascii="Arial" w:eastAsia="Arial" w:hAnsi="Arial"/>
          <w:sz w:val="22"/>
          <w:szCs w:val="22"/>
          <w:lang w:val="eu-ES"/>
        </w:rPr>
        <w:t>SAUren</w:t>
      </w:r>
      <w:proofErr w:type="spellEnd"/>
      <w:r>
        <w:rPr>
          <w:rFonts w:ascii="Arial" w:eastAsia="Arial" w:hAnsi="Arial"/>
          <w:sz w:val="22"/>
          <w:szCs w:val="22"/>
          <w:lang w:val="eu-ES"/>
        </w:rPr>
        <w:t xml:space="preserve"> jarduketaren guztizko kostua 250.000,00 eurokoa izango da gutxi gorabehera, eta 2025eko abenduaren 31ra arte egongo da indarrean, hamabi hilabetez luzatzeko aukerarekin. </w:t>
      </w:r>
    </w:p>
    <w:p w14:paraId="2719A250" w14:textId="77777777" w:rsidR="00E30652" w:rsidRPr="00865705" w:rsidRDefault="00E30652" w:rsidP="00E30652">
      <w:pPr>
        <w:tabs>
          <w:tab w:val="right" w:pos="8789"/>
        </w:tabs>
        <w:jc w:val="both"/>
        <w:rPr>
          <w:b/>
          <w:bCs/>
          <w:sz w:val="22"/>
          <w:szCs w:val="22"/>
          <w:lang w:val="es-ES"/>
        </w:rPr>
      </w:pPr>
    </w:p>
    <w:p w14:paraId="1D74976E" w14:textId="77777777" w:rsidR="00E30652" w:rsidRPr="00865705" w:rsidRDefault="00E30652" w:rsidP="00E30652">
      <w:pPr>
        <w:tabs>
          <w:tab w:val="right" w:pos="8789"/>
        </w:tabs>
        <w:jc w:val="both"/>
        <w:rPr>
          <w:sz w:val="22"/>
          <w:szCs w:val="22"/>
          <w:lang w:val="es-ES"/>
        </w:rPr>
      </w:pPr>
      <w:r>
        <w:rPr>
          <w:rFonts w:ascii="Arial" w:eastAsia="Arial" w:hAnsi="Arial"/>
          <w:b/>
          <w:bCs/>
          <w:sz w:val="22"/>
          <w:szCs w:val="22"/>
          <w:lang w:val="eu-ES"/>
        </w:rPr>
        <w:t>Azken xedapena.</w:t>
      </w:r>
      <w:r>
        <w:rPr>
          <w:rFonts w:ascii="Arial" w:eastAsia="Arial" w:hAnsi="Arial"/>
          <w:sz w:val="22"/>
          <w:szCs w:val="22"/>
          <w:lang w:val="eu-ES"/>
        </w:rPr>
        <w:t xml:space="preserve"> Foru Arau hau ALHAOn argitaratu eta hurrengo egunean jarriko da indarrean.</w:t>
      </w:r>
    </w:p>
    <w:p w14:paraId="1CE20B90" w14:textId="77777777" w:rsidR="00E30652" w:rsidRDefault="00E30652" w:rsidP="00E30652"/>
    <w:p w14:paraId="74813E5C" w14:textId="77777777" w:rsidR="000D7AA4" w:rsidRPr="00E30652" w:rsidRDefault="000D7AA4" w:rsidP="00E30652"/>
    <w:sectPr w:rsidR="000D7AA4" w:rsidRPr="00E30652" w:rsidSect="00D132B8">
      <w:headerReference w:type="even" r:id="rId8"/>
      <w:headerReference w:type="default" r:id="rId9"/>
      <w:footerReference w:type="even" r:id="rId10"/>
      <w:footerReference w:type="default" r:id="rId11"/>
      <w:headerReference w:type="first" r:id="rId12"/>
      <w:footerReference w:type="first" r:id="rId13"/>
      <w:pgSz w:w="11907" w:h="16840" w:code="9"/>
      <w:pgMar w:top="2835" w:right="851" w:bottom="1418" w:left="1701" w:header="851" w:footer="567" w:gutter="0"/>
      <w:cols w:space="720" w:equalWidth="0">
        <w:col w:w="9355"/>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3FC5B" w14:textId="77777777" w:rsidR="00070480" w:rsidRDefault="00070480">
      <w:r>
        <w:separator/>
      </w:r>
    </w:p>
  </w:endnote>
  <w:endnote w:type="continuationSeparator" w:id="0">
    <w:p w14:paraId="7209DF52" w14:textId="77777777" w:rsidR="00070480" w:rsidRDefault="00070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526C" w14:textId="77777777" w:rsidR="00424469" w:rsidRDefault="0042446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C9D1" w14:textId="77777777" w:rsidR="008579C8" w:rsidRDefault="008579C8">
    <w:pPr>
      <w:pStyle w:val="Piedepgina"/>
      <w:tabs>
        <w:tab w:val="clear" w:pos="4252"/>
        <w:tab w:val="clear" w:pos="8504"/>
        <w:tab w:val="right" w:pos="9356"/>
      </w:tabs>
      <w:jc w:val="right"/>
    </w:pPr>
    <w:r>
      <w:rPr>
        <w:rStyle w:val="Nmerodepgina"/>
      </w:rPr>
      <w:fldChar w:fldCharType="begin"/>
    </w:r>
    <w:r>
      <w:rPr>
        <w:rStyle w:val="Nmerodepgina"/>
      </w:rPr>
      <w:instrText xml:space="preserve"> PAGE </w:instrText>
    </w:r>
    <w:r>
      <w:rPr>
        <w:rStyle w:val="Nmerodepgina"/>
      </w:rPr>
      <w:fldChar w:fldCharType="separate"/>
    </w:r>
    <w:r w:rsidR="00EF3C55">
      <w:rPr>
        <w:rStyle w:val="Nmerodepgina"/>
        <w:noProof/>
      </w:rPr>
      <w:t>2</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EF3C55">
      <w:rPr>
        <w:rStyle w:val="Nmerodepgina"/>
        <w:noProof/>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30EF2" w14:textId="77777777" w:rsidR="008579C8" w:rsidRDefault="008579C8">
    <w:pPr>
      <w:pStyle w:val="Piedepgina"/>
      <w:tabs>
        <w:tab w:val="clear" w:pos="4252"/>
        <w:tab w:val="clear" w:pos="8504"/>
        <w:tab w:val="right" w:pos="9356"/>
      </w:tabs>
      <w:rPr>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EF3C55">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EF3C55">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2C253" w14:textId="77777777" w:rsidR="00070480" w:rsidRDefault="00070480">
      <w:r>
        <w:separator/>
      </w:r>
    </w:p>
  </w:footnote>
  <w:footnote w:type="continuationSeparator" w:id="0">
    <w:p w14:paraId="7C488F72" w14:textId="77777777" w:rsidR="00070480" w:rsidRDefault="00070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6C982" w14:textId="77777777" w:rsidR="00424469" w:rsidRDefault="0042446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8579C8" w14:paraId="549A638D" w14:textId="77777777">
      <w:trPr>
        <w:cantSplit/>
        <w:trHeight w:val="338"/>
      </w:trPr>
      <w:tc>
        <w:tcPr>
          <w:tcW w:w="3997" w:type="dxa"/>
        </w:tcPr>
        <w:p w14:paraId="3E1E4CF2" w14:textId="77777777" w:rsidR="008579C8" w:rsidRDefault="008579C8">
          <w:pPr>
            <w:pStyle w:val="Encabezado"/>
          </w:pPr>
        </w:p>
      </w:tc>
      <w:tc>
        <w:tcPr>
          <w:tcW w:w="1361" w:type="dxa"/>
          <w:vMerge w:val="restart"/>
        </w:tcPr>
        <w:p w14:paraId="2B7ABFD3" w14:textId="77777777" w:rsidR="008579C8" w:rsidRDefault="00A2300F">
          <w:pPr>
            <w:pStyle w:val="Encabezado"/>
            <w:jc w:val="center"/>
          </w:pPr>
          <w:r>
            <w:rPr>
              <w:noProof/>
              <w:snapToGrid/>
              <w:lang w:val="es-ES"/>
            </w:rPr>
            <w:drawing>
              <wp:inline distT="0" distB="0" distL="0" distR="0" wp14:anchorId="4B246D83" wp14:editId="4F8A1840">
                <wp:extent cx="433705" cy="433705"/>
                <wp:effectExtent l="0" t="0" r="4445" b="444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433705"/>
                        </a:xfrm>
                        <a:prstGeom prst="rect">
                          <a:avLst/>
                        </a:prstGeom>
                        <a:noFill/>
                        <a:ln>
                          <a:noFill/>
                        </a:ln>
                      </pic:spPr>
                    </pic:pic>
                  </a:graphicData>
                </a:graphic>
              </wp:inline>
            </w:drawing>
          </w:r>
        </w:p>
      </w:tc>
      <w:tc>
        <w:tcPr>
          <w:tcW w:w="3997" w:type="dxa"/>
        </w:tcPr>
        <w:p w14:paraId="1F1DC850" w14:textId="77777777" w:rsidR="008579C8" w:rsidRDefault="008579C8">
          <w:pPr>
            <w:pStyle w:val="Encabezado"/>
          </w:pPr>
        </w:p>
      </w:tc>
    </w:tr>
    <w:tr w:rsidR="008579C8" w14:paraId="6091C89A" w14:textId="77777777">
      <w:trPr>
        <w:cantSplit/>
        <w:trHeight w:val="337"/>
      </w:trPr>
      <w:tc>
        <w:tcPr>
          <w:tcW w:w="3997" w:type="dxa"/>
        </w:tcPr>
        <w:p w14:paraId="41EA04CB" w14:textId="77777777" w:rsidR="008579C8" w:rsidRDefault="008579C8">
          <w:pPr>
            <w:pStyle w:val="Encabezado"/>
          </w:pPr>
        </w:p>
      </w:tc>
      <w:tc>
        <w:tcPr>
          <w:tcW w:w="1361" w:type="dxa"/>
          <w:vMerge/>
        </w:tcPr>
        <w:p w14:paraId="49C6C127" w14:textId="77777777" w:rsidR="008579C8" w:rsidRDefault="008579C8">
          <w:pPr>
            <w:pStyle w:val="Encabezado"/>
            <w:jc w:val="center"/>
          </w:pPr>
        </w:p>
      </w:tc>
      <w:tc>
        <w:tcPr>
          <w:tcW w:w="3997" w:type="dxa"/>
        </w:tcPr>
        <w:p w14:paraId="68ECD41A" w14:textId="77777777" w:rsidR="008579C8" w:rsidRDefault="008579C8">
          <w:pPr>
            <w:pStyle w:val="Encabezado"/>
          </w:pPr>
        </w:p>
      </w:tc>
    </w:tr>
  </w:tbl>
  <w:p w14:paraId="53C9B002" w14:textId="77777777" w:rsidR="008579C8" w:rsidRDefault="008579C8" w:rsidP="005D64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424469" w14:paraId="5177FE3D" w14:textId="77777777" w:rsidTr="00CB1A49">
      <w:trPr>
        <w:cantSplit/>
        <w:trHeight w:val="338"/>
      </w:trPr>
      <w:tc>
        <w:tcPr>
          <w:tcW w:w="3997" w:type="dxa"/>
          <w:tcBorders>
            <w:top w:val="nil"/>
            <w:left w:val="nil"/>
            <w:bottom w:val="single" w:sz="4" w:space="0" w:color="auto"/>
          </w:tcBorders>
        </w:tcPr>
        <w:p w14:paraId="6B4DFF23" w14:textId="77777777" w:rsidR="00424469" w:rsidRDefault="00424469" w:rsidP="00CB1A49">
          <w:pPr>
            <w:pStyle w:val="Encabezado"/>
          </w:pPr>
        </w:p>
      </w:tc>
      <w:tc>
        <w:tcPr>
          <w:tcW w:w="1361" w:type="dxa"/>
          <w:vMerge w:val="restart"/>
        </w:tcPr>
        <w:p w14:paraId="2A41C05A" w14:textId="77777777" w:rsidR="00424469" w:rsidRDefault="00A2300F" w:rsidP="00CB1A49">
          <w:pPr>
            <w:pStyle w:val="Encabezado"/>
            <w:jc w:val="center"/>
          </w:pPr>
          <w:r>
            <w:rPr>
              <w:noProof/>
              <w:snapToGrid/>
              <w:lang w:val="es-ES"/>
            </w:rPr>
            <w:drawing>
              <wp:inline distT="0" distB="0" distL="0" distR="0" wp14:anchorId="7FD12B09" wp14:editId="166CE5AB">
                <wp:extent cx="433705" cy="433705"/>
                <wp:effectExtent l="0" t="0" r="4445" b="444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 cy="433705"/>
                        </a:xfrm>
                        <a:prstGeom prst="rect">
                          <a:avLst/>
                        </a:prstGeom>
                        <a:noFill/>
                        <a:ln>
                          <a:noFill/>
                        </a:ln>
                      </pic:spPr>
                    </pic:pic>
                  </a:graphicData>
                </a:graphic>
              </wp:inline>
            </w:drawing>
          </w:r>
        </w:p>
      </w:tc>
      <w:tc>
        <w:tcPr>
          <w:tcW w:w="3997" w:type="dxa"/>
          <w:tcBorders>
            <w:top w:val="nil"/>
            <w:bottom w:val="single" w:sz="4" w:space="0" w:color="auto"/>
            <w:right w:val="nil"/>
          </w:tcBorders>
        </w:tcPr>
        <w:p w14:paraId="377D000F" w14:textId="77777777" w:rsidR="00424469" w:rsidRDefault="00424469" w:rsidP="00CB1A49">
          <w:pPr>
            <w:pStyle w:val="Encabezado"/>
          </w:pPr>
        </w:p>
      </w:tc>
    </w:tr>
    <w:tr w:rsidR="00424469" w14:paraId="5AFE05E7" w14:textId="77777777" w:rsidTr="00CB1A49">
      <w:trPr>
        <w:cantSplit/>
        <w:trHeight w:val="337"/>
      </w:trPr>
      <w:tc>
        <w:tcPr>
          <w:tcW w:w="3997" w:type="dxa"/>
          <w:tcBorders>
            <w:top w:val="single" w:sz="4" w:space="0" w:color="auto"/>
            <w:left w:val="nil"/>
            <w:bottom w:val="nil"/>
          </w:tcBorders>
        </w:tcPr>
        <w:p w14:paraId="03614C3F" w14:textId="77777777" w:rsidR="00424469" w:rsidRDefault="00424469" w:rsidP="00CB1A49">
          <w:pPr>
            <w:pStyle w:val="Encabezado"/>
          </w:pPr>
        </w:p>
      </w:tc>
      <w:tc>
        <w:tcPr>
          <w:tcW w:w="1361" w:type="dxa"/>
          <w:vMerge/>
        </w:tcPr>
        <w:p w14:paraId="46B6B772" w14:textId="77777777" w:rsidR="00424469" w:rsidRDefault="00424469" w:rsidP="00CB1A49">
          <w:pPr>
            <w:pStyle w:val="Encabezado"/>
            <w:jc w:val="center"/>
          </w:pPr>
        </w:p>
      </w:tc>
      <w:tc>
        <w:tcPr>
          <w:tcW w:w="3997" w:type="dxa"/>
          <w:tcBorders>
            <w:top w:val="single" w:sz="4" w:space="0" w:color="auto"/>
            <w:bottom w:val="nil"/>
            <w:right w:val="nil"/>
          </w:tcBorders>
        </w:tcPr>
        <w:p w14:paraId="6AA870D8" w14:textId="77777777" w:rsidR="00424469" w:rsidRDefault="00424469" w:rsidP="00CB1A49">
          <w:pPr>
            <w:pStyle w:val="Encabezado"/>
          </w:pPr>
        </w:p>
      </w:tc>
    </w:tr>
  </w:tbl>
  <w:p w14:paraId="5E355D49" w14:textId="77777777" w:rsidR="00424469" w:rsidRDefault="00424469" w:rsidP="00424469">
    <w:pPr>
      <w:pStyle w:val="Encabezado"/>
    </w:pPr>
  </w:p>
  <w:p w14:paraId="4048A8B7" w14:textId="77777777" w:rsidR="008579C8" w:rsidRPr="00424469" w:rsidRDefault="008579C8" w:rsidP="0042446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21117"/>
    <w:multiLevelType w:val="multilevel"/>
    <w:tmpl w:val="A6464A0E"/>
    <w:lvl w:ilvl="0">
      <w:start w:val="1"/>
      <w:numFmt w:val="bullet"/>
      <w:lvlText w:val=""/>
      <w:lvlJc w:val="left"/>
      <w:pPr>
        <w:ind w:left="420" w:hanging="360"/>
      </w:pPr>
      <w:rPr>
        <w:rFonts w:ascii="Symbol" w:hAnsi="Symbol"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1" w15:restartNumberingAfterBreak="0">
    <w:nsid w:val="26ED03AC"/>
    <w:multiLevelType w:val="hybridMultilevel"/>
    <w:tmpl w:val="F6187C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3" w15:restartNumberingAfterBreak="0">
    <w:nsid w:val="4B2044FA"/>
    <w:multiLevelType w:val="hybridMultilevel"/>
    <w:tmpl w:val="B720B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43D6048"/>
    <w:multiLevelType w:val="hybridMultilevel"/>
    <w:tmpl w:val="86C83E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BE1E6B"/>
    <w:multiLevelType w:val="multilevel"/>
    <w:tmpl w:val="DE528160"/>
    <w:lvl w:ilvl="0">
      <w:start w:val="2"/>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3822691">
    <w:abstractNumId w:val="2"/>
  </w:num>
  <w:num w:numId="2" w16cid:durableId="988560245">
    <w:abstractNumId w:val="0"/>
  </w:num>
  <w:num w:numId="3" w16cid:durableId="83570987">
    <w:abstractNumId w:val="5"/>
  </w:num>
  <w:num w:numId="4" w16cid:durableId="523249480">
    <w:abstractNumId w:val="3"/>
  </w:num>
  <w:num w:numId="5" w16cid:durableId="1753041063">
    <w:abstractNumId w:val="4"/>
  </w:num>
  <w:num w:numId="6" w16cid:durableId="557668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F3"/>
    <w:rsid w:val="00003902"/>
    <w:rsid w:val="000068E7"/>
    <w:rsid w:val="00015DD4"/>
    <w:rsid w:val="00016746"/>
    <w:rsid w:val="00047767"/>
    <w:rsid w:val="000537EB"/>
    <w:rsid w:val="00060708"/>
    <w:rsid w:val="00063D0A"/>
    <w:rsid w:val="000674A0"/>
    <w:rsid w:val="00070480"/>
    <w:rsid w:val="00082F76"/>
    <w:rsid w:val="000A2ED7"/>
    <w:rsid w:val="000D0CF2"/>
    <w:rsid w:val="000D7AA4"/>
    <w:rsid w:val="00101151"/>
    <w:rsid w:val="0010490C"/>
    <w:rsid w:val="001275D3"/>
    <w:rsid w:val="00130321"/>
    <w:rsid w:val="00187E72"/>
    <w:rsid w:val="001977FF"/>
    <w:rsid w:val="001A10CC"/>
    <w:rsid w:val="001B0F2F"/>
    <w:rsid w:val="001B499F"/>
    <w:rsid w:val="001B70E8"/>
    <w:rsid w:val="001D2AA7"/>
    <w:rsid w:val="001D699A"/>
    <w:rsid w:val="001F174F"/>
    <w:rsid w:val="002060CC"/>
    <w:rsid w:val="0022485B"/>
    <w:rsid w:val="00250022"/>
    <w:rsid w:val="00274225"/>
    <w:rsid w:val="002851F3"/>
    <w:rsid w:val="00370BEA"/>
    <w:rsid w:val="00395771"/>
    <w:rsid w:val="003A6639"/>
    <w:rsid w:val="003E5BB7"/>
    <w:rsid w:val="00413183"/>
    <w:rsid w:val="00413D92"/>
    <w:rsid w:val="00420169"/>
    <w:rsid w:val="00424469"/>
    <w:rsid w:val="0043677D"/>
    <w:rsid w:val="00445BD4"/>
    <w:rsid w:val="00452CB7"/>
    <w:rsid w:val="0045646D"/>
    <w:rsid w:val="004D5891"/>
    <w:rsid w:val="00512646"/>
    <w:rsid w:val="00542E2D"/>
    <w:rsid w:val="00546D14"/>
    <w:rsid w:val="005727B9"/>
    <w:rsid w:val="0058048F"/>
    <w:rsid w:val="005B5DF9"/>
    <w:rsid w:val="005D64EA"/>
    <w:rsid w:val="005E7D36"/>
    <w:rsid w:val="005F19A4"/>
    <w:rsid w:val="00600724"/>
    <w:rsid w:val="006200D9"/>
    <w:rsid w:val="006822B7"/>
    <w:rsid w:val="006A56FB"/>
    <w:rsid w:val="00705782"/>
    <w:rsid w:val="00736701"/>
    <w:rsid w:val="0076708F"/>
    <w:rsid w:val="00795D6D"/>
    <w:rsid w:val="007A28D2"/>
    <w:rsid w:val="007C1A71"/>
    <w:rsid w:val="007C2C43"/>
    <w:rsid w:val="007C3F85"/>
    <w:rsid w:val="008002CF"/>
    <w:rsid w:val="00803E12"/>
    <w:rsid w:val="00821420"/>
    <w:rsid w:val="008579C8"/>
    <w:rsid w:val="00865705"/>
    <w:rsid w:val="0087249F"/>
    <w:rsid w:val="008901B9"/>
    <w:rsid w:val="00893044"/>
    <w:rsid w:val="008C045B"/>
    <w:rsid w:val="00934E2B"/>
    <w:rsid w:val="00936E12"/>
    <w:rsid w:val="009425F7"/>
    <w:rsid w:val="009703AF"/>
    <w:rsid w:val="00992A1C"/>
    <w:rsid w:val="009953D6"/>
    <w:rsid w:val="00997B92"/>
    <w:rsid w:val="009C62B3"/>
    <w:rsid w:val="009F4DC6"/>
    <w:rsid w:val="00A071A5"/>
    <w:rsid w:val="00A1215B"/>
    <w:rsid w:val="00A16A23"/>
    <w:rsid w:val="00A2300F"/>
    <w:rsid w:val="00A271C0"/>
    <w:rsid w:val="00A30170"/>
    <w:rsid w:val="00A41B7F"/>
    <w:rsid w:val="00A85872"/>
    <w:rsid w:val="00AA2A85"/>
    <w:rsid w:val="00AD01D3"/>
    <w:rsid w:val="00B06D8C"/>
    <w:rsid w:val="00B14629"/>
    <w:rsid w:val="00B25781"/>
    <w:rsid w:val="00B448FF"/>
    <w:rsid w:val="00B66F61"/>
    <w:rsid w:val="00B82E54"/>
    <w:rsid w:val="00B85FBB"/>
    <w:rsid w:val="00BB2726"/>
    <w:rsid w:val="00BC0346"/>
    <w:rsid w:val="00BD1992"/>
    <w:rsid w:val="00BE17CF"/>
    <w:rsid w:val="00C50F76"/>
    <w:rsid w:val="00C96DFB"/>
    <w:rsid w:val="00CB1A49"/>
    <w:rsid w:val="00D02B58"/>
    <w:rsid w:val="00D062FA"/>
    <w:rsid w:val="00D132B8"/>
    <w:rsid w:val="00D1357A"/>
    <w:rsid w:val="00D44CAB"/>
    <w:rsid w:val="00D83531"/>
    <w:rsid w:val="00D96C00"/>
    <w:rsid w:val="00DC5AFD"/>
    <w:rsid w:val="00DE3177"/>
    <w:rsid w:val="00E059E4"/>
    <w:rsid w:val="00E11F35"/>
    <w:rsid w:val="00E30652"/>
    <w:rsid w:val="00E42882"/>
    <w:rsid w:val="00E62EE2"/>
    <w:rsid w:val="00E94C41"/>
    <w:rsid w:val="00EA1542"/>
    <w:rsid w:val="00EA467F"/>
    <w:rsid w:val="00EC4251"/>
    <w:rsid w:val="00EE42C9"/>
    <w:rsid w:val="00EF0BA0"/>
    <w:rsid w:val="00EF3C55"/>
    <w:rsid w:val="00F11924"/>
    <w:rsid w:val="00F324CD"/>
    <w:rsid w:val="00F352B6"/>
    <w:rsid w:val="00F40A50"/>
    <w:rsid w:val="00F73541"/>
    <w:rsid w:val="00F86409"/>
    <w:rsid w:val="00FA3DE4"/>
    <w:rsid w:val="00FC69A2"/>
    <w:rsid w:val="00FD2F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122653"/>
  <w15:docId w15:val="{09F083D2-3D13-4E99-A88D-685F5C10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es-ES_tradnl"/>
    </w:rPr>
  </w:style>
  <w:style w:type="paragraph" w:styleId="Ttulo1">
    <w:name w:val="heading 1"/>
    <w:basedOn w:val="Normal"/>
    <w:next w:val="Normal"/>
    <w:qFormat/>
    <w:pPr>
      <w:keepNext/>
      <w:spacing w:after="480"/>
      <w:outlineLvl w:val="0"/>
    </w:pPr>
    <w:rPr>
      <w:rFonts w:ascii="Arial" w:hAnsi="Arial"/>
      <w:b/>
      <w:sz w:val="22"/>
    </w:rPr>
  </w:style>
  <w:style w:type="paragraph" w:styleId="Ttulo2">
    <w:name w:val="heading 2"/>
    <w:basedOn w:val="Normal"/>
    <w:next w:val="Normal"/>
    <w:qFormat/>
    <w:pPr>
      <w:keepNext/>
      <w:jc w:val="center"/>
      <w:outlineLvl w:val="1"/>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0">
    <w:name w:val="Fuente de párrafo predete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customStyle="1" w:styleId="Sangradet">
    <w:name w:val="Sangría de t"/>
    <w:aliases w:val=" independiente"/>
    <w:basedOn w:val="Normal"/>
    <w:pPr>
      <w:spacing w:after="240"/>
      <w:ind w:firstLine="1134"/>
      <w:jc w:val="both"/>
    </w:pPr>
    <w:rPr>
      <w:rFonts w:ascii="Arial" w:hAnsi="Arial"/>
      <w:b/>
      <w:color w:val="FF0000"/>
      <w:sz w:val="24"/>
    </w:rPr>
  </w:style>
  <w:style w:type="character" w:styleId="Nmerodepgina">
    <w:name w:val="page number"/>
    <w:basedOn w:val="Fuentedeprrafopredeter0"/>
    <w:semiHidden/>
  </w:style>
  <w:style w:type="paragraph" w:styleId="Textodebloque">
    <w:name w:val="Block Text"/>
    <w:basedOn w:val="Normal"/>
    <w:semiHidden/>
    <w:pPr>
      <w:spacing w:after="120"/>
      <w:ind w:left="57" w:right="57"/>
      <w:jc w:val="both"/>
    </w:pPr>
    <w:rPr>
      <w:rFonts w:ascii="Arial" w:hAnsi="Arial"/>
      <w:lang w:val="es-ES"/>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Textoindependiente">
    <w:name w:val="Body Text"/>
    <w:basedOn w:val="Normal"/>
    <w:semiHidden/>
    <w:pPr>
      <w:spacing w:after="200"/>
    </w:pPr>
    <w:rPr>
      <w:rFonts w:eastAsia="Calibri"/>
      <w:snapToGrid/>
      <w:sz w:val="24"/>
    </w:rPr>
  </w:style>
  <w:style w:type="paragraph" w:styleId="Textoindependiente2">
    <w:name w:val="Body Text 2"/>
    <w:basedOn w:val="Normal"/>
    <w:semiHidden/>
    <w:pPr>
      <w:autoSpaceDE w:val="0"/>
      <w:autoSpaceDN w:val="0"/>
      <w:adjustRightInd w:val="0"/>
      <w:jc w:val="both"/>
    </w:pPr>
    <w:rPr>
      <w:rFonts w:eastAsia="Calibri"/>
      <w:snapToGrid/>
      <w:sz w:val="24"/>
    </w:rPr>
  </w:style>
  <w:style w:type="paragraph" w:styleId="Textoindependiente3">
    <w:name w:val="Body Text 3"/>
    <w:basedOn w:val="Normal"/>
    <w:semiHidden/>
    <w:pPr>
      <w:jc w:val="both"/>
    </w:pPr>
    <w:rPr>
      <w:b/>
      <w:sz w:val="24"/>
      <w:lang w:val="eu-ES"/>
    </w:rPr>
  </w:style>
  <w:style w:type="paragraph" w:customStyle="1" w:styleId="Prrafodelista1">
    <w:name w:val="Párrafo de lista1"/>
    <w:basedOn w:val="Normal"/>
    <w:pPr>
      <w:spacing w:after="200" w:line="276" w:lineRule="auto"/>
      <w:ind w:left="720"/>
    </w:pPr>
    <w:rPr>
      <w:rFonts w:ascii="Calibri" w:hAnsi="Calibri"/>
      <w:snapToGrid/>
      <w:sz w:val="22"/>
      <w:lang w:val="es-ES"/>
    </w:rPr>
  </w:style>
  <w:style w:type="paragraph" w:styleId="Textodeglobo">
    <w:name w:val="Balloon Text"/>
    <w:basedOn w:val="Normal"/>
    <w:link w:val="TextodegloboCar"/>
    <w:uiPriority w:val="99"/>
    <w:semiHidden/>
    <w:unhideWhenUsed/>
    <w:rsid w:val="00D96C00"/>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C00"/>
    <w:rPr>
      <w:rFonts w:ascii="Tahoma" w:hAnsi="Tahoma" w:cs="Tahoma"/>
      <w:snapToGrid w:val="0"/>
      <w:sz w:val="16"/>
      <w:szCs w:val="16"/>
      <w:lang w:val="es-ES_tradnl"/>
    </w:rPr>
  </w:style>
  <w:style w:type="paragraph" w:styleId="Sangradetextonormal">
    <w:name w:val="Body Text Indent"/>
    <w:basedOn w:val="Normal"/>
    <w:link w:val="SangradetextonormalCar"/>
    <w:uiPriority w:val="99"/>
    <w:semiHidden/>
    <w:unhideWhenUsed/>
    <w:rsid w:val="00DE3177"/>
    <w:pPr>
      <w:spacing w:after="120"/>
      <w:ind w:left="283"/>
    </w:pPr>
  </w:style>
  <w:style w:type="character" w:customStyle="1" w:styleId="SangradetextonormalCar">
    <w:name w:val="Sangría de texto normal Car"/>
    <w:basedOn w:val="Fuentedeprrafopredeter"/>
    <w:link w:val="Sangradetextonormal"/>
    <w:uiPriority w:val="99"/>
    <w:semiHidden/>
    <w:rsid w:val="00DE3177"/>
    <w:rPr>
      <w:snapToGrid w:val="0"/>
      <w:lang w:val="es-ES_tradnl"/>
    </w:rPr>
  </w:style>
  <w:style w:type="character" w:styleId="Refdecomentario">
    <w:name w:val="annotation reference"/>
    <w:basedOn w:val="Fuentedeprrafopredeter"/>
    <w:uiPriority w:val="99"/>
    <w:semiHidden/>
    <w:unhideWhenUsed/>
    <w:rsid w:val="00DE3177"/>
    <w:rPr>
      <w:sz w:val="16"/>
      <w:szCs w:val="16"/>
    </w:rPr>
  </w:style>
  <w:style w:type="paragraph" w:styleId="Textocomentario">
    <w:name w:val="annotation text"/>
    <w:basedOn w:val="Normal"/>
    <w:link w:val="TextocomentarioCar"/>
    <w:uiPriority w:val="99"/>
    <w:unhideWhenUsed/>
    <w:rsid w:val="00DE3177"/>
    <w:rPr>
      <w:rFonts w:ascii="Arial" w:hAnsi="Arial"/>
      <w:snapToGrid/>
    </w:rPr>
  </w:style>
  <w:style w:type="character" w:customStyle="1" w:styleId="TextocomentarioCar">
    <w:name w:val="Texto comentario Car"/>
    <w:basedOn w:val="Fuentedeprrafopredeter"/>
    <w:link w:val="Textocomentario"/>
    <w:uiPriority w:val="99"/>
    <w:rsid w:val="00DE3177"/>
    <w:rPr>
      <w:rFonts w:ascii="Arial" w:hAnsi="Arial"/>
      <w:lang w:val="es-ES_tradnl"/>
    </w:rPr>
  </w:style>
  <w:style w:type="paragraph" w:styleId="Prrafodelista">
    <w:name w:val="List Paragraph"/>
    <w:basedOn w:val="Normal"/>
    <w:uiPriority w:val="34"/>
    <w:qFormat/>
    <w:rsid w:val="00992A1C"/>
    <w:pPr>
      <w:spacing w:after="160" w:line="259" w:lineRule="auto"/>
      <w:ind w:left="720"/>
      <w:contextualSpacing/>
    </w:pPr>
    <w:rPr>
      <w:rFonts w:asciiTheme="minorHAnsi" w:eastAsiaTheme="minorHAnsi" w:hAnsiTheme="minorHAnsi" w:cstheme="minorBidi"/>
      <w:snapToGrid/>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8F2B7-39E3-42BA-AEB9-B0D2C7AF7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4884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Plantilla de Orden Foral a dos columnas</vt:lpstr>
    </vt:vector>
  </TitlesOfParts>
  <Company>DFA-AFA</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 a dos columnas</dc:title>
  <dc:creator>ORMORGADO_MANGE</dc:creator>
  <cp:lastModifiedBy>Ruiz Gallardo, Eva Maria</cp:lastModifiedBy>
  <cp:revision>2</cp:revision>
  <cp:lastPrinted>2019-03-13T09:07:00Z</cp:lastPrinted>
  <dcterms:created xsi:type="dcterms:W3CDTF">2024-10-04T10:52:00Z</dcterms:created>
  <dcterms:modified xsi:type="dcterms:W3CDTF">2024-10-04T10:52:00Z</dcterms:modified>
</cp:coreProperties>
</file>