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8CDA" w14:textId="77777777" w:rsidR="003E285D" w:rsidRDefault="00E36E0D" w:rsidP="007B41B6">
      <w:pPr>
        <w:jc w:val="center"/>
        <w:rPr>
          <w:b/>
          <w:bCs/>
          <w:sz w:val="24"/>
          <w:szCs w:val="24"/>
          <w:lang w:val="eu-ES"/>
        </w:rPr>
      </w:pPr>
      <w:r>
        <w:rPr>
          <w:b/>
          <w:bCs/>
          <w:sz w:val="24"/>
          <w:szCs w:val="24"/>
          <w:lang w:val="eu-ES"/>
        </w:rPr>
        <w:t xml:space="preserve"> </w:t>
      </w:r>
    </w:p>
    <w:p w14:paraId="6895C43F" w14:textId="77777777" w:rsidR="003E285D" w:rsidRDefault="003E285D" w:rsidP="007B41B6">
      <w:pPr>
        <w:jc w:val="center"/>
        <w:rPr>
          <w:b/>
          <w:bCs/>
          <w:sz w:val="24"/>
          <w:szCs w:val="24"/>
          <w:lang w:val="eu-ES"/>
        </w:rPr>
      </w:pPr>
    </w:p>
    <w:p w14:paraId="5C57F900" w14:textId="430B5C82" w:rsidR="007B41B6" w:rsidRDefault="00605C53" w:rsidP="007B41B6">
      <w:pPr>
        <w:jc w:val="center"/>
        <w:rPr>
          <w:b/>
          <w:bCs/>
          <w:sz w:val="24"/>
          <w:szCs w:val="24"/>
          <w:lang w:val="eu-ES"/>
        </w:rPr>
      </w:pPr>
      <w:r>
        <w:rPr>
          <w:b/>
          <w:bCs/>
          <w:sz w:val="24"/>
          <w:szCs w:val="24"/>
          <w:lang w:val="eu-ES"/>
        </w:rPr>
        <w:t>HIRUGARREN</w:t>
      </w:r>
      <w:r w:rsidR="00E36E0D">
        <w:rPr>
          <w:b/>
          <w:bCs/>
          <w:sz w:val="24"/>
          <w:szCs w:val="24"/>
          <w:lang w:val="eu-ES"/>
        </w:rPr>
        <w:t xml:space="preserve"> GAIAREN </w:t>
      </w:r>
      <w:r w:rsidR="007B41B6" w:rsidRPr="007B41B6">
        <w:rPr>
          <w:b/>
          <w:bCs/>
          <w:sz w:val="24"/>
          <w:szCs w:val="24"/>
          <w:lang w:val="eu-ES"/>
        </w:rPr>
        <w:t>EBAZPENA 2024</w:t>
      </w:r>
      <w:r w:rsidR="007B41B6">
        <w:rPr>
          <w:b/>
          <w:bCs/>
          <w:sz w:val="24"/>
          <w:szCs w:val="24"/>
          <w:lang w:val="eu-ES"/>
        </w:rPr>
        <w:t xml:space="preserve">KO </w:t>
      </w:r>
      <w:r w:rsidR="00DE7044">
        <w:rPr>
          <w:b/>
          <w:bCs/>
          <w:sz w:val="24"/>
          <w:szCs w:val="24"/>
          <w:lang w:val="eu-ES"/>
        </w:rPr>
        <w:t>UZTAILAREN</w:t>
      </w:r>
      <w:r w:rsidR="007B41B6">
        <w:rPr>
          <w:b/>
          <w:bCs/>
          <w:sz w:val="24"/>
          <w:szCs w:val="24"/>
          <w:lang w:val="eu-ES"/>
        </w:rPr>
        <w:t xml:space="preserve"> </w:t>
      </w:r>
      <w:r w:rsidR="00DE7044">
        <w:rPr>
          <w:b/>
          <w:bCs/>
          <w:sz w:val="24"/>
          <w:szCs w:val="24"/>
          <w:lang w:val="eu-ES"/>
        </w:rPr>
        <w:t>5</w:t>
      </w:r>
      <w:r w:rsidR="00C60188">
        <w:rPr>
          <w:b/>
          <w:bCs/>
          <w:sz w:val="24"/>
          <w:szCs w:val="24"/>
          <w:lang w:val="eu-ES"/>
        </w:rPr>
        <w:t xml:space="preserve"> </w:t>
      </w:r>
      <w:r w:rsidR="00DE7044">
        <w:rPr>
          <w:b/>
          <w:bCs/>
          <w:sz w:val="24"/>
          <w:szCs w:val="24"/>
          <w:lang w:val="eu-ES"/>
        </w:rPr>
        <w:t>E</w:t>
      </w:r>
      <w:r w:rsidR="007B41B6">
        <w:rPr>
          <w:b/>
          <w:bCs/>
          <w:sz w:val="24"/>
          <w:szCs w:val="24"/>
          <w:lang w:val="eu-ES"/>
        </w:rPr>
        <w:t>KO</w:t>
      </w:r>
      <w:r w:rsidR="00291AAE">
        <w:rPr>
          <w:b/>
          <w:bCs/>
          <w:sz w:val="24"/>
          <w:szCs w:val="24"/>
          <w:lang w:val="eu-ES"/>
        </w:rPr>
        <w:t xml:space="preserve"> BILKURA</w:t>
      </w:r>
    </w:p>
    <w:p w14:paraId="38071772" w14:textId="46D9DB46" w:rsidR="00E36E0D" w:rsidRPr="00457424" w:rsidRDefault="00E36E0D" w:rsidP="007B41B6">
      <w:pPr>
        <w:jc w:val="center"/>
        <w:rPr>
          <w:bCs/>
          <w:sz w:val="24"/>
          <w:szCs w:val="24"/>
          <w:lang w:val="eu-ES"/>
        </w:rPr>
      </w:pPr>
      <w:r>
        <w:rPr>
          <w:b/>
          <w:bCs/>
          <w:sz w:val="24"/>
          <w:szCs w:val="24"/>
          <w:lang w:val="eu-ES"/>
        </w:rPr>
        <w:t>(</w:t>
      </w:r>
      <w:r w:rsidR="00F40587">
        <w:rPr>
          <w:b/>
          <w:bCs/>
          <w:sz w:val="24"/>
          <w:szCs w:val="24"/>
          <w:lang w:val="eu-ES"/>
        </w:rPr>
        <w:t>3</w:t>
      </w:r>
      <w:r>
        <w:rPr>
          <w:b/>
          <w:bCs/>
          <w:sz w:val="24"/>
          <w:szCs w:val="24"/>
          <w:lang w:val="eu-ES"/>
        </w:rPr>
        <w:t>/3)</w:t>
      </w:r>
    </w:p>
    <w:p w14:paraId="35F86C10" w14:textId="77777777" w:rsidR="007B41B6" w:rsidRPr="00457424" w:rsidRDefault="007B41B6" w:rsidP="007B41B6">
      <w:pPr>
        <w:jc w:val="center"/>
        <w:rPr>
          <w:bCs/>
          <w:sz w:val="24"/>
          <w:szCs w:val="24"/>
          <w:lang w:val="eu-ES"/>
        </w:rPr>
      </w:pPr>
    </w:p>
    <w:p w14:paraId="2B99F783" w14:textId="77777777" w:rsidR="00423919" w:rsidRPr="00423919" w:rsidRDefault="00423919" w:rsidP="00423919">
      <w:pPr>
        <w:jc w:val="center"/>
        <w:rPr>
          <w:b/>
          <w:color w:val="000000"/>
          <w:sz w:val="24"/>
          <w:szCs w:val="24"/>
          <w:lang w:eastAsia="es-ES_tradnl"/>
        </w:rPr>
      </w:pPr>
      <w:r w:rsidRPr="00423919">
        <w:rPr>
          <w:b/>
          <w:bCs/>
          <w:color w:val="000000"/>
          <w:sz w:val="24"/>
          <w:szCs w:val="24"/>
          <w:lang w:val="eu-ES" w:eastAsia="es-ES_tradnl"/>
        </w:rPr>
        <w:t>AURREKARIAK</w:t>
      </w:r>
    </w:p>
    <w:p w14:paraId="4CB927D1" w14:textId="77777777" w:rsidR="00423919" w:rsidRPr="00423919" w:rsidRDefault="00423919" w:rsidP="00423919">
      <w:pPr>
        <w:jc w:val="center"/>
        <w:rPr>
          <w:b/>
          <w:color w:val="000000"/>
          <w:sz w:val="22"/>
          <w:szCs w:val="22"/>
          <w:lang w:eastAsia="es-ES_tradnl"/>
        </w:rPr>
      </w:pPr>
    </w:p>
    <w:p w14:paraId="763964D9" w14:textId="69BBC8D3" w:rsidR="00423919" w:rsidRPr="00423919" w:rsidRDefault="00423919" w:rsidP="00423919">
      <w:pPr>
        <w:jc w:val="both"/>
        <w:rPr>
          <w:color w:val="000000"/>
          <w:sz w:val="24"/>
          <w:szCs w:val="24"/>
          <w:lang w:val="eu-ES" w:eastAsia="es-ES_tradnl"/>
        </w:rPr>
      </w:pPr>
      <w:r w:rsidRPr="00423919">
        <w:rPr>
          <w:b/>
          <w:bCs/>
          <w:color w:val="000000"/>
          <w:sz w:val="24"/>
          <w:szCs w:val="24"/>
          <w:lang w:val="eu-ES" w:eastAsia="es-ES_tradnl"/>
        </w:rPr>
        <w:t>Lehenengoa</w:t>
      </w:r>
      <w:r w:rsidRPr="00423919">
        <w:rPr>
          <w:color w:val="000000"/>
          <w:sz w:val="24"/>
          <w:szCs w:val="24"/>
          <w:lang w:val="eu-ES" w:eastAsia="es-ES_tradnl"/>
        </w:rPr>
        <w:t xml:space="preserve">.- Espedientean jasotzen den dokumentazioaren arabera, 2024ko martxoaren 13an, </w:t>
      </w:r>
      <w:r w:rsidR="00A5174C" w:rsidRPr="00A5174C">
        <w:rPr>
          <w:color w:val="000000"/>
          <w:sz w:val="24"/>
          <w:szCs w:val="24"/>
          <w:highlight w:val="black"/>
          <w:lang w:val="eu-ES" w:eastAsia="es-ES_tradnl"/>
        </w:rPr>
        <w:t>XXXXX</w:t>
      </w:r>
      <w:r w:rsidRPr="00423919">
        <w:rPr>
          <w:color w:val="000000"/>
          <w:sz w:val="24"/>
          <w:szCs w:val="24"/>
          <w:lang w:val="eu-ES" w:eastAsia="es-ES_tradnl"/>
        </w:rPr>
        <w:t xml:space="preserve"> </w:t>
      </w:r>
      <w:r w:rsidR="00F87BF5">
        <w:rPr>
          <w:color w:val="000000"/>
          <w:sz w:val="24"/>
          <w:szCs w:val="24"/>
          <w:lang w:val="eu-ES" w:eastAsia="es-ES_tradnl"/>
        </w:rPr>
        <w:t xml:space="preserve">2016ko </w:t>
      </w:r>
      <w:r w:rsidRPr="00423919">
        <w:rPr>
          <w:color w:val="000000"/>
          <w:sz w:val="24"/>
          <w:szCs w:val="24"/>
          <w:lang w:val="eu-ES" w:eastAsia="es-ES_tradnl"/>
        </w:rPr>
        <w:t>Lan Eskaintza Publikoari dagokion hautaketa prozesu bati buruzko informazioa ikusteko eskaera aurkeztu zuen.</w:t>
      </w:r>
    </w:p>
    <w:p w14:paraId="12DED691" w14:textId="77777777" w:rsidR="00423919" w:rsidRPr="00423919" w:rsidRDefault="00423919" w:rsidP="00423919">
      <w:pPr>
        <w:jc w:val="both"/>
        <w:rPr>
          <w:color w:val="000000"/>
          <w:sz w:val="24"/>
          <w:szCs w:val="24"/>
          <w:lang w:val="eu-ES" w:eastAsia="es-ES_tradnl"/>
        </w:rPr>
      </w:pPr>
    </w:p>
    <w:p w14:paraId="09DA245D" w14:textId="77777777" w:rsidR="00423919" w:rsidRPr="00423919" w:rsidRDefault="00423919" w:rsidP="00423919">
      <w:pPr>
        <w:jc w:val="both"/>
        <w:rPr>
          <w:color w:val="000000"/>
          <w:sz w:val="24"/>
          <w:szCs w:val="24"/>
          <w:lang w:val="eu-ES" w:eastAsia="es-ES_tradnl"/>
        </w:rPr>
      </w:pPr>
      <w:r w:rsidRPr="00423919">
        <w:rPr>
          <w:color w:val="000000"/>
          <w:sz w:val="24"/>
          <w:szCs w:val="24"/>
          <w:lang w:val="eu-ES" w:eastAsia="es-ES_tradnl"/>
        </w:rPr>
        <w:t xml:space="preserve">Zehazki, interesduna zenez, LEP horren Ekonomia eta Enpresa Zientzien kategoriako hautaketa prozesuan parte hartu zuelako (kodea: 12416), proba hori gainditu zuten bederatzi pertsonen azterketetako bigarren ariketaren kopia eskatu zuen. </w:t>
      </w:r>
    </w:p>
    <w:p w14:paraId="10B1B34B" w14:textId="77777777" w:rsidR="00423919" w:rsidRPr="00423919" w:rsidRDefault="00423919" w:rsidP="00423919">
      <w:pPr>
        <w:autoSpaceDE w:val="0"/>
        <w:autoSpaceDN w:val="0"/>
        <w:adjustRightInd w:val="0"/>
        <w:rPr>
          <w:rFonts w:ascii="Arial Unicode MS" w:hAnsi="Arial Unicode MS" w:cs="Arial Unicode MS"/>
          <w:color w:val="000000"/>
          <w:sz w:val="24"/>
          <w:szCs w:val="24"/>
          <w:lang w:val="eu-ES"/>
        </w:rPr>
      </w:pPr>
    </w:p>
    <w:p w14:paraId="0C37FDDF" w14:textId="77777777" w:rsidR="00423919" w:rsidRPr="00423919" w:rsidRDefault="00423919" w:rsidP="00423919">
      <w:pPr>
        <w:jc w:val="both"/>
        <w:rPr>
          <w:color w:val="000000"/>
          <w:sz w:val="24"/>
          <w:szCs w:val="24"/>
          <w:lang w:val="eu-ES" w:eastAsia="es-ES_tradnl"/>
        </w:rPr>
      </w:pPr>
      <w:r w:rsidRPr="00423919">
        <w:rPr>
          <w:b/>
          <w:bCs/>
          <w:sz w:val="24"/>
          <w:szCs w:val="24"/>
          <w:lang w:val="eu-ES"/>
        </w:rPr>
        <w:t>Bigarrena</w:t>
      </w:r>
      <w:r w:rsidRPr="00423919">
        <w:rPr>
          <w:sz w:val="24"/>
          <w:szCs w:val="24"/>
          <w:lang w:val="eu-ES"/>
        </w:rPr>
        <w:t xml:space="preserve">.- </w:t>
      </w:r>
      <w:r w:rsidRPr="00423919">
        <w:rPr>
          <w:color w:val="000000"/>
          <w:sz w:val="24"/>
          <w:szCs w:val="24"/>
          <w:lang w:val="eu-ES"/>
        </w:rPr>
        <w:t>Funtzio Publikoaren apirilaren 8ko 1882/2024 ebazpenaren bidez, informazioa ikusteko eskaera ez onartzea ebatzi zen, abusuzkoa zelako eta legearen xedeak ez zuelako babesten.</w:t>
      </w:r>
    </w:p>
    <w:p w14:paraId="5B12FB46" w14:textId="77777777" w:rsidR="00423919" w:rsidRPr="00423919" w:rsidRDefault="00423919" w:rsidP="00423919">
      <w:pPr>
        <w:autoSpaceDE w:val="0"/>
        <w:autoSpaceDN w:val="0"/>
        <w:adjustRightInd w:val="0"/>
        <w:rPr>
          <w:rFonts w:ascii="Arial Unicode MS" w:hAnsi="Arial Unicode MS" w:cs="Arial Unicode MS"/>
          <w:color w:val="000000"/>
          <w:sz w:val="24"/>
          <w:szCs w:val="24"/>
          <w:lang w:val="eu-ES"/>
        </w:rPr>
      </w:pPr>
    </w:p>
    <w:p w14:paraId="023E8D2B" w14:textId="11AF786E" w:rsidR="00423919" w:rsidRPr="00423919" w:rsidRDefault="00423919" w:rsidP="00423919">
      <w:pPr>
        <w:jc w:val="both"/>
        <w:rPr>
          <w:sz w:val="24"/>
          <w:szCs w:val="24"/>
        </w:rPr>
      </w:pPr>
      <w:r w:rsidRPr="00423919">
        <w:rPr>
          <w:b/>
          <w:bCs/>
          <w:sz w:val="24"/>
          <w:szCs w:val="24"/>
          <w:lang w:val="eu-ES"/>
        </w:rPr>
        <w:t xml:space="preserve">Hirugarrena.- </w:t>
      </w:r>
      <w:r w:rsidRPr="00423919">
        <w:rPr>
          <w:sz w:val="24"/>
          <w:szCs w:val="24"/>
          <w:lang w:val="eu-ES"/>
        </w:rPr>
        <w:t>Joan den apirilaren 19an Gardentasunaren Foru Batzordeari zuzendutako idazki bat sartu zen Arabako Foru Aldundiaren Erregistro Orokorrean. Idazki horren bidez, erreklamazioa onartzea eta eskatutako informazioa ematea eskatu zuen.</w:t>
      </w:r>
    </w:p>
    <w:p w14:paraId="34BA4AD7" w14:textId="77777777" w:rsidR="00423919" w:rsidRPr="00423919" w:rsidRDefault="00423919" w:rsidP="00423919">
      <w:pPr>
        <w:jc w:val="both"/>
        <w:rPr>
          <w:color w:val="000000"/>
          <w:sz w:val="24"/>
          <w:szCs w:val="24"/>
          <w:lang w:eastAsia="es-ES_tradnl"/>
        </w:rPr>
      </w:pPr>
    </w:p>
    <w:p w14:paraId="69D5F7FE" w14:textId="77777777" w:rsidR="00423919" w:rsidRPr="00423919" w:rsidRDefault="00423919" w:rsidP="00423919">
      <w:pPr>
        <w:jc w:val="both"/>
        <w:rPr>
          <w:color w:val="000000"/>
          <w:sz w:val="24"/>
          <w:szCs w:val="24"/>
          <w:lang w:eastAsia="es-ES_tradnl"/>
        </w:rPr>
      </w:pPr>
      <w:r w:rsidRPr="00423919">
        <w:rPr>
          <w:color w:val="000000"/>
          <w:sz w:val="24"/>
          <w:szCs w:val="24"/>
          <w:lang w:val="eu-ES" w:eastAsia="es-ES_tradnl"/>
        </w:rPr>
        <w:t>Bere eskaera ez dela abusuzkoa uste du, Legean ezarritako gardentasunaren helburuan oinarrituz, eta interes publikoa dagoelako hautaketa prozeduren ebaluazio prozesuak ezagutzeko. Gaineratu du horrek herritarrek langile publikoen hautaketa sisteman duten konfiantza handitzen duela, eta merezimendu eta gaitasunen printzipioekin bat datorrela.</w:t>
      </w:r>
    </w:p>
    <w:p w14:paraId="5097AC9B" w14:textId="77777777" w:rsidR="00423919" w:rsidRPr="00423919" w:rsidRDefault="00423919" w:rsidP="00423919">
      <w:pPr>
        <w:jc w:val="both"/>
        <w:rPr>
          <w:sz w:val="24"/>
          <w:szCs w:val="24"/>
        </w:rPr>
      </w:pPr>
    </w:p>
    <w:p w14:paraId="65C58E46" w14:textId="77777777" w:rsidR="00423919" w:rsidRPr="00423919" w:rsidRDefault="00423919" w:rsidP="00423919">
      <w:pPr>
        <w:jc w:val="center"/>
        <w:rPr>
          <w:b/>
          <w:color w:val="000000"/>
          <w:sz w:val="24"/>
          <w:szCs w:val="24"/>
          <w:lang w:eastAsia="es-ES_tradnl"/>
        </w:rPr>
      </w:pPr>
      <w:r w:rsidRPr="00423919">
        <w:rPr>
          <w:b/>
          <w:bCs/>
          <w:color w:val="000000"/>
          <w:sz w:val="24"/>
          <w:szCs w:val="24"/>
          <w:lang w:val="eu-ES" w:eastAsia="es-ES_tradnl"/>
        </w:rPr>
        <w:t>OINARRI JURIDIKOAK</w:t>
      </w:r>
    </w:p>
    <w:p w14:paraId="66EFF6B5" w14:textId="77777777" w:rsidR="00423919" w:rsidRPr="00423919" w:rsidRDefault="00423919" w:rsidP="00423919">
      <w:pPr>
        <w:jc w:val="both"/>
        <w:rPr>
          <w:sz w:val="24"/>
          <w:szCs w:val="24"/>
        </w:rPr>
      </w:pPr>
    </w:p>
    <w:p w14:paraId="1ED87172" w14:textId="169F5651" w:rsidR="00423919" w:rsidRPr="005F5B37" w:rsidRDefault="00423919" w:rsidP="005F5B37">
      <w:pPr>
        <w:pStyle w:val="Prrafodelista"/>
        <w:numPr>
          <w:ilvl w:val="0"/>
          <w:numId w:val="49"/>
        </w:numPr>
        <w:ind w:left="284" w:hanging="284"/>
        <w:jc w:val="both"/>
        <w:rPr>
          <w:sz w:val="24"/>
          <w:szCs w:val="24"/>
          <w:lang w:val="eu-ES"/>
        </w:rPr>
      </w:pPr>
      <w:r w:rsidRPr="005F5B37">
        <w:rPr>
          <w:sz w:val="24"/>
          <w:szCs w:val="24"/>
          <w:lang w:val="eu-ES"/>
        </w:rPr>
        <w:t>Erreklamatzaileak planteatutako eskaerari dagokionez, gaiaren mamia aztertu aurretik, bidezko da aztertzea ea eskaerak betetzen dituen erreklamazio hori planteatzeko beharrezko baldintzak. Haiek, 1/2017 Foru Arauaren 35.5 artikuluaren arabera, oinarrizko legerian finkatuta daude, hau da, GIPEGOLen.</w:t>
      </w:r>
    </w:p>
    <w:p w14:paraId="7084E745" w14:textId="77777777" w:rsidR="00423919" w:rsidRPr="00423919" w:rsidRDefault="00423919" w:rsidP="00423919">
      <w:pPr>
        <w:jc w:val="both"/>
        <w:rPr>
          <w:sz w:val="24"/>
          <w:szCs w:val="24"/>
          <w:lang w:val="eu-ES"/>
        </w:rPr>
      </w:pPr>
    </w:p>
    <w:p w14:paraId="35A93F7F" w14:textId="77777777" w:rsidR="00423919" w:rsidRPr="00423919" w:rsidRDefault="00423919" w:rsidP="00423919">
      <w:pPr>
        <w:jc w:val="both"/>
        <w:rPr>
          <w:sz w:val="24"/>
          <w:szCs w:val="24"/>
          <w:lang w:val="eu-ES"/>
        </w:rPr>
      </w:pPr>
    </w:p>
    <w:p w14:paraId="38F5C7AD" w14:textId="20F0F244" w:rsidR="00423919" w:rsidRPr="005F5B37" w:rsidRDefault="00423919" w:rsidP="005F5B37">
      <w:pPr>
        <w:pStyle w:val="Prrafodelista"/>
        <w:numPr>
          <w:ilvl w:val="0"/>
          <w:numId w:val="49"/>
        </w:numPr>
        <w:ind w:left="284" w:hanging="284"/>
        <w:jc w:val="both"/>
        <w:rPr>
          <w:sz w:val="24"/>
          <w:szCs w:val="24"/>
          <w:lang w:val="eu-ES"/>
        </w:rPr>
      </w:pPr>
      <w:r w:rsidRPr="005F5B37">
        <w:rPr>
          <w:sz w:val="24"/>
          <w:szCs w:val="24"/>
          <w:lang w:val="eu-ES"/>
        </w:rPr>
        <w:t>Erreklamazioa aurkezteko epeari dagokionez, GIPEGOLek dio 24.2 artikuluan ezen erreklamazioa aurkezteko epea hilabete izango dela aurkatutako egintza jakinarazten den egunaren biharamunetik hasita, eta, hain zuzen, epe horri heldu zion erreklamatzaileak, zeren eta Funtzio Publikoaren zuzendariaren 1882/2024 Ebazpena 2024ko apirilaren 4an eman baitzen, eta erreklamatzailearen idazkia hil bereko 19an sartu baitzen Arabako Foru Aldundiaren Erregistroan.</w:t>
      </w:r>
    </w:p>
    <w:p w14:paraId="47F9F7D6" w14:textId="77777777" w:rsidR="00423919" w:rsidRPr="00423919" w:rsidRDefault="00423919" w:rsidP="00423919">
      <w:pPr>
        <w:jc w:val="both"/>
        <w:rPr>
          <w:sz w:val="24"/>
          <w:szCs w:val="24"/>
          <w:lang w:val="eu-ES"/>
        </w:rPr>
      </w:pPr>
    </w:p>
    <w:p w14:paraId="5BA5AB3A" w14:textId="77777777" w:rsidR="00423919" w:rsidRPr="00423919" w:rsidRDefault="00423919" w:rsidP="00423919">
      <w:pPr>
        <w:jc w:val="both"/>
        <w:rPr>
          <w:sz w:val="24"/>
          <w:szCs w:val="24"/>
          <w:lang w:val="eu-ES"/>
        </w:rPr>
      </w:pPr>
    </w:p>
    <w:p w14:paraId="7DA6ABC7" w14:textId="1B29CD16" w:rsidR="00423919" w:rsidRPr="005F5B37" w:rsidRDefault="005F5B37" w:rsidP="005F5B37">
      <w:pPr>
        <w:pStyle w:val="Prrafodelista"/>
        <w:ind w:left="0"/>
        <w:jc w:val="both"/>
        <w:rPr>
          <w:sz w:val="24"/>
          <w:szCs w:val="24"/>
          <w:lang w:val="eu-ES"/>
        </w:rPr>
      </w:pPr>
      <w:r>
        <w:rPr>
          <w:sz w:val="24"/>
          <w:szCs w:val="24"/>
          <w:lang w:val="eu-ES"/>
        </w:rPr>
        <w:t xml:space="preserve">3. </w:t>
      </w:r>
      <w:r w:rsidR="00423919" w:rsidRPr="005F5B37">
        <w:rPr>
          <w:sz w:val="24"/>
          <w:szCs w:val="24"/>
          <w:lang w:val="eu-ES"/>
        </w:rPr>
        <w:t xml:space="preserve">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w:t>
      </w:r>
      <w:r w:rsidR="00B50DBC" w:rsidRPr="005F5B37">
        <w:rPr>
          <w:sz w:val="24"/>
          <w:szCs w:val="24"/>
          <w:highlight w:val="black"/>
          <w:lang w:val="eu-ES"/>
        </w:rPr>
        <w:t>XXXXX</w:t>
      </w:r>
      <w:r w:rsidR="00423919" w:rsidRPr="005F5B37">
        <w:rPr>
          <w:sz w:val="24"/>
          <w:szCs w:val="24"/>
          <w:lang w:val="eu-ES"/>
        </w:rPr>
        <w:t xml:space="preserve"> aurkatutako ebazpena.</w:t>
      </w:r>
    </w:p>
    <w:p w14:paraId="7E18FE14" w14:textId="77777777" w:rsidR="00423919" w:rsidRPr="00423919" w:rsidRDefault="00423919" w:rsidP="00423919">
      <w:pPr>
        <w:jc w:val="both"/>
        <w:rPr>
          <w:sz w:val="24"/>
          <w:szCs w:val="24"/>
          <w:lang w:val="eu-ES"/>
        </w:rPr>
      </w:pPr>
    </w:p>
    <w:p w14:paraId="1FD85129" w14:textId="77777777" w:rsidR="00423919" w:rsidRPr="00423919" w:rsidRDefault="00423919" w:rsidP="00423919">
      <w:pPr>
        <w:ind w:left="720"/>
        <w:contextualSpacing/>
        <w:rPr>
          <w:sz w:val="24"/>
          <w:szCs w:val="24"/>
          <w:highlight w:val="yellow"/>
          <w:lang w:val="eu-ES"/>
        </w:rPr>
      </w:pPr>
    </w:p>
    <w:p w14:paraId="48AE4A2A" w14:textId="580E8017" w:rsidR="00423919" w:rsidRPr="00423919" w:rsidRDefault="005F5B37" w:rsidP="00423919">
      <w:pPr>
        <w:autoSpaceDE w:val="0"/>
        <w:autoSpaceDN w:val="0"/>
        <w:adjustRightInd w:val="0"/>
        <w:jc w:val="both"/>
        <w:rPr>
          <w:sz w:val="24"/>
          <w:szCs w:val="24"/>
          <w:lang w:val="eu-ES"/>
        </w:rPr>
      </w:pPr>
      <w:r>
        <w:rPr>
          <w:kern w:val="3"/>
          <w:sz w:val="24"/>
          <w:szCs w:val="24"/>
          <w:lang w:val="eu-ES" w:eastAsia="eu-ES"/>
        </w:rPr>
        <w:t xml:space="preserve">4. </w:t>
      </w:r>
      <w:r w:rsidR="00423919" w:rsidRPr="00423919">
        <w:rPr>
          <w:kern w:val="3"/>
          <w:sz w:val="24"/>
          <w:szCs w:val="24"/>
          <w:lang w:val="eu-ES" w:eastAsia="eu-ES"/>
        </w:rPr>
        <w:t>Behin egiaztaturik erakunde erreklamatua Gardentasunaren 1/2017 Foru Arauari lotzen zaiola,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616016E8" w14:textId="77777777" w:rsidR="00423919" w:rsidRPr="00423919" w:rsidRDefault="00423919" w:rsidP="00423919">
      <w:pPr>
        <w:autoSpaceDE w:val="0"/>
        <w:autoSpaceDN w:val="0"/>
        <w:adjustRightInd w:val="0"/>
        <w:jc w:val="both"/>
        <w:rPr>
          <w:sz w:val="24"/>
          <w:szCs w:val="24"/>
          <w:lang w:val="eu-ES"/>
        </w:rPr>
      </w:pPr>
    </w:p>
    <w:p w14:paraId="3E5BA077" w14:textId="7200E5E9" w:rsidR="00423919" w:rsidRPr="00423919" w:rsidRDefault="00423919" w:rsidP="00423919">
      <w:pPr>
        <w:suppressAutoHyphens/>
        <w:autoSpaceDN w:val="0"/>
        <w:jc w:val="both"/>
        <w:textAlignment w:val="baseline"/>
        <w:rPr>
          <w:snapToGrid w:val="0"/>
          <w:kern w:val="3"/>
          <w:sz w:val="24"/>
          <w:szCs w:val="24"/>
          <w:lang w:val="eu-ES" w:eastAsia="eu-ES"/>
        </w:rPr>
      </w:pPr>
      <w:r w:rsidRPr="00423919">
        <w:rPr>
          <w:kern w:val="3"/>
          <w:sz w:val="24"/>
          <w:szCs w:val="24"/>
          <w:lang w:val="eu-ES" w:eastAsia="eu-ES"/>
        </w:rPr>
        <w:t xml:space="preserve">Erreklamazioaren xedea da informazio publikoa eskuratzeko arloan berariazko ebazpena ematea, hau da, Funtzio Publikoaren Zuzendariak apirilaren 8an ezarritako 1882/2024 ebazpena, zeinaren bidez </w:t>
      </w:r>
      <w:r w:rsidR="005679F9" w:rsidRPr="005679F9">
        <w:rPr>
          <w:kern w:val="3"/>
          <w:sz w:val="24"/>
          <w:szCs w:val="24"/>
          <w:highlight w:val="black"/>
          <w:lang w:val="eu-ES" w:eastAsia="eu-ES"/>
        </w:rPr>
        <w:t>XXXXX</w:t>
      </w:r>
      <w:r w:rsidRPr="00423919">
        <w:rPr>
          <w:kern w:val="3"/>
          <w:sz w:val="24"/>
          <w:szCs w:val="24"/>
          <w:lang w:val="eu-ES" w:eastAsia="eu-ES"/>
        </w:rPr>
        <w:t xml:space="preserve"> asmoa ez zen onartu.</w:t>
      </w:r>
    </w:p>
    <w:p w14:paraId="5C27DB6E" w14:textId="77777777" w:rsidR="00423919" w:rsidRPr="00423919" w:rsidRDefault="00423919" w:rsidP="00423919">
      <w:pPr>
        <w:autoSpaceDE w:val="0"/>
        <w:autoSpaceDN w:val="0"/>
        <w:adjustRightInd w:val="0"/>
        <w:ind w:left="360"/>
        <w:jc w:val="both"/>
        <w:rPr>
          <w:sz w:val="22"/>
          <w:szCs w:val="22"/>
          <w:lang w:val="eu-ES"/>
        </w:rPr>
      </w:pPr>
    </w:p>
    <w:p w14:paraId="001A01E0" w14:textId="6D2DE64D" w:rsidR="00423919" w:rsidRPr="00423919" w:rsidRDefault="005F5B37" w:rsidP="00423919">
      <w:pPr>
        <w:suppressAutoHyphens/>
        <w:autoSpaceDN w:val="0"/>
        <w:jc w:val="both"/>
        <w:textAlignment w:val="baseline"/>
        <w:rPr>
          <w:snapToGrid w:val="0"/>
          <w:kern w:val="3"/>
          <w:sz w:val="24"/>
          <w:szCs w:val="24"/>
          <w:lang w:val="eu-ES" w:eastAsia="eu-ES"/>
        </w:rPr>
      </w:pPr>
      <w:r>
        <w:rPr>
          <w:color w:val="000000"/>
          <w:sz w:val="24"/>
          <w:szCs w:val="24"/>
          <w:lang w:val="eu-ES" w:eastAsia="es-ES_tradnl"/>
        </w:rPr>
        <w:t xml:space="preserve">5. </w:t>
      </w:r>
      <w:r w:rsidR="00423919" w:rsidRPr="00423919">
        <w:rPr>
          <w:color w:val="000000"/>
          <w:sz w:val="24"/>
          <w:szCs w:val="24"/>
          <w:lang w:val="eu-ES" w:eastAsia="es-ES_tradnl"/>
        </w:rPr>
        <w:t>Otsailaren 8ko 1/2017 Foru Arauaren 18. artikuluaren arabera, informazio publikoa da “</w:t>
      </w:r>
      <w:r w:rsidR="00423919" w:rsidRPr="00423919">
        <w:rPr>
          <w:i/>
          <w:iCs/>
          <w:color w:val="000000"/>
          <w:sz w:val="24"/>
          <w:szCs w:val="24"/>
          <w:lang w:val="eu-ES" w:eastAsia="es-ES_tradnl"/>
        </w:rPr>
        <w:t xml:space="preserve">Foru Arau honen 3. artikuluan aipatzen diren subjektuetako edozeinen eskuetan diren eduki edo </w:t>
      </w:r>
      <w:r w:rsidR="00423919" w:rsidRPr="00423919">
        <w:rPr>
          <w:i/>
          <w:iCs/>
          <w:sz w:val="24"/>
          <w:szCs w:val="24"/>
          <w:lang w:val="eu-ES" w:eastAsia="es-ES_tradnl"/>
        </w:rPr>
        <w:t>dokumentuak, edozein dela ere haien formatua edo euskarria, haiek beren eginkizunak betez sortu edo eskuratu dituztenak”.</w:t>
      </w:r>
    </w:p>
    <w:p w14:paraId="00C6ABF8" w14:textId="77777777" w:rsidR="00423919" w:rsidRPr="00423919" w:rsidRDefault="00423919" w:rsidP="00423919">
      <w:pPr>
        <w:ind w:left="720"/>
        <w:contextualSpacing/>
        <w:rPr>
          <w:snapToGrid w:val="0"/>
          <w:kern w:val="3"/>
          <w:sz w:val="24"/>
          <w:szCs w:val="24"/>
          <w:lang w:val="eu-ES" w:eastAsia="eu-ES"/>
        </w:rPr>
      </w:pPr>
    </w:p>
    <w:p w14:paraId="60C00868" w14:textId="77777777" w:rsidR="00423919" w:rsidRPr="00423919" w:rsidRDefault="00423919" w:rsidP="005F5B37">
      <w:pPr>
        <w:suppressAutoHyphens/>
        <w:autoSpaceDN w:val="0"/>
        <w:jc w:val="both"/>
        <w:textAlignment w:val="baseline"/>
        <w:rPr>
          <w:color w:val="000000"/>
          <w:sz w:val="24"/>
          <w:szCs w:val="24"/>
          <w:lang w:val="es-ES_tradnl" w:eastAsia="es-ES_tradnl"/>
        </w:rPr>
      </w:pPr>
      <w:r w:rsidRPr="00423919">
        <w:rPr>
          <w:color w:val="000000"/>
          <w:sz w:val="24"/>
          <w:szCs w:val="24"/>
          <w:lang w:val="eu-ES" w:eastAsia="es-ES_tradnl"/>
        </w:rPr>
        <w:t>Beraz, zalantzarik gabe, informazioa eskuratzeko eskatzen den gaia informazio publikoa da, artikulu horretan eskatzen diren baldintzak betetzen baitira.  Lehendabizi, Arabako Foru Aldundia foru sektore publikoko erakundea da, beraz, 1/2017 Foru Arauaren 18. artikuluan jasotzen den esparru subjektiboaren barruan dago.  Bigarrenik, Foru Organoak egin ez duen informazioa bada ere, zaila da ukatzea dokumentazio hori Aldundiaren esku dagoela.</w:t>
      </w:r>
    </w:p>
    <w:p w14:paraId="420F78A7" w14:textId="77777777" w:rsidR="00423919" w:rsidRPr="00423919" w:rsidRDefault="00423919" w:rsidP="005F5B37">
      <w:pPr>
        <w:suppressAutoHyphens/>
        <w:autoSpaceDN w:val="0"/>
        <w:jc w:val="both"/>
        <w:textAlignment w:val="baseline"/>
        <w:rPr>
          <w:color w:val="000000"/>
          <w:sz w:val="24"/>
          <w:szCs w:val="24"/>
          <w:lang w:val="es-ES_tradnl" w:eastAsia="es-ES_tradnl"/>
        </w:rPr>
      </w:pPr>
    </w:p>
    <w:p w14:paraId="669468EB" w14:textId="372E4189" w:rsidR="00423919" w:rsidRPr="00423919" w:rsidRDefault="00553FB9" w:rsidP="00423919">
      <w:pPr>
        <w:suppressAutoHyphens/>
        <w:autoSpaceDN w:val="0"/>
        <w:jc w:val="both"/>
        <w:textAlignment w:val="baseline"/>
        <w:rPr>
          <w:color w:val="000000"/>
          <w:sz w:val="24"/>
          <w:szCs w:val="24"/>
          <w:lang w:val="eu-ES" w:eastAsia="es-ES_tradnl"/>
        </w:rPr>
      </w:pPr>
      <w:r>
        <w:rPr>
          <w:sz w:val="24"/>
          <w:szCs w:val="24"/>
          <w:lang w:val="eu-ES" w:eastAsia="es-ES_tradnl"/>
        </w:rPr>
        <w:t xml:space="preserve">6. </w:t>
      </w:r>
      <w:r w:rsidR="00423919" w:rsidRPr="00423919">
        <w:rPr>
          <w:sz w:val="24"/>
          <w:szCs w:val="24"/>
          <w:lang w:val="eu-ES" w:eastAsia="es-ES_tradnl"/>
        </w:rPr>
        <w:t>Era berean, aldez aurretik, erreklamatzaileak hasierako eskaeran aipatzen duen alderdi interesduna izateari dagokionez, adierazi behar dugu GIPEGOLren 12. artikuluak onartzen duela herritarrek erakunde publikoetan dagoen informazio publikoa ikusteko duten eskubidea. Nolanahi ere, arau horrek, 1. atalean, lehen xedapen gehigarrian hauxe ezartzen du: “</w:t>
      </w:r>
      <w:r w:rsidR="00423919" w:rsidRPr="00423919">
        <w:rPr>
          <w:i/>
          <w:iCs/>
          <w:sz w:val="24"/>
          <w:szCs w:val="24"/>
          <w:lang w:val="eu-ES" w:eastAsia="es-ES_tradnl"/>
        </w:rPr>
        <w:t>Abian den administrazio-prozedura batean interesdun direnek prozedura hori osatzen duten agiriak eskuratzeari aplikatzekoa zaion araudia izango da, hain zuzen, dagokion administrazio prozedura arautuko duen araudia</w:t>
      </w:r>
      <w:r w:rsidR="00423919" w:rsidRPr="00423919">
        <w:rPr>
          <w:sz w:val="24"/>
          <w:szCs w:val="24"/>
          <w:lang w:val="eu-ES" w:eastAsia="es-ES_tradnl"/>
        </w:rPr>
        <w:t xml:space="preserve">”. </w:t>
      </w:r>
    </w:p>
    <w:p w14:paraId="6689FFCC" w14:textId="77777777" w:rsidR="00423919" w:rsidRDefault="00423919" w:rsidP="00423919">
      <w:pPr>
        <w:suppressAutoHyphens/>
        <w:autoSpaceDN w:val="0"/>
        <w:jc w:val="both"/>
        <w:textAlignment w:val="baseline"/>
        <w:rPr>
          <w:color w:val="000000"/>
          <w:sz w:val="24"/>
          <w:szCs w:val="24"/>
          <w:lang w:val="eu-ES" w:eastAsia="es-ES_tradnl"/>
        </w:rPr>
      </w:pPr>
    </w:p>
    <w:p w14:paraId="6944594E" w14:textId="77777777" w:rsidR="003627BE" w:rsidRDefault="003627BE" w:rsidP="00423919">
      <w:pPr>
        <w:suppressAutoHyphens/>
        <w:autoSpaceDN w:val="0"/>
        <w:jc w:val="both"/>
        <w:textAlignment w:val="baseline"/>
        <w:rPr>
          <w:color w:val="000000"/>
          <w:sz w:val="24"/>
          <w:szCs w:val="24"/>
          <w:lang w:val="eu-ES" w:eastAsia="es-ES_tradnl"/>
        </w:rPr>
      </w:pPr>
    </w:p>
    <w:p w14:paraId="1E7BE91F" w14:textId="77777777" w:rsidR="003627BE" w:rsidRDefault="003627BE" w:rsidP="00423919">
      <w:pPr>
        <w:suppressAutoHyphens/>
        <w:autoSpaceDN w:val="0"/>
        <w:jc w:val="both"/>
        <w:textAlignment w:val="baseline"/>
        <w:rPr>
          <w:color w:val="000000"/>
          <w:sz w:val="24"/>
          <w:szCs w:val="24"/>
          <w:lang w:val="eu-ES" w:eastAsia="es-ES_tradnl"/>
        </w:rPr>
      </w:pPr>
    </w:p>
    <w:p w14:paraId="45E900EB" w14:textId="77777777" w:rsidR="003627BE" w:rsidRDefault="003627BE" w:rsidP="00423919">
      <w:pPr>
        <w:suppressAutoHyphens/>
        <w:autoSpaceDN w:val="0"/>
        <w:jc w:val="both"/>
        <w:textAlignment w:val="baseline"/>
        <w:rPr>
          <w:color w:val="000000"/>
          <w:sz w:val="24"/>
          <w:szCs w:val="24"/>
          <w:lang w:val="eu-ES" w:eastAsia="es-ES_tradnl"/>
        </w:rPr>
      </w:pPr>
    </w:p>
    <w:p w14:paraId="0524EBC3" w14:textId="77777777" w:rsidR="003627BE" w:rsidRPr="00423919" w:rsidRDefault="003627BE" w:rsidP="00423919">
      <w:pPr>
        <w:suppressAutoHyphens/>
        <w:autoSpaceDN w:val="0"/>
        <w:jc w:val="both"/>
        <w:textAlignment w:val="baseline"/>
        <w:rPr>
          <w:color w:val="000000"/>
          <w:sz w:val="24"/>
          <w:szCs w:val="24"/>
          <w:lang w:val="eu-ES" w:eastAsia="es-ES_tradnl"/>
        </w:rPr>
      </w:pPr>
    </w:p>
    <w:p w14:paraId="57271BAF" w14:textId="77777777" w:rsidR="00423919" w:rsidRPr="00423919" w:rsidRDefault="00423919" w:rsidP="00423919">
      <w:pPr>
        <w:suppressAutoHyphens/>
        <w:autoSpaceDN w:val="0"/>
        <w:jc w:val="both"/>
        <w:textAlignment w:val="baseline"/>
        <w:rPr>
          <w:color w:val="000000"/>
          <w:sz w:val="24"/>
          <w:szCs w:val="24"/>
          <w:lang w:val="eu-ES" w:eastAsia="es-ES_tradnl"/>
        </w:rPr>
      </w:pPr>
      <w:r w:rsidRPr="00423919">
        <w:rPr>
          <w:sz w:val="24"/>
          <w:szCs w:val="24"/>
          <w:lang w:val="eu-ES"/>
        </w:rPr>
        <w:lastRenderedPageBreak/>
        <w:t xml:space="preserve">Beraz, xedapen gehigarri hori kontuan hartuz, bistakoa da eskaera aurkeztu zuen egunean -2024ko martxoaren 13an-, erreklamatzailea ez zela uneko administrazio prozedura baten interesduna, izan ere, </w:t>
      </w:r>
      <w:r w:rsidRPr="00423919">
        <w:rPr>
          <w:color w:val="000000"/>
          <w:sz w:val="24"/>
          <w:szCs w:val="24"/>
          <w:lang w:val="eu-ES"/>
        </w:rPr>
        <w:t xml:space="preserve">2016ko hautaketa prozesua zen, ekonomia eta enpresa zientzien kategorian sartzeko (kodea: 12416), urriaren 4ko 480/2018 Foru Aginduaren bidez egindako izendapenekin amaitu zena.  Hori horrela, erreklamatzaileak informazioa eskatzen duen prozeduran parte hartu bazuen ere, hura amaitu zenez, ezin zuen informazio publikoa eskuratu interesdun gisa, baizik eta aurka egindako ebazpenean adierazten den moduan, gardentasunari buruzko foru arauan ezarritako bidea erabiliz. </w:t>
      </w:r>
    </w:p>
    <w:p w14:paraId="125DFBF8" w14:textId="77777777" w:rsidR="00423919" w:rsidRPr="00423919" w:rsidRDefault="00423919" w:rsidP="00423919">
      <w:pPr>
        <w:suppressAutoHyphens/>
        <w:autoSpaceDN w:val="0"/>
        <w:ind w:left="360"/>
        <w:jc w:val="both"/>
        <w:textAlignment w:val="baseline"/>
        <w:rPr>
          <w:lang w:val="eu-ES"/>
        </w:rPr>
      </w:pPr>
    </w:p>
    <w:p w14:paraId="3A980215" w14:textId="03A86EAF" w:rsidR="00423919" w:rsidRPr="00423919" w:rsidRDefault="003627BE" w:rsidP="00423919">
      <w:pPr>
        <w:suppressAutoHyphens/>
        <w:autoSpaceDN w:val="0"/>
        <w:jc w:val="both"/>
        <w:textAlignment w:val="baseline"/>
        <w:rPr>
          <w:color w:val="000000"/>
          <w:sz w:val="24"/>
          <w:szCs w:val="24"/>
          <w:lang w:val="eu-ES" w:eastAsia="es-ES_tradnl"/>
        </w:rPr>
      </w:pPr>
      <w:r>
        <w:rPr>
          <w:color w:val="000000"/>
          <w:sz w:val="24"/>
          <w:szCs w:val="24"/>
          <w:lang w:val="eu-ES" w:eastAsia="es-ES_tradnl"/>
        </w:rPr>
        <w:t xml:space="preserve">7. </w:t>
      </w:r>
      <w:r w:rsidR="00423919" w:rsidRPr="00423919">
        <w:rPr>
          <w:color w:val="000000"/>
          <w:sz w:val="24"/>
          <w:szCs w:val="24"/>
          <w:lang w:val="eu-ES" w:eastAsia="es-ES_tradnl"/>
        </w:rPr>
        <w:t>Aurrekoa ezarrita, aztertu behar duguna da eskatutako informazioa eskuratzeko bidea eman behar den ala ez, hau da, eman daitekeen informazio publikoa den, edo muga edo ez onartzeko arrazoiren bat aplikatu behar den, eskuratzeko bide hori ez emateko.</w:t>
      </w:r>
    </w:p>
    <w:p w14:paraId="7494A0D0" w14:textId="77777777" w:rsidR="00423919" w:rsidRPr="00423919" w:rsidRDefault="00423919" w:rsidP="00423919">
      <w:pPr>
        <w:suppressAutoHyphens/>
        <w:autoSpaceDN w:val="0"/>
        <w:ind w:left="360"/>
        <w:jc w:val="both"/>
        <w:textAlignment w:val="baseline"/>
        <w:rPr>
          <w:color w:val="000000"/>
          <w:sz w:val="24"/>
          <w:szCs w:val="24"/>
          <w:lang w:val="eu-ES" w:eastAsia="es-ES_tradnl"/>
        </w:rPr>
      </w:pPr>
    </w:p>
    <w:p w14:paraId="04EA4CD1" w14:textId="77777777" w:rsidR="00423919" w:rsidRPr="00423919" w:rsidRDefault="00423919" w:rsidP="0028575D">
      <w:pPr>
        <w:suppressAutoHyphens/>
        <w:autoSpaceDN w:val="0"/>
        <w:jc w:val="both"/>
        <w:textAlignment w:val="baseline"/>
        <w:rPr>
          <w:color w:val="000000"/>
          <w:sz w:val="24"/>
          <w:szCs w:val="24"/>
          <w:lang w:eastAsia="es-ES_tradnl"/>
        </w:rPr>
      </w:pPr>
      <w:r w:rsidRPr="00423919">
        <w:rPr>
          <w:color w:val="000000"/>
          <w:sz w:val="24"/>
          <w:szCs w:val="24"/>
          <w:lang w:val="eu-ES" w:eastAsia="es-ES_tradnl"/>
        </w:rPr>
        <w:t>Funtzio Publikoko Zuzendaritzak informazioa eskuratzeko eskaera ukatzea ebatzi zuen, GIPEGOLren 18.1 e) artikuluan jasotzen den ez onartzeko arrazoia dagoelako, abusuzkoa delako, eta ezin delako justifikatu Legearen gardentasunaren xedearekin, eskatutako informazioak hirugarrenen datu pertsonalak erakustea ekarriko lukeelako. Gardentasunaren eta Gobernu Onaren Kontseiluak 2015eko ekainaren 24ko 002/2015 irizpidean adierazitako arrazoia aztertu aurretik, ezarri behar dugu eskatutako dokumentazioa eskuratzeak datu pertsonalak babesteko eskubidea urra dezakeen, eskubide horrek pertsona fisikoen zuzeneko identifikazio datuak bakarrik (izen-abizenak, helbidea, NAN eta abar) barne hartzen dituelako.  Gogoratu behar dugu proba hori gainditu zuten bederatzi pertsonen bigarren ariketaren kopia eskatu zuela.</w:t>
      </w:r>
    </w:p>
    <w:p w14:paraId="2B91AE24" w14:textId="77777777" w:rsidR="00423919" w:rsidRPr="00423919" w:rsidRDefault="00423919" w:rsidP="00423919">
      <w:pPr>
        <w:suppressAutoHyphens/>
        <w:autoSpaceDN w:val="0"/>
        <w:jc w:val="both"/>
        <w:textAlignment w:val="baseline"/>
        <w:rPr>
          <w:color w:val="000000"/>
          <w:sz w:val="24"/>
          <w:szCs w:val="24"/>
          <w:lang w:val="es-ES_tradnl" w:eastAsia="es-ES_tradnl"/>
        </w:rPr>
      </w:pPr>
    </w:p>
    <w:p w14:paraId="0ED2681C" w14:textId="77777777" w:rsidR="00423919" w:rsidRPr="00423919" w:rsidRDefault="00423919" w:rsidP="00DB248C">
      <w:pPr>
        <w:suppressAutoHyphens/>
        <w:autoSpaceDN w:val="0"/>
        <w:jc w:val="both"/>
        <w:textAlignment w:val="baseline"/>
        <w:rPr>
          <w:color w:val="000000"/>
          <w:sz w:val="24"/>
          <w:szCs w:val="24"/>
          <w:lang w:val="es-ES_tradnl" w:eastAsia="es-ES_tradnl"/>
        </w:rPr>
      </w:pPr>
      <w:r w:rsidRPr="00423919">
        <w:rPr>
          <w:color w:val="000000"/>
          <w:sz w:val="24"/>
          <w:szCs w:val="24"/>
          <w:lang w:val="eu-ES" w:eastAsia="es-ES_tradnl"/>
        </w:rPr>
        <w:t>Horri dagokionez, adierazi behar dugu Europar Batasunaren Justizia Auzitegiak, 2017ko abenduaren 20ko epaian, hauxe adierazi zuela: “</w:t>
      </w:r>
      <w:r w:rsidRPr="00423919">
        <w:rPr>
          <w:i/>
          <w:iCs/>
          <w:color w:val="000000"/>
          <w:sz w:val="24"/>
          <w:szCs w:val="24"/>
          <w:lang w:val="eu-ES" w:eastAsia="es-ES_tradnl"/>
        </w:rPr>
        <w:t>Europako Parlamentuaren eta Kontseiluaren 1995ko urriaren 24ko 95/46/EE Zuzentarauak, 2. artikuluko a) letran, datu pertsonalen tratamenduari eta datu horien zirkulazio askeari dagokionez, pertsona fisikoek duten babesari buruzkoan, auzi nagusiaren bezalako inguruabarretan, hautagai batek azterketa profesional batean idatziz emandako erantzunak, eta aztertzaileak erantzun horietan egin ditzakeen oharrak, datu pertsonaltzat hartu behar dira, aipatutako arauaren ondorioetarako</w:t>
      </w:r>
      <w:r w:rsidRPr="00423919">
        <w:rPr>
          <w:color w:val="000000"/>
          <w:sz w:val="24"/>
          <w:szCs w:val="24"/>
          <w:lang w:val="eu-ES" w:eastAsia="es-ES_tradnl"/>
        </w:rPr>
        <w:t xml:space="preserve">”. </w:t>
      </w:r>
    </w:p>
    <w:p w14:paraId="38F0A329" w14:textId="77777777" w:rsidR="00423919" w:rsidRPr="00423919" w:rsidRDefault="00423919" w:rsidP="00423919">
      <w:pPr>
        <w:ind w:left="720"/>
        <w:contextualSpacing/>
        <w:rPr>
          <w:color w:val="000000"/>
          <w:sz w:val="24"/>
          <w:szCs w:val="24"/>
          <w:lang w:val="es-ES_tradnl" w:eastAsia="es-ES_tradnl"/>
        </w:rPr>
      </w:pPr>
    </w:p>
    <w:p w14:paraId="02B01D16" w14:textId="77777777" w:rsidR="00423919" w:rsidRPr="00423919" w:rsidRDefault="00423919" w:rsidP="00F17813">
      <w:pPr>
        <w:contextualSpacing/>
        <w:jc w:val="both"/>
        <w:rPr>
          <w:color w:val="000000"/>
          <w:sz w:val="24"/>
          <w:szCs w:val="24"/>
          <w:lang w:val="es-ES_tradnl" w:eastAsia="es-ES_tradnl"/>
        </w:rPr>
      </w:pPr>
      <w:r w:rsidRPr="00423919">
        <w:rPr>
          <w:sz w:val="24"/>
          <w:szCs w:val="24"/>
          <w:lang w:val="eu-ES"/>
        </w:rPr>
        <w:t xml:space="preserve">Nolanahi ere, datuak pertsonaltzat hartzen badira ere, mota horretako datuen babesak ekarritako muga ezin da automatikoki aplikatu; </w:t>
      </w:r>
      <w:r w:rsidRPr="00423919">
        <w:rPr>
          <w:color w:val="000000"/>
          <w:sz w:val="24"/>
          <w:szCs w:val="24"/>
          <w:lang w:val="eu-ES"/>
        </w:rPr>
        <w:t xml:space="preserve">GIPEGOLren 15.3. artikuluan eta </w:t>
      </w:r>
      <w:r w:rsidRPr="00423919">
        <w:rPr>
          <w:sz w:val="24"/>
          <w:szCs w:val="24"/>
          <w:lang w:val="eu-ES"/>
        </w:rPr>
        <w:t xml:space="preserve">aipatutako </w:t>
      </w:r>
      <w:r w:rsidRPr="00423919">
        <w:rPr>
          <w:color w:val="000000"/>
          <w:sz w:val="24"/>
          <w:szCs w:val="24"/>
          <w:lang w:val="eu-ES"/>
        </w:rPr>
        <w:t>002/2015</w:t>
      </w:r>
      <w:r w:rsidRPr="00423919">
        <w:rPr>
          <w:sz w:val="24"/>
          <w:szCs w:val="24"/>
          <w:lang w:val="eu-ES"/>
        </w:rPr>
        <w:t xml:space="preserve"> interpretazio irizpidean adierazitakoaren arabera, gardentasuna izateko eta datuak babesteko betebeharren artean egon daitekeen gatazka ebazteko, bi interesen arteko oreka ziurtatu behar da. Horrela, muga hori aplikatu behar da kaltea ebaluatu aurretik, eta interes publikoa datuak zabaltzean, betiere honako hauek kontuan hartuz:</w:t>
      </w:r>
    </w:p>
    <w:p w14:paraId="39588985" w14:textId="77777777" w:rsidR="00423919" w:rsidRDefault="00423919" w:rsidP="00423919">
      <w:pPr>
        <w:ind w:left="720"/>
        <w:contextualSpacing/>
        <w:rPr>
          <w:color w:val="000000"/>
          <w:sz w:val="24"/>
          <w:szCs w:val="24"/>
          <w:lang w:val="es-ES_tradnl" w:eastAsia="es-ES_tradnl"/>
        </w:rPr>
      </w:pPr>
    </w:p>
    <w:p w14:paraId="755BC5C6" w14:textId="77777777" w:rsidR="00F17813" w:rsidRDefault="00F17813" w:rsidP="00423919">
      <w:pPr>
        <w:ind w:left="720"/>
        <w:contextualSpacing/>
        <w:rPr>
          <w:color w:val="000000"/>
          <w:sz w:val="24"/>
          <w:szCs w:val="24"/>
          <w:lang w:val="es-ES_tradnl" w:eastAsia="es-ES_tradnl"/>
        </w:rPr>
      </w:pPr>
    </w:p>
    <w:p w14:paraId="2CCA736E" w14:textId="77777777" w:rsidR="00F17813" w:rsidRDefault="00F17813" w:rsidP="00423919">
      <w:pPr>
        <w:ind w:left="720"/>
        <w:contextualSpacing/>
        <w:rPr>
          <w:color w:val="000000"/>
          <w:sz w:val="24"/>
          <w:szCs w:val="24"/>
          <w:lang w:val="es-ES_tradnl" w:eastAsia="es-ES_tradnl"/>
        </w:rPr>
      </w:pPr>
    </w:p>
    <w:p w14:paraId="3E721477" w14:textId="77777777" w:rsidR="00F17813" w:rsidRDefault="00F17813" w:rsidP="00423919">
      <w:pPr>
        <w:ind w:left="720"/>
        <w:contextualSpacing/>
        <w:rPr>
          <w:color w:val="000000"/>
          <w:sz w:val="24"/>
          <w:szCs w:val="24"/>
          <w:lang w:val="es-ES_tradnl" w:eastAsia="es-ES_tradnl"/>
        </w:rPr>
      </w:pPr>
    </w:p>
    <w:p w14:paraId="2D2EE61D" w14:textId="77777777" w:rsidR="00F17813" w:rsidRDefault="00F17813" w:rsidP="00423919">
      <w:pPr>
        <w:ind w:left="720"/>
        <w:contextualSpacing/>
        <w:rPr>
          <w:color w:val="000000"/>
          <w:sz w:val="24"/>
          <w:szCs w:val="24"/>
          <w:lang w:val="es-ES_tradnl" w:eastAsia="es-ES_tradnl"/>
        </w:rPr>
      </w:pPr>
    </w:p>
    <w:p w14:paraId="2D8FE0C7" w14:textId="77777777" w:rsidR="00F17813" w:rsidRDefault="00F17813" w:rsidP="00423919">
      <w:pPr>
        <w:ind w:left="720"/>
        <w:contextualSpacing/>
        <w:rPr>
          <w:color w:val="000000"/>
          <w:sz w:val="24"/>
          <w:szCs w:val="24"/>
          <w:lang w:val="es-ES_tradnl" w:eastAsia="es-ES_tradnl"/>
        </w:rPr>
      </w:pPr>
    </w:p>
    <w:p w14:paraId="6BDED820" w14:textId="77777777" w:rsidR="00F17813" w:rsidRPr="00423919" w:rsidRDefault="00F17813" w:rsidP="00423919">
      <w:pPr>
        <w:ind w:left="720"/>
        <w:contextualSpacing/>
        <w:rPr>
          <w:color w:val="000000"/>
          <w:sz w:val="24"/>
          <w:szCs w:val="24"/>
          <w:lang w:val="es-ES_tradnl" w:eastAsia="es-ES_tradnl"/>
        </w:rPr>
      </w:pPr>
    </w:p>
    <w:p w14:paraId="14A07376" w14:textId="77777777" w:rsidR="00423919" w:rsidRPr="00423919" w:rsidRDefault="00423919" w:rsidP="00423919">
      <w:pPr>
        <w:ind w:left="360"/>
        <w:contextualSpacing/>
        <w:jc w:val="both"/>
        <w:rPr>
          <w:sz w:val="24"/>
          <w:szCs w:val="24"/>
          <w:lang w:val="eu-ES"/>
        </w:rPr>
      </w:pPr>
      <w:r w:rsidRPr="00423919">
        <w:rPr>
          <w:sz w:val="24"/>
          <w:szCs w:val="24"/>
          <w:lang w:val="eu-ES"/>
        </w:rPr>
        <w:lastRenderedPageBreak/>
        <w:t xml:space="preserve">Lehendabizi, eskatzen diren datuak ez ditu bereziki babesten datuen babesari buruzko arautegiak, izan ere, ez dira ideologia, sindikatu afiliazio, erlijio, sinesmen, arraza jatorri, osasun, sexu bizitza edo zigor edo administrazio arau-hausteei buruzkoak. Bigarrenik, eskatutako datuak dagokion organo edo erakundearen antolaketa, funtzionamendu edo jarduera publikoarekin zerikusia duten datutzat har daitezkeen erabakiari dagokionez, ezin da ondorioztatu halakotzat har daitezkeenik. Hain zuzen ere eragindako datu pertsonalak ez dira erakundearen kide bati buruzkoak, eta eskaera jaso zuen erakundeak duen informazioa bada ere, ez dago zorrozki lotuta bere jarduera publikoarekin. Halakotzat hartzen dira esleituta dituen eginkizunak edo eskumenak. </w:t>
      </w:r>
    </w:p>
    <w:p w14:paraId="6A7A2C90" w14:textId="77777777" w:rsidR="00423919" w:rsidRPr="00423919" w:rsidRDefault="00423919" w:rsidP="00423919">
      <w:pPr>
        <w:ind w:left="360"/>
        <w:contextualSpacing/>
        <w:jc w:val="both"/>
        <w:rPr>
          <w:sz w:val="24"/>
          <w:szCs w:val="24"/>
          <w:lang w:val="eu-ES"/>
        </w:rPr>
      </w:pPr>
    </w:p>
    <w:p w14:paraId="6C0C8114" w14:textId="77777777" w:rsidR="00423919" w:rsidRPr="00423919" w:rsidRDefault="00423919" w:rsidP="00423919">
      <w:pPr>
        <w:ind w:left="360"/>
        <w:contextualSpacing/>
        <w:jc w:val="both"/>
        <w:rPr>
          <w:color w:val="000000"/>
          <w:sz w:val="24"/>
          <w:szCs w:val="24"/>
          <w:lang w:val="eu-ES"/>
        </w:rPr>
      </w:pPr>
      <w:r w:rsidRPr="00423919">
        <w:rPr>
          <w:sz w:val="24"/>
          <w:szCs w:val="24"/>
          <w:lang w:val="eu-ES"/>
        </w:rPr>
        <w:t>Beraz, 19/2013 Legearen 15. artikuluko 3. atalean berariaz adierazten den haztapena egin behar da. Horrela, administrazio publikoak eskatutako informazioa eman ahalko du, eskaera haztatzean hau ezartzen badu:  i) Espainiako Ondare Historikoari buruzko ekainaren 25eko 16/1985 Legearen 57. artikuluan ezarritako epeek eragindakoei kalterik txikiena egitea; ii) eskatzailea ikertzailea izatea eta xede historiko, zientifiko edo estatistikoekin eskuratzea datuak; iii) datuak, identifikazio datuak edo harremanetan jartzeko besterik ez izatea, eta eragindakoen interesari kalte handirik ez egitea; iv)</w:t>
      </w:r>
      <w:r w:rsidRPr="00423919">
        <w:rPr>
          <w:color w:val="000000"/>
          <w:sz w:val="24"/>
          <w:szCs w:val="24"/>
          <w:lang w:val="eu-ES"/>
        </w:rPr>
        <w:t xml:space="preserve"> eragindakoen eskubideei berme handiagoa ematea agirian jasotzen diren datuek haien intimitateari edo segurtasunari kalte egiten badiote, edo adingabeei buruzkoak badira.</w:t>
      </w:r>
    </w:p>
    <w:p w14:paraId="36C0C444" w14:textId="159DC196" w:rsidR="00423919" w:rsidRPr="00423919" w:rsidRDefault="005131FB" w:rsidP="00423919">
      <w:pPr>
        <w:shd w:val="clear" w:color="auto" w:fill="FFFFFF"/>
        <w:spacing w:before="180" w:after="180"/>
        <w:ind w:firstLine="360"/>
        <w:jc w:val="both"/>
        <w:rPr>
          <w:color w:val="000000"/>
          <w:sz w:val="24"/>
          <w:szCs w:val="24"/>
        </w:rPr>
      </w:pPr>
      <w:r w:rsidRPr="005131FB">
        <w:rPr>
          <w:color w:val="000000"/>
          <w:sz w:val="24"/>
          <w:szCs w:val="24"/>
          <w:highlight w:val="black"/>
          <w:lang w:val="eu-ES"/>
        </w:rPr>
        <w:t>XXXXX</w:t>
      </w:r>
      <w:r w:rsidR="00423919" w:rsidRPr="00423919">
        <w:rPr>
          <w:color w:val="000000"/>
          <w:sz w:val="24"/>
          <w:szCs w:val="24"/>
          <w:lang w:val="eu-ES"/>
        </w:rPr>
        <w:t xml:space="preserve"> eskaerari dagokionez, haztapen hori eginda, esan behar dugu: </w:t>
      </w:r>
    </w:p>
    <w:p w14:paraId="1C36430A" w14:textId="77777777" w:rsidR="00423919" w:rsidRPr="00423919" w:rsidRDefault="00423919" w:rsidP="00423919">
      <w:pPr>
        <w:numPr>
          <w:ilvl w:val="0"/>
          <w:numId w:val="48"/>
        </w:numPr>
        <w:shd w:val="clear" w:color="auto" w:fill="FFFFFF"/>
        <w:spacing w:before="180" w:after="180"/>
        <w:jc w:val="both"/>
        <w:rPr>
          <w:color w:val="000000"/>
          <w:sz w:val="24"/>
          <w:szCs w:val="24"/>
        </w:rPr>
      </w:pPr>
      <w:r w:rsidRPr="00423919">
        <w:rPr>
          <w:sz w:val="24"/>
          <w:szCs w:val="24"/>
          <w:lang w:val="eu-ES"/>
        </w:rPr>
        <w:t>Eskatutako datuak ez direla identifikazio datuak eta harremanetarako datuak soilik.</w:t>
      </w:r>
    </w:p>
    <w:p w14:paraId="68B6A468" w14:textId="77777777" w:rsidR="00423919" w:rsidRPr="00423919" w:rsidRDefault="00423919" w:rsidP="00423919">
      <w:pPr>
        <w:numPr>
          <w:ilvl w:val="0"/>
          <w:numId w:val="48"/>
        </w:numPr>
        <w:shd w:val="clear" w:color="auto" w:fill="FFFFFF"/>
        <w:spacing w:before="180" w:after="180"/>
        <w:jc w:val="both"/>
        <w:rPr>
          <w:color w:val="000000"/>
          <w:sz w:val="24"/>
          <w:szCs w:val="24"/>
        </w:rPr>
      </w:pPr>
      <w:r w:rsidRPr="00423919">
        <w:rPr>
          <w:sz w:val="24"/>
          <w:szCs w:val="24"/>
          <w:lang w:val="eu-ES"/>
        </w:rPr>
        <w:t xml:space="preserve">Seigarren atalean azaldu den moduan, eskatzaileak ez du interes legitimo eta zuzenik, edo herritar gisa duen bestelako eskubide subjektiborik. </w:t>
      </w:r>
    </w:p>
    <w:p w14:paraId="41CE1873" w14:textId="77777777" w:rsidR="00423919" w:rsidRPr="00423919" w:rsidRDefault="00423919" w:rsidP="00423919">
      <w:pPr>
        <w:numPr>
          <w:ilvl w:val="0"/>
          <w:numId w:val="48"/>
        </w:numPr>
        <w:shd w:val="clear" w:color="auto" w:fill="FFFFFF"/>
        <w:spacing w:before="180" w:after="180"/>
        <w:jc w:val="both"/>
        <w:rPr>
          <w:rFonts w:ascii="Verdana" w:hAnsi="Verdana"/>
          <w:color w:val="000000"/>
          <w:sz w:val="24"/>
          <w:szCs w:val="24"/>
        </w:rPr>
      </w:pPr>
      <w:r w:rsidRPr="00423919">
        <w:rPr>
          <w:sz w:val="24"/>
          <w:szCs w:val="24"/>
          <w:lang w:val="eu-ES"/>
        </w:rPr>
        <w:t>Bestalde, erreklamatzaileak ez du egiaztatzen ikertzailea denik, edo datuak xede historiko, zientifiko edo estatistikoekin nahi duenik.</w:t>
      </w:r>
    </w:p>
    <w:p w14:paraId="1A8CD87C" w14:textId="77777777" w:rsidR="00423919" w:rsidRPr="006B0AC8" w:rsidRDefault="00423919" w:rsidP="00423919">
      <w:pPr>
        <w:numPr>
          <w:ilvl w:val="0"/>
          <w:numId w:val="48"/>
        </w:numPr>
        <w:shd w:val="clear" w:color="auto" w:fill="FFFFFF"/>
        <w:spacing w:before="180" w:beforeAutospacing="1" w:after="180" w:afterAutospacing="1"/>
        <w:jc w:val="both"/>
        <w:rPr>
          <w:sz w:val="24"/>
          <w:szCs w:val="24"/>
        </w:rPr>
      </w:pPr>
      <w:r w:rsidRPr="00423919">
        <w:rPr>
          <w:sz w:val="24"/>
          <w:szCs w:val="24"/>
          <w:lang w:val="eu-ES"/>
        </w:rPr>
        <w:t xml:space="preserve">16/1985 Legearen 57. artikuluan ezarritako epeak igarotzeak eragindakoei kalterik txikiena egiteari dagokionez, agiria edo informazioa ematen den egunetik hasita, erreklamatzaileak 2017an egindako enpresa eta ekonomia zientzien kategoriako lanpostuak eskuratzeko hautaketa prozesu bati buruzko informazioa eskatzen duela kontuan hartuz, gure ustez ez dira egiaztatuta geratu epe horiek -hiltzen denetik hogeita bost urtekoa dena, data ezagutzen bada, edo bestela, berrogeita hamar urtekoa, agirien data jakiten denetik-. Horren aurrean, bigarren ariketa gainditu zuten hautagaien datu pertsonalak ematea kalte-ordaina izan daiteke eragindako pertsonentzat haien intimitatean. </w:t>
      </w:r>
    </w:p>
    <w:p w14:paraId="2918F055" w14:textId="77777777" w:rsidR="006B0AC8" w:rsidRDefault="006B0AC8" w:rsidP="006B0AC8">
      <w:pPr>
        <w:shd w:val="clear" w:color="auto" w:fill="FFFFFF"/>
        <w:spacing w:before="180" w:beforeAutospacing="1" w:after="180" w:afterAutospacing="1"/>
        <w:jc w:val="both"/>
        <w:rPr>
          <w:sz w:val="24"/>
          <w:szCs w:val="24"/>
          <w:lang w:val="eu-ES"/>
        </w:rPr>
      </w:pPr>
    </w:p>
    <w:p w14:paraId="79A25EDF" w14:textId="77777777" w:rsidR="006B0AC8" w:rsidRPr="00423919" w:rsidRDefault="006B0AC8" w:rsidP="006B0AC8">
      <w:pPr>
        <w:shd w:val="clear" w:color="auto" w:fill="FFFFFF"/>
        <w:spacing w:before="180" w:beforeAutospacing="1" w:after="180" w:afterAutospacing="1"/>
        <w:jc w:val="both"/>
        <w:rPr>
          <w:sz w:val="24"/>
          <w:szCs w:val="24"/>
        </w:rPr>
      </w:pPr>
    </w:p>
    <w:p w14:paraId="2859C552" w14:textId="77777777" w:rsidR="00423919" w:rsidRPr="00423919" w:rsidRDefault="00423919" w:rsidP="00423919">
      <w:pPr>
        <w:shd w:val="clear" w:color="auto" w:fill="FFFFFF"/>
        <w:spacing w:before="180" w:after="180"/>
        <w:ind w:left="284"/>
        <w:jc w:val="both"/>
        <w:rPr>
          <w:sz w:val="24"/>
          <w:szCs w:val="24"/>
        </w:rPr>
      </w:pPr>
      <w:r w:rsidRPr="00423919">
        <w:rPr>
          <w:sz w:val="24"/>
          <w:szCs w:val="24"/>
          <w:lang w:val="eu-ES"/>
        </w:rPr>
        <w:lastRenderedPageBreak/>
        <w:t xml:space="preserve">Horregatik guztiagatik, Foru Kontseilu honen ustez, ez da bidezkoa proba hori gainditu zuten bederatzi pertsonen bigarren ariketaren kopia ematea, ez dagoelako informazio publikoa eskuratzearen aurrean datuak babesteko eskubidea urratzeko interes publiko edo pribatu handiagorik. </w:t>
      </w:r>
    </w:p>
    <w:p w14:paraId="16F39E14" w14:textId="77777777" w:rsidR="00423919" w:rsidRPr="00423919" w:rsidRDefault="00423919" w:rsidP="00423919">
      <w:pPr>
        <w:shd w:val="clear" w:color="auto" w:fill="FFFFFF"/>
        <w:spacing w:before="180" w:after="180"/>
        <w:ind w:left="284"/>
        <w:jc w:val="both"/>
        <w:rPr>
          <w:rFonts w:ascii="Verdana" w:hAnsi="Verdana"/>
          <w:color w:val="000000"/>
          <w:sz w:val="24"/>
          <w:szCs w:val="24"/>
        </w:rPr>
      </w:pPr>
    </w:p>
    <w:p w14:paraId="1B041D17" w14:textId="5A479F4D" w:rsidR="00423919" w:rsidRPr="00423919" w:rsidRDefault="00B739C3" w:rsidP="00423919">
      <w:pPr>
        <w:shd w:val="clear" w:color="auto" w:fill="FFFFFF"/>
        <w:spacing w:before="180" w:after="180"/>
        <w:ind w:left="360"/>
        <w:jc w:val="both"/>
        <w:rPr>
          <w:sz w:val="24"/>
          <w:szCs w:val="24"/>
        </w:rPr>
      </w:pPr>
      <w:r>
        <w:rPr>
          <w:sz w:val="24"/>
          <w:szCs w:val="24"/>
          <w:lang w:val="eu-ES"/>
        </w:rPr>
        <w:t xml:space="preserve">8. </w:t>
      </w:r>
      <w:r w:rsidR="00423919" w:rsidRPr="00423919">
        <w:rPr>
          <w:sz w:val="24"/>
          <w:szCs w:val="24"/>
          <w:lang w:val="eu-ES"/>
        </w:rPr>
        <w:t xml:space="preserve">Datu pertsonalak bereizita emateko aukerari dagokionez, GIPEGOLren 15.4. artikuluan ezarritakoa, ez du guztiz bermatzen, berez, azterketak diren datu pertsonalak ez direla emango, izan ere, azterketen agirian haien izen-abizenak ez badira agertzen ere, kontuan hartu behar dugu eskaera azken proba hori gainditu zuten hautagaietara bakarrik mugatzen dela, eta ariketa bakoitza gainditu zuten hautagaien zerrenda argitaratu zela. </w:t>
      </w:r>
    </w:p>
    <w:p w14:paraId="07DCBB33" w14:textId="77777777" w:rsidR="00423919" w:rsidRPr="00423919" w:rsidRDefault="00423919" w:rsidP="00423919">
      <w:pPr>
        <w:shd w:val="clear" w:color="auto" w:fill="FFFFFF"/>
        <w:spacing w:before="180" w:after="180"/>
        <w:ind w:left="284"/>
        <w:jc w:val="both"/>
        <w:rPr>
          <w:sz w:val="24"/>
          <w:szCs w:val="24"/>
          <w:lang w:val="eu-ES"/>
        </w:rPr>
      </w:pPr>
      <w:r w:rsidRPr="00423919">
        <w:rPr>
          <w:sz w:val="24"/>
          <w:szCs w:val="24"/>
          <w:lang w:val="eu-ES"/>
        </w:rPr>
        <w:t>Bestalde, erreklamatzaileak salatutako gertaerari dagokionez, GIPEGOLren 19.3. artikuluan ezarritako entzunaldiaren izapidea alde batera utziko balitz, eragindako hautagaien berariazko baimena eskatzeko helburuarekin, kontseilua ez dator bat bere iritzia ematearekin, norberaren, familiaren eta gizarte datuen zabaltzea ezarritakoak arautzen duelako, eta ez arau horretan, baizik eta GIPEGOLren 15. artikuluan. Beraz, haiek dituzten agiriak eskuratzea eskatzen denean, eskaera egiten dioten organoak biltzen diren eskubide eta interesak haztatu ondoren ebatzi beharko du, eragindakoaren berariazko baimena jaso behar izan gabe.</w:t>
      </w:r>
    </w:p>
    <w:p w14:paraId="3A063DB6" w14:textId="0778A09A" w:rsidR="00423919" w:rsidRPr="00423919" w:rsidRDefault="009F2756" w:rsidP="00423919">
      <w:pPr>
        <w:suppressAutoHyphens/>
        <w:autoSpaceDN w:val="0"/>
        <w:jc w:val="both"/>
        <w:textAlignment w:val="baseline"/>
        <w:rPr>
          <w:sz w:val="24"/>
          <w:szCs w:val="24"/>
          <w:lang w:val="eu-ES"/>
        </w:rPr>
      </w:pPr>
      <w:r>
        <w:rPr>
          <w:sz w:val="24"/>
          <w:szCs w:val="24"/>
          <w:lang w:val="eu-ES"/>
        </w:rPr>
        <w:t xml:space="preserve">9. </w:t>
      </w:r>
      <w:r w:rsidR="00423919" w:rsidRPr="00423919">
        <w:rPr>
          <w:sz w:val="24"/>
          <w:szCs w:val="24"/>
          <w:lang w:val="eu-ES"/>
        </w:rPr>
        <w:t>Aurrekoa ikusita, 15. artikuluan muga jasotzearen ondorioz, ez onartzeko arrazoia ez denez aztertu behar, Lege honen gardentasun xedearekin bat, justifikatu gabeko abusuzko eskaera delako, haren aipamena egingo da.</w:t>
      </w:r>
    </w:p>
    <w:p w14:paraId="1C7A5313" w14:textId="77777777" w:rsidR="00423919" w:rsidRPr="00423919" w:rsidRDefault="00423919" w:rsidP="00423919">
      <w:pPr>
        <w:suppressAutoHyphens/>
        <w:autoSpaceDN w:val="0"/>
        <w:jc w:val="both"/>
        <w:textAlignment w:val="baseline"/>
        <w:rPr>
          <w:sz w:val="24"/>
          <w:szCs w:val="24"/>
          <w:lang w:val="eu-ES"/>
        </w:rPr>
      </w:pPr>
    </w:p>
    <w:p w14:paraId="1BD1BF38" w14:textId="77777777" w:rsidR="00423919" w:rsidRPr="00423919" w:rsidRDefault="00423919" w:rsidP="00962B5A">
      <w:pPr>
        <w:suppressAutoHyphens/>
        <w:autoSpaceDN w:val="0"/>
        <w:jc w:val="both"/>
        <w:textAlignment w:val="baseline"/>
        <w:rPr>
          <w:sz w:val="24"/>
          <w:szCs w:val="24"/>
          <w:lang w:val="eu-ES"/>
        </w:rPr>
      </w:pPr>
      <w:r w:rsidRPr="00423919">
        <w:rPr>
          <w:sz w:val="24"/>
          <w:szCs w:val="24"/>
          <w:lang w:val="eu-ES"/>
        </w:rPr>
        <w:t>Lehendabizi, ez dugu ahaztu behar Auzitegi Gorenaren jurisprudentziak informazio eskaerak ez onartzeko arrazoien interpretazio zorrotza eskatzen duela, murriztailea ez bada ere, eta horretarako, informazio publikoa eskuratzeko eskubidearen legezko konfigurazioan eta ezagutzan formulazio zabalaren premisatik abiatzen da. Horrela, eskubidearen justifikatu gabeko eta neurriz kanpoko kaltea ekartzen duten mugak ez ditu onartzen (2017ko urriaren 16ko AGE).</w:t>
      </w:r>
    </w:p>
    <w:p w14:paraId="58A18D7A" w14:textId="77777777" w:rsidR="00423919" w:rsidRPr="00423919" w:rsidRDefault="00423919" w:rsidP="00423919">
      <w:pPr>
        <w:suppressAutoHyphens/>
        <w:autoSpaceDN w:val="0"/>
        <w:jc w:val="both"/>
        <w:textAlignment w:val="baseline"/>
        <w:rPr>
          <w:sz w:val="24"/>
          <w:szCs w:val="24"/>
          <w:lang w:val="eu-ES"/>
        </w:rPr>
      </w:pPr>
    </w:p>
    <w:p w14:paraId="48BD5BC2" w14:textId="77777777" w:rsidR="00423919" w:rsidRPr="00423919" w:rsidRDefault="00423919" w:rsidP="00962B5A">
      <w:pPr>
        <w:suppressAutoHyphens/>
        <w:autoSpaceDN w:val="0"/>
        <w:jc w:val="both"/>
        <w:textAlignment w:val="baseline"/>
        <w:rPr>
          <w:i/>
          <w:iCs/>
          <w:sz w:val="24"/>
          <w:szCs w:val="24"/>
          <w:lang w:val="eu-ES"/>
        </w:rPr>
      </w:pPr>
      <w:r w:rsidRPr="00423919">
        <w:rPr>
          <w:sz w:val="24"/>
          <w:szCs w:val="24"/>
          <w:lang w:val="eu-ES"/>
        </w:rPr>
        <w:t>Bereziki, GIPEGOLren 18.1.e). artikuluan ezarritako arrazoia dagoenean, Auzitegi Gorenak adierazi du interes pribatu bati jarraitzea ez dela legea ez onartzeko arrazoitzat hartzen, beraz, ezin da horretan oinarritu informazio publikoa eskuratzeko eskubidea ukatzeko. Zehazki, 2020ko azaroaren 12ko AGEn, lehendabizi gogoratzen da “</w:t>
      </w:r>
      <w:r w:rsidRPr="00423919">
        <w:rPr>
          <w:i/>
          <w:iCs/>
          <w:sz w:val="24"/>
          <w:szCs w:val="24"/>
          <w:lang w:val="eu-ES"/>
        </w:rPr>
        <w:t>aztertutako GIPEGOLren 12. artikuluak ezarritako muga subjektiboan ez dela aipatzen interes publikoarengatik eskuratzeko eskaerak baztertzea</w:t>
      </w:r>
      <w:r w:rsidRPr="00423919">
        <w:rPr>
          <w:sz w:val="24"/>
          <w:szCs w:val="24"/>
          <w:lang w:val="eu-ES"/>
        </w:rPr>
        <w:t>”. Bestalde, jarraian gaineratzen du “</w:t>
      </w:r>
      <w:r w:rsidRPr="00423919">
        <w:rPr>
          <w:i/>
          <w:iCs/>
          <w:sz w:val="24"/>
          <w:szCs w:val="24"/>
          <w:lang w:val="eu-ES"/>
        </w:rPr>
        <w:t>GIPEGOLren 13. artikuluak definituta informazio publikoaren kontzeptuak, (…) ez duela bereizten eskaera aurkezten den interes publiko edo pribatuaren arabera</w:t>
      </w:r>
      <w:r w:rsidRPr="00423919">
        <w:rPr>
          <w:sz w:val="24"/>
          <w:szCs w:val="24"/>
          <w:lang w:val="eu-ES"/>
        </w:rPr>
        <w:t>” eta azkenik, azpimarratu egiten du interes pribatua ezin dela mugatu GIPEGOLren 18.1.e) artikuluan ezarritako ez onartzeko arrazoira, “</w:t>
      </w:r>
      <w:r w:rsidRPr="00423919">
        <w:rPr>
          <w:i/>
          <w:iCs/>
          <w:sz w:val="24"/>
          <w:szCs w:val="24"/>
          <w:lang w:val="eu-ES"/>
        </w:rPr>
        <w:t>GIPEGOLren 18.1.e) artikuluan jasotzen den ez onartzeko arrazoiak bi baldintza eskatzen dituelako: eskaera abusuzkoa izatea eta legearen gardetasun xedearen arabera ez justifikatzea, eskuratzea ukatu duten ebazpenek abusuzko jokabidearen baldintza kontuan ez hartu arren. Kasu honetan ez da halakorik ikusten.”</w:t>
      </w:r>
    </w:p>
    <w:p w14:paraId="23760489" w14:textId="77777777" w:rsidR="00423919" w:rsidRPr="00423919" w:rsidRDefault="00423919" w:rsidP="00423919">
      <w:pPr>
        <w:suppressAutoHyphens/>
        <w:autoSpaceDN w:val="0"/>
        <w:ind w:left="360"/>
        <w:jc w:val="both"/>
        <w:textAlignment w:val="baseline"/>
        <w:rPr>
          <w:i/>
          <w:iCs/>
          <w:sz w:val="24"/>
          <w:szCs w:val="24"/>
          <w:lang w:val="eu-ES"/>
        </w:rPr>
      </w:pPr>
    </w:p>
    <w:p w14:paraId="7AF5B595" w14:textId="77777777" w:rsidR="002D6CA1" w:rsidRDefault="002D6CA1" w:rsidP="00423919">
      <w:pPr>
        <w:suppressAutoHyphens/>
        <w:autoSpaceDN w:val="0"/>
        <w:ind w:left="360"/>
        <w:jc w:val="both"/>
        <w:textAlignment w:val="baseline"/>
        <w:rPr>
          <w:sz w:val="24"/>
          <w:szCs w:val="24"/>
          <w:lang w:val="eu-ES"/>
        </w:rPr>
      </w:pPr>
    </w:p>
    <w:p w14:paraId="2FE52738" w14:textId="77777777" w:rsidR="002D6CA1" w:rsidRDefault="002D6CA1" w:rsidP="00423919">
      <w:pPr>
        <w:suppressAutoHyphens/>
        <w:autoSpaceDN w:val="0"/>
        <w:ind w:left="360"/>
        <w:jc w:val="both"/>
        <w:textAlignment w:val="baseline"/>
        <w:rPr>
          <w:sz w:val="24"/>
          <w:szCs w:val="24"/>
          <w:lang w:val="eu-ES"/>
        </w:rPr>
      </w:pPr>
    </w:p>
    <w:p w14:paraId="2C668B74" w14:textId="77777777" w:rsidR="00A442B9" w:rsidRDefault="00A442B9" w:rsidP="00423919">
      <w:pPr>
        <w:suppressAutoHyphens/>
        <w:autoSpaceDN w:val="0"/>
        <w:ind w:left="360"/>
        <w:jc w:val="both"/>
        <w:textAlignment w:val="baseline"/>
        <w:rPr>
          <w:sz w:val="24"/>
          <w:szCs w:val="24"/>
          <w:lang w:val="eu-ES"/>
        </w:rPr>
      </w:pPr>
    </w:p>
    <w:p w14:paraId="480FACD8" w14:textId="77777777" w:rsidR="00BA761A" w:rsidRDefault="00BA761A" w:rsidP="00423919">
      <w:pPr>
        <w:suppressAutoHyphens/>
        <w:autoSpaceDN w:val="0"/>
        <w:ind w:left="360"/>
        <w:jc w:val="both"/>
        <w:textAlignment w:val="baseline"/>
        <w:rPr>
          <w:sz w:val="24"/>
          <w:szCs w:val="24"/>
          <w:lang w:val="eu-ES"/>
        </w:rPr>
      </w:pPr>
    </w:p>
    <w:p w14:paraId="29EC7A36" w14:textId="77777777" w:rsidR="00BA761A" w:rsidRDefault="00BA761A" w:rsidP="00423919">
      <w:pPr>
        <w:suppressAutoHyphens/>
        <w:autoSpaceDN w:val="0"/>
        <w:ind w:left="360"/>
        <w:jc w:val="both"/>
        <w:textAlignment w:val="baseline"/>
        <w:rPr>
          <w:sz w:val="24"/>
          <w:szCs w:val="24"/>
          <w:lang w:val="eu-ES"/>
        </w:rPr>
      </w:pPr>
    </w:p>
    <w:p w14:paraId="1143F373" w14:textId="77777777" w:rsidR="00BA761A" w:rsidRDefault="00BA761A" w:rsidP="00423919">
      <w:pPr>
        <w:suppressAutoHyphens/>
        <w:autoSpaceDN w:val="0"/>
        <w:ind w:left="360"/>
        <w:jc w:val="both"/>
        <w:textAlignment w:val="baseline"/>
        <w:rPr>
          <w:sz w:val="24"/>
          <w:szCs w:val="24"/>
          <w:lang w:val="eu-ES"/>
        </w:rPr>
      </w:pPr>
    </w:p>
    <w:p w14:paraId="6ED1CF05" w14:textId="77777777" w:rsidR="00BA761A" w:rsidRDefault="00BA761A" w:rsidP="00423919">
      <w:pPr>
        <w:suppressAutoHyphens/>
        <w:autoSpaceDN w:val="0"/>
        <w:ind w:left="360"/>
        <w:jc w:val="both"/>
        <w:textAlignment w:val="baseline"/>
        <w:rPr>
          <w:sz w:val="24"/>
          <w:szCs w:val="24"/>
          <w:lang w:val="eu-ES"/>
        </w:rPr>
      </w:pPr>
    </w:p>
    <w:p w14:paraId="52406264" w14:textId="77777777" w:rsidR="00BA761A" w:rsidRDefault="00BA761A" w:rsidP="00423919">
      <w:pPr>
        <w:suppressAutoHyphens/>
        <w:autoSpaceDN w:val="0"/>
        <w:ind w:left="360"/>
        <w:jc w:val="both"/>
        <w:textAlignment w:val="baseline"/>
        <w:rPr>
          <w:sz w:val="24"/>
          <w:szCs w:val="24"/>
          <w:lang w:val="eu-ES"/>
        </w:rPr>
      </w:pPr>
    </w:p>
    <w:p w14:paraId="0198B432" w14:textId="0021D149" w:rsidR="00423919" w:rsidRPr="00423919" w:rsidRDefault="00423919" w:rsidP="00423919">
      <w:pPr>
        <w:suppressAutoHyphens/>
        <w:autoSpaceDN w:val="0"/>
        <w:ind w:left="360"/>
        <w:jc w:val="both"/>
        <w:textAlignment w:val="baseline"/>
        <w:rPr>
          <w:sz w:val="24"/>
          <w:szCs w:val="24"/>
        </w:rPr>
      </w:pPr>
      <w:r w:rsidRPr="00423919">
        <w:rPr>
          <w:sz w:val="24"/>
          <w:szCs w:val="24"/>
          <w:lang w:val="eu-ES"/>
        </w:rPr>
        <w:t>Hemen aztertutako kasuan, hautaketa prozesu jakin baten probak prestatzeko informazioa lortzean erreklamatzaileak duen interes pribatua ez nahitaez ez onartzeko arrazoia.   Eta horrela ulertu du Auzitegi Gorenak, besteak beste, 2020ko azaroaren 12ko epaian, ez duelako bereizketarik egiten eskaerak agertzen duen interes publiko edo pribatuaren arabera. Azkenik, azpimarratu egiten du interes pribatu hutsa ezin dela mugatu GIPEGOLren 18.1e) artikuluan ezarritako ez onartzeko arrazoira, “</w:t>
      </w:r>
      <w:r w:rsidRPr="00423919">
        <w:rPr>
          <w:i/>
          <w:iCs/>
          <w:sz w:val="24"/>
          <w:szCs w:val="24"/>
          <w:lang w:val="eu-ES"/>
        </w:rPr>
        <w:t>GIPEGOLren 18.1.e) artikuluko ez onartzeko arrazoiak bi baldintza eskatzen dituelako: eskaera abusuzkoa izatea eta legearen gardentasun xedearen arabera ez justifikatzea, eskuratzea ukatu duten ebazpenek abusuzko jokabidearen baldintza kontuan ez hartu arren. Kasu honetan ez da halakorik ikusten</w:t>
      </w:r>
      <w:r w:rsidRPr="00423919">
        <w:rPr>
          <w:sz w:val="24"/>
          <w:szCs w:val="24"/>
          <w:lang w:val="eu-ES"/>
        </w:rPr>
        <w:t>”.</w:t>
      </w:r>
    </w:p>
    <w:p w14:paraId="5A458D06" w14:textId="77777777" w:rsidR="00423919" w:rsidRPr="00423919" w:rsidRDefault="00423919" w:rsidP="00423919">
      <w:pPr>
        <w:suppressAutoHyphens/>
        <w:autoSpaceDN w:val="0"/>
        <w:jc w:val="both"/>
        <w:textAlignment w:val="baseline"/>
        <w:rPr>
          <w:i/>
          <w:iCs/>
          <w:sz w:val="24"/>
          <w:szCs w:val="24"/>
        </w:rPr>
      </w:pPr>
      <w:r w:rsidRPr="00423919">
        <w:rPr>
          <w:i/>
          <w:iCs/>
          <w:sz w:val="24"/>
          <w:szCs w:val="24"/>
        </w:rPr>
        <w:tab/>
      </w:r>
    </w:p>
    <w:p w14:paraId="393FF520" w14:textId="77777777" w:rsidR="00423919" w:rsidRPr="00423919" w:rsidRDefault="00423919" w:rsidP="00423919">
      <w:pPr>
        <w:suppressAutoHyphens/>
        <w:autoSpaceDN w:val="0"/>
        <w:jc w:val="both"/>
        <w:textAlignment w:val="baseline"/>
        <w:rPr>
          <w:sz w:val="24"/>
          <w:szCs w:val="24"/>
        </w:rPr>
      </w:pPr>
    </w:p>
    <w:p w14:paraId="65AB98AD" w14:textId="77777777" w:rsidR="00423919" w:rsidRPr="00423919" w:rsidRDefault="00423919" w:rsidP="00423919">
      <w:pPr>
        <w:suppressAutoHyphens/>
        <w:autoSpaceDN w:val="0"/>
        <w:ind w:left="360"/>
        <w:jc w:val="both"/>
        <w:textAlignment w:val="baseline"/>
        <w:rPr>
          <w:sz w:val="24"/>
          <w:szCs w:val="24"/>
          <w:lang w:val="eu-ES"/>
        </w:rPr>
      </w:pPr>
      <w:r w:rsidRPr="00423919">
        <w:rPr>
          <w:sz w:val="24"/>
          <w:szCs w:val="24"/>
          <w:lang w:val="eu-ES"/>
        </w:rPr>
        <w:t>Dagokigun espedientean hori aplikatu behar dela esateko, uztailaren 14ko 006/2016 interpretazio irizpidean oinarritzen da. Hor, Gardentasunaren Estatu Kontseiluak abusuzko eskaeratzat hartzen ditu Kode Zibilaren 7. artikuluaren arabera, eskubideaz abusatzen dutenak, hau da, aintzat hartzen bada, subjektuen eguneroko jardueraren gainerako kudeaketa eteten duen tratamendua eskatzen badu, bai hirugarrenentzat arriskua denean, bai arauen, ohituren eta fede onaren aurka dagoenean. Gainera, ez dago justifikatuta legearen xedearekin.</w:t>
      </w:r>
    </w:p>
    <w:p w14:paraId="030D0CB4" w14:textId="77777777" w:rsidR="00423919" w:rsidRPr="00423919" w:rsidRDefault="00423919" w:rsidP="00423919">
      <w:pPr>
        <w:suppressAutoHyphens/>
        <w:autoSpaceDN w:val="0"/>
        <w:ind w:left="360"/>
        <w:jc w:val="both"/>
        <w:textAlignment w:val="baseline"/>
        <w:rPr>
          <w:sz w:val="24"/>
          <w:szCs w:val="24"/>
          <w:lang w:val="eu-ES"/>
        </w:rPr>
      </w:pPr>
    </w:p>
    <w:p w14:paraId="26ACFF6D" w14:textId="77777777" w:rsidR="00423919" w:rsidRPr="00423919" w:rsidRDefault="00423919" w:rsidP="00423919">
      <w:pPr>
        <w:suppressAutoHyphens/>
        <w:autoSpaceDN w:val="0"/>
        <w:ind w:left="360"/>
        <w:jc w:val="both"/>
        <w:textAlignment w:val="baseline"/>
        <w:rPr>
          <w:sz w:val="24"/>
          <w:szCs w:val="24"/>
          <w:lang w:val="eu-ES"/>
        </w:rPr>
      </w:pPr>
      <w:r w:rsidRPr="00423919">
        <w:rPr>
          <w:sz w:val="24"/>
          <w:szCs w:val="24"/>
          <w:lang w:val="eu-ES"/>
        </w:rPr>
        <w:t>Zehazkiago, Estatu Kontseiluak aipatutako irizpidean eskatzen duen aurreko arriskuen haztapen arrazoitua egin eta gero, erreklamatzailearen eskaera abusuzkoa dela ondorioztatzen bada, hirugarren eskubideetarako arriskutsua delako.  Hori guztia hirugarrenei egin dakiekeen kaltea eta haien eskubideen arriskua baloratzean, azterketak ikusten uzteak azterketen egileen datu pertsonalen babeserako eta jabetza intelektualerako eskubideetan eragin dezakeela usten da, eta baita administrazioaren eskubideetan eta betebeharretan, ariketak zaintzen dituelako, eta amaitutako administrazio espedientearen titularra delako.</w:t>
      </w:r>
    </w:p>
    <w:p w14:paraId="55CFCE9E" w14:textId="77777777" w:rsidR="00423919" w:rsidRDefault="00423919" w:rsidP="00423919">
      <w:pPr>
        <w:suppressAutoHyphens/>
        <w:autoSpaceDN w:val="0"/>
        <w:ind w:left="360"/>
        <w:jc w:val="both"/>
        <w:textAlignment w:val="baseline"/>
        <w:rPr>
          <w:sz w:val="24"/>
          <w:szCs w:val="24"/>
          <w:lang w:val="eu-ES"/>
        </w:rPr>
      </w:pPr>
    </w:p>
    <w:p w14:paraId="52C6942E" w14:textId="77777777" w:rsidR="00BA761A" w:rsidRDefault="00BA761A" w:rsidP="00423919">
      <w:pPr>
        <w:suppressAutoHyphens/>
        <w:autoSpaceDN w:val="0"/>
        <w:ind w:left="360"/>
        <w:jc w:val="both"/>
        <w:textAlignment w:val="baseline"/>
        <w:rPr>
          <w:sz w:val="24"/>
          <w:szCs w:val="24"/>
          <w:lang w:val="eu-ES"/>
        </w:rPr>
      </w:pPr>
    </w:p>
    <w:p w14:paraId="66E3938B" w14:textId="77777777" w:rsidR="00BA761A" w:rsidRDefault="00BA761A" w:rsidP="00423919">
      <w:pPr>
        <w:suppressAutoHyphens/>
        <w:autoSpaceDN w:val="0"/>
        <w:ind w:left="360"/>
        <w:jc w:val="both"/>
        <w:textAlignment w:val="baseline"/>
        <w:rPr>
          <w:sz w:val="24"/>
          <w:szCs w:val="24"/>
          <w:lang w:val="eu-ES"/>
        </w:rPr>
      </w:pPr>
    </w:p>
    <w:p w14:paraId="74BD5818" w14:textId="77777777" w:rsidR="00BA761A" w:rsidRDefault="00BA761A" w:rsidP="00423919">
      <w:pPr>
        <w:suppressAutoHyphens/>
        <w:autoSpaceDN w:val="0"/>
        <w:ind w:left="360"/>
        <w:jc w:val="both"/>
        <w:textAlignment w:val="baseline"/>
        <w:rPr>
          <w:sz w:val="24"/>
          <w:szCs w:val="24"/>
          <w:lang w:val="eu-ES"/>
        </w:rPr>
      </w:pPr>
    </w:p>
    <w:p w14:paraId="7F589746" w14:textId="77777777" w:rsidR="00BA761A" w:rsidRDefault="00BA761A" w:rsidP="00423919">
      <w:pPr>
        <w:suppressAutoHyphens/>
        <w:autoSpaceDN w:val="0"/>
        <w:ind w:left="360"/>
        <w:jc w:val="both"/>
        <w:textAlignment w:val="baseline"/>
        <w:rPr>
          <w:sz w:val="24"/>
          <w:szCs w:val="24"/>
          <w:lang w:val="eu-ES"/>
        </w:rPr>
      </w:pPr>
    </w:p>
    <w:p w14:paraId="7BE634F0" w14:textId="77777777" w:rsidR="00BA761A" w:rsidRDefault="00BA761A" w:rsidP="00423919">
      <w:pPr>
        <w:suppressAutoHyphens/>
        <w:autoSpaceDN w:val="0"/>
        <w:ind w:left="360"/>
        <w:jc w:val="both"/>
        <w:textAlignment w:val="baseline"/>
        <w:rPr>
          <w:sz w:val="24"/>
          <w:szCs w:val="24"/>
          <w:lang w:val="eu-ES"/>
        </w:rPr>
      </w:pPr>
    </w:p>
    <w:p w14:paraId="481A0401" w14:textId="77777777" w:rsidR="00BA761A" w:rsidRDefault="00BA761A" w:rsidP="00423919">
      <w:pPr>
        <w:suppressAutoHyphens/>
        <w:autoSpaceDN w:val="0"/>
        <w:ind w:left="360"/>
        <w:jc w:val="both"/>
        <w:textAlignment w:val="baseline"/>
        <w:rPr>
          <w:sz w:val="24"/>
          <w:szCs w:val="24"/>
          <w:lang w:val="eu-ES"/>
        </w:rPr>
      </w:pPr>
    </w:p>
    <w:p w14:paraId="2A70DD97" w14:textId="77777777" w:rsidR="00BA761A" w:rsidRPr="00423919" w:rsidRDefault="00BA761A" w:rsidP="00423919">
      <w:pPr>
        <w:suppressAutoHyphens/>
        <w:autoSpaceDN w:val="0"/>
        <w:ind w:left="360"/>
        <w:jc w:val="both"/>
        <w:textAlignment w:val="baseline"/>
        <w:rPr>
          <w:sz w:val="24"/>
          <w:szCs w:val="24"/>
          <w:lang w:val="eu-ES"/>
        </w:rPr>
      </w:pPr>
    </w:p>
    <w:p w14:paraId="203661F6" w14:textId="4CD09D2B" w:rsidR="00423919" w:rsidRPr="00423919" w:rsidRDefault="00423919" w:rsidP="00423919">
      <w:pPr>
        <w:suppressAutoHyphens/>
        <w:autoSpaceDN w:val="0"/>
        <w:ind w:left="360"/>
        <w:jc w:val="both"/>
        <w:textAlignment w:val="baseline"/>
        <w:rPr>
          <w:sz w:val="24"/>
          <w:szCs w:val="24"/>
          <w:lang w:val="eu-ES"/>
        </w:rPr>
      </w:pPr>
      <w:r w:rsidRPr="00423919">
        <w:rPr>
          <w:sz w:val="24"/>
          <w:szCs w:val="24"/>
          <w:lang w:val="eu-ES"/>
        </w:rPr>
        <w:lastRenderedPageBreak/>
        <w:t>Balorazio horri dagokionez, erreklamatzailearentzat bere eskaera ez da abusuzkoa, arrazoi hauengatik: i) bederatzi azterketa emateak ez du administrazioaren jarduera gelditzen; ii) ez du arriskurik hirugarrenen eskubideetan, alde batetik, norgehiagoka dagoen hautaketa prozeduretan ez da eskatzen parte-hartzaileen baimenik onartutako azterketen kopiak emateko, eta bestetik, onartutako pertsonen zerrenda gertaera publikoa izan zen. Beraz, eskatutako dokumentazioa eskuratzeak, eragindako oposiziogileen datu pertsonalen babesean izan dezakeen eragina oso txikia da. Gaineratu du azterketek ez dutela inola ere jabetza intelektualik.</w:t>
      </w:r>
    </w:p>
    <w:p w14:paraId="6158D6AF" w14:textId="77777777" w:rsidR="00423919" w:rsidRPr="00423919" w:rsidRDefault="00423919" w:rsidP="00423919">
      <w:pPr>
        <w:suppressAutoHyphens/>
        <w:autoSpaceDN w:val="0"/>
        <w:ind w:left="360"/>
        <w:jc w:val="both"/>
        <w:textAlignment w:val="baseline"/>
        <w:rPr>
          <w:sz w:val="24"/>
          <w:szCs w:val="24"/>
          <w:lang w:val="eu-ES"/>
        </w:rPr>
      </w:pPr>
    </w:p>
    <w:p w14:paraId="2830D9E2" w14:textId="77777777" w:rsidR="00423919" w:rsidRPr="00423919" w:rsidRDefault="00423919" w:rsidP="00423919">
      <w:pPr>
        <w:suppressAutoHyphens/>
        <w:autoSpaceDN w:val="0"/>
        <w:ind w:left="360"/>
        <w:jc w:val="both"/>
        <w:textAlignment w:val="baseline"/>
        <w:rPr>
          <w:sz w:val="24"/>
          <w:szCs w:val="24"/>
          <w:lang w:val="eu-ES"/>
        </w:rPr>
      </w:pPr>
      <w:r w:rsidRPr="00423919">
        <w:rPr>
          <w:sz w:val="24"/>
          <w:szCs w:val="24"/>
          <w:lang w:val="eu-ES"/>
        </w:rPr>
        <w:t>Bada, kasu honetan, alegatutako ez onartzeko arrazoia argia eta nahikoa ez dela hautematen bada ere, batzuetan, balio-iritzia hipotetikoki egiten delako, hots, ez baieztapen bezala, baizik eta proposamen edo aukera bezala, 7. atalean azaldutako ikusita, behar bezala justifikatuta geratu da eskaerak arriskua ekartzen duela hirugarrenen eskubideetan; zehazkiago, erreklamatzaileak eskatutako ariketak egin zituzten hautagaien datu pertsonalen babeserako eskubidean.</w:t>
      </w:r>
    </w:p>
    <w:p w14:paraId="75237290" w14:textId="77777777" w:rsidR="00423919" w:rsidRPr="00423919" w:rsidRDefault="00423919" w:rsidP="00423919">
      <w:pPr>
        <w:suppressAutoHyphens/>
        <w:autoSpaceDN w:val="0"/>
        <w:jc w:val="both"/>
        <w:textAlignment w:val="baseline"/>
        <w:rPr>
          <w:color w:val="000000"/>
          <w:sz w:val="24"/>
          <w:szCs w:val="24"/>
          <w:lang w:val="eu-ES" w:eastAsia="es-ES_tradnl"/>
        </w:rPr>
      </w:pPr>
    </w:p>
    <w:p w14:paraId="6BEEF8BE" w14:textId="77777777" w:rsidR="00423919" w:rsidRPr="00423919" w:rsidRDefault="00423919" w:rsidP="00423919">
      <w:pPr>
        <w:tabs>
          <w:tab w:val="left" w:pos="473"/>
        </w:tabs>
        <w:jc w:val="both"/>
        <w:rPr>
          <w:sz w:val="24"/>
          <w:szCs w:val="24"/>
        </w:rPr>
      </w:pPr>
      <w:r w:rsidRPr="00423919">
        <w:rPr>
          <w:sz w:val="24"/>
          <w:szCs w:val="24"/>
          <w:lang w:val="eu-ES"/>
        </w:rPr>
        <w:t>Horregatik guztiagatik, Gardentasunaren Foru Kontseiluak, aho batez, hau hartu du:</w:t>
      </w:r>
    </w:p>
    <w:p w14:paraId="49C989BC" w14:textId="77777777" w:rsidR="00423919" w:rsidRPr="00423919" w:rsidRDefault="00423919" w:rsidP="00423919">
      <w:pPr>
        <w:tabs>
          <w:tab w:val="left" w:pos="473"/>
        </w:tabs>
        <w:jc w:val="both"/>
        <w:rPr>
          <w:sz w:val="24"/>
          <w:szCs w:val="24"/>
        </w:rPr>
      </w:pPr>
    </w:p>
    <w:p w14:paraId="53B5BCC0" w14:textId="77777777" w:rsidR="00423919" w:rsidRPr="00423919" w:rsidRDefault="00423919" w:rsidP="00423919">
      <w:pPr>
        <w:jc w:val="center"/>
        <w:rPr>
          <w:color w:val="000000"/>
          <w:sz w:val="24"/>
          <w:szCs w:val="24"/>
          <w:lang w:eastAsia="es-ES_tradnl"/>
        </w:rPr>
      </w:pPr>
      <w:r w:rsidRPr="00423919">
        <w:rPr>
          <w:b/>
          <w:bCs/>
          <w:color w:val="000000"/>
          <w:sz w:val="24"/>
          <w:szCs w:val="24"/>
          <w:lang w:val="eu-ES" w:eastAsia="es-ES_tradnl"/>
        </w:rPr>
        <w:t>EBAZPENA</w:t>
      </w:r>
    </w:p>
    <w:p w14:paraId="7E16E837" w14:textId="77777777" w:rsidR="00423919" w:rsidRPr="00423919" w:rsidRDefault="00423919" w:rsidP="00423919">
      <w:pPr>
        <w:jc w:val="both"/>
        <w:rPr>
          <w:color w:val="000000"/>
          <w:sz w:val="24"/>
          <w:szCs w:val="24"/>
          <w:lang w:eastAsia="es-ES_tradnl"/>
        </w:rPr>
      </w:pPr>
    </w:p>
    <w:p w14:paraId="4FD77759" w14:textId="438576B4" w:rsidR="00423919" w:rsidRPr="00423919" w:rsidRDefault="00423919" w:rsidP="00423919">
      <w:pPr>
        <w:autoSpaceDE w:val="0"/>
        <w:autoSpaceDN w:val="0"/>
        <w:adjustRightInd w:val="0"/>
        <w:jc w:val="both"/>
        <w:rPr>
          <w:color w:val="000000"/>
          <w:sz w:val="24"/>
          <w:szCs w:val="24"/>
          <w:lang w:val="es-ES_tradnl" w:eastAsia="es-ES_tradnl"/>
        </w:rPr>
      </w:pPr>
      <w:bookmarkStart w:id="0" w:name="_Hlk172713363"/>
      <w:r w:rsidRPr="00423919">
        <w:rPr>
          <w:b/>
          <w:bCs/>
          <w:color w:val="000000"/>
          <w:sz w:val="24"/>
          <w:szCs w:val="24"/>
          <w:lang w:val="eu-ES" w:eastAsia="es-ES_tradnl"/>
        </w:rPr>
        <w:t xml:space="preserve">Lehenengoa. </w:t>
      </w:r>
      <w:r w:rsidRPr="00423919">
        <w:rPr>
          <w:color w:val="000000"/>
          <w:sz w:val="24"/>
          <w:szCs w:val="24"/>
          <w:lang w:val="eu-ES" w:eastAsia="es-ES_tradnl"/>
        </w:rPr>
        <w:t xml:space="preserve">Ezespena ematea </w:t>
      </w:r>
      <w:r w:rsidR="00B7045E" w:rsidRPr="00B7045E">
        <w:rPr>
          <w:color w:val="000000"/>
          <w:sz w:val="24"/>
          <w:szCs w:val="24"/>
          <w:highlight w:val="black"/>
          <w:lang w:val="eu-ES" w:eastAsia="es-ES_tradnl"/>
        </w:rPr>
        <w:t>XXXXX</w:t>
      </w:r>
      <w:r w:rsidRPr="00423919">
        <w:rPr>
          <w:color w:val="000000"/>
          <w:sz w:val="24"/>
          <w:szCs w:val="24"/>
          <w:lang w:val="eu-ES" w:eastAsia="es-ES_tradnl"/>
        </w:rPr>
        <w:t xml:space="preserve"> Funtzio Publikoko zuzendariaren apirilaren 8ko 1882/2024 Ebazpenaren aurka jarritako erreklamazioari, Arabako Lurralde Historikoko Gardentasunaren, Herritarren Parte-hartzearen eta Gobernu Onaren otsailaren 8ko 1/2017 Foru Arauaren 18. artikuluko baldintzak betetzen dituelako.</w:t>
      </w:r>
    </w:p>
    <w:bookmarkEnd w:id="0"/>
    <w:p w14:paraId="180A646E" w14:textId="77777777" w:rsidR="00423919" w:rsidRPr="00423919" w:rsidRDefault="00423919" w:rsidP="00423919">
      <w:pPr>
        <w:autoSpaceDE w:val="0"/>
        <w:autoSpaceDN w:val="0"/>
        <w:adjustRightInd w:val="0"/>
        <w:jc w:val="both"/>
        <w:rPr>
          <w:color w:val="000000"/>
          <w:sz w:val="24"/>
          <w:szCs w:val="24"/>
          <w:lang w:val="es-ES_tradnl" w:eastAsia="es-ES_tradnl"/>
        </w:rPr>
      </w:pPr>
    </w:p>
    <w:p w14:paraId="61BB944B" w14:textId="77777777" w:rsidR="00423919" w:rsidRPr="00423919" w:rsidRDefault="00423919" w:rsidP="00423919">
      <w:pPr>
        <w:jc w:val="both"/>
        <w:rPr>
          <w:color w:val="000000"/>
          <w:sz w:val="24"/>
          <w:szCs w:val="24"/>
          <w:lang w:eastAsia="es-ES_tradnl"/>
        </w:rPr>
      </w:pPr>
      <w:r w:rsidRPr="00423919">
        <w:rPr>
          <w:b/>
          <w:bCs/>
          <w:color w:val="000000"/>
          <w:sz w:val="24"/>
          <w:szCs w:val="24"/>
          <w:lang w:val="eu-ES" w:eastAsia="es-ES_tradnl"/>
        </w:rPr>
        <w:t>Bigarrena.</w:t>
      </w:r>
      <w:r w:rsidRPr="00423919">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7434F442" w14:textId="77777777" w:rsidR="00423919" w:rsidRPr="00423919" w:rsidRDefault="00423919" w:rsidP="00423919">
      <w:pPr>
        <w:jc w:val="both"/>
        <w:rPr>
          <w:color w:val="000000"/>
          <w:sz w:val="24"/>
          <w:szCs w:val="24"/>
          <w:lang w:eastAsia="es-ES_tradnl"/>
        </w:rPr>
      </w:pPr>
    </w:p>
    <w:p w14:paraId="2E8B8136" w14:textId="77777777" w:rsidR="00423919" w:rsidRPr="00423919" w:rsidRDefault="00423919" w:rsidP="00423919"/>
    <w:p w14:paraId="16566D58" w14:textId="77777777" w:rsidR="007B41B6" w:rsidRPr="00457424" w:rsidRDefault="007B41B6" w:rsidP="007B41B6">
      <w:pPr>
        <w:jc w:val="both"/>
        <w:rPr>
          <w:bCs/>
          <w:sz w:val="24"/>
          <w:szCs w:val="24"/>
          <w:lang w:val="eu-ES"/>
        </w:rPr>
      </w:pPr>
    </w:p>
    <w:sectPr w:rsidR="007B41B6" w:rsidRPr="00457424" w:rsidSect="00C86654">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52B7" w14:textId="77777777" w:rsidR="00A07392" w:rsidRDefault="00A07392">
      <w:r>
        <w:separator/>
      </w:r>
    </w:p>
  </w:endnote>
  <w:endnote w:type="continuationSeparator" w:id="0">
    <w:p w14:paraId="2140BFD7" w14:textId="77777777" w:rsidR="00A07392" w:rsidRDefault="00A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5F4" w14:textId="3BA3844F" w:rsidR="00A53A91" w:rsidRDefault="00A53A91">
    <w:pPr>
      <w:pStyle w:val="Piedepgina"/>
      <w:framePr w:w="862" w:wrap="around" w:vAnchor="text" w:hAnchor="page" w:x="1153" w:y="10"/>
      <w:ind w:firstLine="0"/>
      <w:rPr>
        <w:rStyle w:val="Nmerodepgina"/>
      </w:rPr>
    </w:pPr>
  </w:p>
  <w:p w14:paraId="5A06EA4F" w14:textId="4B88FD37" w:rsidR="00A53A91" w:rsidRDefault="00801201" w:rsidP="00801201">
    <w:pPr>
      <w:pStyle w:val="Piedepgina"/>
      <w:ind w:right="360" w:hanging="426"/>
      <w:jc w:val="right"/>
    </w:pPr>
    <w:r>
      <w:tab/>
    </w:r>
    <w:r w:rsidR="00A8038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17512"/>
      <w:docPartObj>
        <w:docPartGallery w:val="Page Numbers (Bottom of Page)"/>
        <w:docPartUnique/>
      </w:docPartObj>
    </w:sdtPr>
    <w:sdtEndPr/>
    <w:sdtContent>
      <w:p w14:paraId="6547FE24" w14:textId="360C30F3" w:rsidR="00DD037D" w:rsidRDefault="00DD037D" w:rsidP="00DD037D">
        <w:pPr>
          <w:pStyle w:val="Piedepgina"/>
          <w:ind w:left="3689" w:firstLine="4819"/>
          <w:jc w:val="center"/>
        </w:pPr>
        <w:r>
          <w:fldChar w:fldCharType="begin"/>
        </w:r>
        <w:r>
          <w:instrText>PAGE   \* MERGEFORMAT</w:instrText>
        </w:r>
        <w:r>
          <w:fldChar w:fldCharType="separate"/>
        </w:r>
        <w:r>
          <w:rPr>
            <w:lang w:val="es-ES"/>
          </w:rPr>
          <w:t>2</w:t>
        </w:r>
        <w:r>
          <w:fldChar w:fldCharType="end"/>
        </w:r>
        <w:r>
          <w:t>/</w:t>
        </w:r>
        <w:r w:rsidR="00FF0EDD">
          <w:t>7</w:t>
        </w:r>
      </w:p>
    </w:sdtContent>
  </w:sdt>
  <w:p w14:paraId="54870F3D" w14:textId="0C20E6EE" w:rsidR="00801201" w:rsidRDefault="008012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20140"/>
      <w:docPartObj>
        <w:docPartGallery w:val="Page Numbers (Bottom of Page)"/>
        <w:docPartUnique/>
      </w:docPartObj>
    </w:sdtPr>
    <w:sdtEndPr/>
    <w:sdtContent>
      <w:p w14:paraId="351FDEE5" w14:textId="41DFE8C3" w:rsidR="004353E7" w:rsidRPr="004353E7" w:rsidRDefault="004353E7" w:rsidP="004353E7">
        <w:pPr>
          <w:pStyle w:val="Piedepgina"/>
          <w:tabs>
            <w:tab w:val="clear" w:pos="9071"/>
            <w:tab w:val="right" w:pos="9072"/>
          </w:tabs>
          <w:jc w:val="right"/>
        </w:pPr>
        <w:r w:rsidRPr="004353E7">
          <w:fldChar w:fldCharType="begin"/>
        </w:r>
        <w:r w:rsidRPr="004353E7">
          <w:instrText xml:space="preserve"> PAGE </w:instrText>
        </w:r>
        <w:r w:rsidRPr="004353E7">
          <w:fldChar w:fldCharType="separate"/>
        </w:r>
        <w:r w:rsidRPr="004353E7">
          <w:t>1</w:t>
        </w:r>
        <w:r w:rsidRPr="004353E7">
          <w:fldChar w:fldCharType="end"/>
        </w:r>
        <w:r w:rsidRPr="004353E7">
          <w:t>/</w:t>
        </w:r>
        <w:r w:rsidRPr="004353E7">
          <w:fldChar w:fldCharType="begin"/>
        </w:r>
        <w:r w:rsidRPr="004353E7">
          <w:instrText xml:space="preserve"> NUMPAGES </w:instrText>
        </w:r>
        <w:r w:rsidRPr="004353E7">
          <w:fldChar w:fldCharType="separate"/>
        </w:r>
        <w:r w:rsidRPr="004353E7">
          <w:t>3</w:t>
        </w:r>
        <w:r w:rsidRPr="004353E7">
          <w:fldChar w:fldCharType="end"/>
        </w:r>
      </w:p>
      <w:p w14:paraId="138B63EC" w14:textId="22B6CC89" w:rsidR="00801201" w:rsidRDefault="00FF0EDD">
        <w:pPr>
          <w:pStyle w:val="Piedepgina"/>
          <w:jc w:val="right"/>
        </w:pPr>
      </w:p>
    </w:sdtContent>
  </w:sdt>
  <w:p w14:paraId="4EA753CB" w14:textId="6B30325D" w:rsidR="00A53A91" w:rsidRDefault="00A53A91">
    <w:pPr>
      <w:pStyle w:val="Piedepgina"/>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F717" w14:textId="77777777" w:rsidR="00A07392" w:rsidRDefault="00A07392">
      <w:r>
        <w:separator/>
      </w:r>
    </w:p>
  </w:footnote>
  <w:footnote w:type="continuationSeparator" w:id="0">
    <w:p w14:paraId="17549128" w14:textId="77777777" w:rsidR="00A07392" w:rsidRDefault="00A0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44548ADA" w14:textId="77777777" w:rsidTr="002234FA">
      <w:tc>
        <w:tcPr>
          <w:tcW w:w="6804" w:type="dxa"/>
        </w:tcPr>
        <w:p w14:paraId="0691F4CF"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782BD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86955050" r:id="rId2"/>
            </w:object>
          </w:r>
        </w:p>
      </w:tc>
      <w:tc>
        <w:tcPr>
          <w:tcW w:w="3686" w:type="dxa"/>
        </w:tcPr>
        <w:p w14:paraId="286962BF" w14:textId="77777777" w:rsidR="007672DC" w:rsidRPr="00A84247" w:rsidRDefault="007672DC" w:rsidP="007672DC">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DFE000B"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7A5F938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66EE112" w14:textId="77777777" w:rsidTr="002234FA">
      <w:tc>
        <w:tcPr>
          <w:tcW w:w="6804" w:type="dxa"/>
        </w:tcPr>
        <w:p w14:paraId="5673CC84"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440AF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86955051" r:id="rId2"/>
            </w:object>
          </w:r>
        </w:p>
      </w:tc>
      <w:tc>
        <w:tcPr>
          <w:tcW w:w="3686" w:type="dxa"/>
        </w:tcPr>
        <w:p w14:paraId="3379D1CD" w14:textId="77777777" w:rsidR="007A35BB" w:rsidRPr="00A84247" w:rsidRDefault="007A35BB" w:rsidP="007A35BB">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37263E3"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56BD2EB4"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118C1246" w14:textId="77777777" w:rsidTr="00EA7E02">
      <w:tc>
        <w:tcPr>
          <w:tcW w:w="6804" w:type="dxa"/>
        </w:tcPr>
        <w:bookmarkStart w:id="1" w:name="_MON_1284444778"/>
        <w:bookmarkEnd w:id="1"/>
        <w:p w14:paraId="7F35151C" w14:textId="77777777" w:rsidR="001B2F39" w:rsidRPr="001B2F39" w:rsidRDefault="001B2F39" w:rsidP="001B2F39">
          <w:pPr>
            <w:spacing w:after="1200"/>
            <w:ind w:left="74"/>
            <w:rPr>
              <w:rFonts w:ascii="Arial" w:hAnsi="Arial"/>
              <w:noProof/>
              <w:sz w:val="16"/>
            </w:rPr>
          </w:pPr>
          <w:r w:rsidRPr="001B2F39">
            <w:rPr>
              <w:rFonts w:ascii="Arial" w:hAnsi="Arial"/>
              <w:noProof/>
              <w:sz w:val="16"/>
            </w:rPr>
            <w:object w:dxaOrig="3301" w:dyaOrig="1126" w14:anchorId="73D3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86955052" r:id="rId2"/>
            </w:object>
          </w:r>
        </w:p>
      </w:tc>
      <w:tc>
        <w:tcPr>
          <w:tcW w:w="3686" w:type="dxa"/>
        </w:tcPr>
        <w:p w14:paraId="3277CBBC" w14:textId="77777777" w:rsidR="001B2F39" w:rsidRPr="00A84247" w:rsidRDefault="00903823" w:rsidP="00903823">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38CFA8D0"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r w:rsidRPr="00A84247">
            <w:rPr>
              <w:b/>
              <w:sz w:val="24"/>
              <w:szCs w:val="24"/>
            </w:rPr>
            <w:t>Co</w:t>
          </w:r>
          <w:r w:rsidR="00903823" w:rsidRPr="00A84247">
            <w:rPr>
              <w:b/>
              <w:sz w:val="24"/>
              <w:szCs w:val="24"/>
            </w:rPr>
            <w:t>nsejo Foral de Transparencia</w:t>
          </w:r>
        </w:p>
      </w:tc>
    </w:tr>
  </w:tbl>
  <w:p w14:paraId="45A5D1AF"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75A4B4C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40C59"/>
    <w:multiLevelType w:val="hybridMultilevel"/>
    <w:tmpl w:val="561E3DA6"/>
    <w:lvl w:ilvl="0" w:tplc="3D72B7BC">
      <w:start w:val="1"/>
      <w:numFmt w:val="decimal"/>
      <w:lvlText w:val="%1."/>
      <w:lvlJc w:val="left"/>
      <w:pPr>
        <w:ind w:left="360" w:hanging="360"/>
      </w:pPr>
    </w:lvl>
    <w:lvl w:ilvl="1" w:tplc="3494730E" w:tentative="1">
      <w:start w:val="1"/>
      <w:numFmt w:val="lowerLetter"/>
      <w:lvlText w:val="%2."/>
      <w:lvlJc w:val="left"/>
      <w:pPr>
        <w:ind w:left="1080" w:hanging="360"/>
      </w:pPr>
    </w:lvl>
    <w:lvl w:ilvl="2" w:tplc="5074FE8A" w:tentative="1">
      <w:start w:val="1"/>
      <w:numFmt w:val="lowerRoman"/>
      <w:lvlText w:val="%3."/>
      <w:lvlJc w:val="right"/>
      <w:pPr>
        <w:ind w:left="1800" w:hanging="180"/>
      </w:pPr>
    </w:lvl>
    <w:lvl w:ilvl="3" w:tplc="995A7932" w:tentative="1">
      <w:start w:val="1"/>
      <w:numFmt w:val="decimal"/>
      <w:lvlText w:val="%4."/>
      <w:lvlJc w:val="left"/>
      <w:pPr>
        <w:ind w:left="2520" w:hanging="360"/>
      </w:pPr>
    </w:lvl>
    <w:lvl w:ilvl="4" w:tplc="DCB240E0" w:tentative="1">
      <w:start w:val="1"/>
      <w:numFmt w:val="lowerLetter"/>
      <w:lvlText w:val="%5."/>
      <w:lvlJc w:val="left"/>
      <w:pPr>
        <w:ind w:left="3240" w:hanging="360"/>
      </w:pPr>
    </w:lvl>
    <w:lvl w:ilvl="5" w:tplc="4FE09516" w:tentative="1">
      <w:start w:val="1"/>
      <w:numFmt w:val="lowerRoman"/>
      <w:lvlText w:val="%6."/>
      <w:lvlJc w:val="right"/>
      <w:pPr>
        <w:ind w:left="3960" w:hanging="180"/>
      </w:pPr>
    </w:lvl>
    <w:lvl w:ilvl="6" w:tplc="ED2A13B0" w:tentative="1">
      <w:start w:val="1"/>
      <w:numFmt w:val="decimal"/>
      <w:lvlText w:val="%7."/>
      <w:lvlJc w:val="left"/>
      <w:pPr>
        <w:ind w:left="4680" w:hanging="360"/>
      </w:pPr>
    </w:lvl>
    <w:lvl w:ilvl="7" w:tplc="8E1063A4" w:tentative="1">
      <w:start w:val="1"/>
      <w:numFmt w:val="lowerLetter"/>
      <w:lvlText w:val="%8."/>
      <w:lvlJc w:val="left"/>
      <w:pPr>
        <w:ind w:left="5400" w:hanging="360"/>
      </w:pPr>
    </w:lvl>
    <w:lvl w:ilvl="8" w:tplc="EAE61586" w:tentative="1">
      <w:start w:val="1"/>
      <w:numFmt w:val="lowerRoman"/>
      <w:lvlText w:val="%9."/>
      <w:lvlJc w:val="right"/>
      <w:pPr>
        <w:ind w:left="6120" w:hanging="180"/>
      </w:pPr>
    </w:lvl>
  </w:abstractNum>
  <w:abstractNum w:abstractNumId="3"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4" w15:restartNumberingAfterBreak="0">
    <w:nsid w:val="0D4C52C1"/>
    <w:multiLevelType w:val="hybridMultilevel"/>
    <w:tmpl w:val="1604E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6" w15:restartNumberingAfterBreak="0">
    <w:nsid w:val="0EAE5F05"/>
    <w:multiLevelType w:val="hybridMultilevel"/>
    <w:tmpl w:val="17A2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8" w15:restartNumberingAfterBreak="0">
    <w:nsid w:val="130727BA"/>
    <w:multiLevelType w:val="hybridMultilevel"/>
    <w:tmpl w:val="A0149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366F7E"/>
    <w:multiLevelType w:val="hybridMultilevel"/>
    <w:tmpl w:val="EC063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1"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2"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3"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4"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632D5C"/>
    <w:multiLevelType w:val="hybridMultilevel"/>
    <w:tmpl w:val="B3FAE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2F2976A9"/>
    <w:multiLevelType w:val="hybridMultilevel"/>
    <w:tmpl w:val="186AEAF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23C6FF1"/>
    <w:multiLevelType w:val="hybridMultilevel"/>
    <w:tmpl w:val="450C3B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21"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3" w15:restartNumberingAfterBreak="0">
    <w:nsid w:val="3BC82912"/>
    <w:multiLevelType w:val="hybridMultilevel"/>
    <w:tmpl w:val="FF58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22509C"/>
    <w:multiLevelType w:val="hybridMultilevel"/>
    <w:tmpl w:val="8AE294E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6"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8" w15:restartNumberingAfterBreak="0">
    <w:nsid w:val="4485636B"/>
    <w:multiLevelType w:val="hybridMultilevel"/>
    <w:tmpl w:val="0FDA6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30"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1"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2"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3" w15:restartNumberingAfterBreak="0">
    <w:nsid w:val="497F5198"/>
    <w:multiLevelType w:val="hybridMultilevel"/>
    <w:tmpl w:val="0C265E82"/>
    <w:lvl w:ilvl="0" w:tplc="745ED6E4">
      <w:start w:val="1"/>
      <w:numFmt w:val="decimal"/>
      <w:lvlText w:val="%1."/>
      <w:lvlJc w:val="left"/>
      <w:pPr>
        <w:ind w:left="1429" w:hanging="360"/>
      </w:pPr>
      <w:rPr>
        <w:rFonts w:hint="default"/>
      </w:rPr>
    </w:lvl>
    <w:lvl w:ilvl="1" w:tplc="8014FC66" w:tentative="1">
      <w:start w:val="1"/>
      <w:numFmt w:val="lowerLetter"/>
      <w:lvlText w:val="%2."/>
      <w:lvlJc w:val="left"/>
      <w:pPr>
        <w:ind w:left="2149" w:hanging="360"/>
      </w:pPr>
    </w:lvl>
    <w:lvl w:ilvl="2" w:tplc="58E80E56" w:tentative="1">
      <w:start w:val="1"/>
      <w:numFmt w:val="lowerRoman"/>
      <w:lvlText w:val="%3."/>
      <w:lvlJc w:val="right"/>
      <w:pPr>
        <w:ind w:left="2869" w:hanging="180"/>
      </w:pPr>
    </w:lvl>
    <w:lvl w:ilvl="3" w:tplc="69288F6A" w:tentative="1">
      <w:start w:val="1"/>
      <w:numFmt w:val="decimal"/>
      <w:lvlText w:val="%4."/>
      <w:lvlJc w:val="left"/>
      <w:pPr>
        <w:ind w:left="3589" w:hanging="360"/>
      </w:pPr>
    </w:lvl>
    <w:lvl w:ilvl="4" w:tplc="3E72F560" w:tentative="1">
      <w:start w:val="1"/>
      <w:numFmt w:val="lowerLetter"/>
      <w:lvlText w:val="%5."/>
      <w:lvlJc w:val="left"/>
      <w:pPr>
        <w:ind w:left="4309" w:hanging="360"/>
      </w:pPr>
    </w:lvl>
    <w:lvl w:ilvl="5" w:tplc="F0A0EDC4" w:tentative="1">
      <w:start w:val="1"/>
      <w:numFmt w:val="lowerRoman"/>
      <w:lvlText w:val="%6."/>
      <w:lvlJc w:val="right"/>
      <w:pPr>
        <w:ind w:left="5029" w:hanging="180"/>
      </w:pPr>
    </w:lvl>
    <w:lvl w:ilvl="6" w:tplc="247899E8" w:tentative="1">
      <w:start w:val="1"/>
      <w:numFmt w:val="decimal"/>
      <w:lvlText w:val="%7."/>
      <w:lvlJc w:val="left"/>
      <w:pPr>
        <w:ind w:left="5749" w:hanging="360"/>
      </w:pPr>
    </w:lvl>
    <w:lvl w:ilvl="7" w:tplc="057E0B94" w:tentative="1">
      <w:start w:val="1"/>
      <w:numFmt w:val="lowerLetter"/>
      <w:lvlText w:val="%8."/>
      <w:lvlJc w:val="left"/>
      <w:pPr>
        <w:ind w:left="6469" w:hanging="360"/>
      </w:pPr>
    </w:lvl>
    <w:lvl w:ilvl="8" w:tplc="A4D62924" w:tentative="1">
      <w:start w:val="1"/>
      <w:numFmt w:val="lowerRoman"/>
      <w:lvlText w:val="%9."/>
      <w:lvlJc w:val="right"/>
      <w:pPr>
        <w:ind w:left="7189" w:hanging="180"/>
      </w:pPr>
    </w:lvl>
  </w:abstractNum>
  <w:abstractNum w:abstractNumId="34" w15:restartNumberingAfterBreak="0">
    <w:nsid w:val="540E6E62"/>
    <w:multiLevelType w:val="hybridMultilevel"/>
    <w:tmpl w:val="D53AD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6"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7" w15:restartNumberingAfterBreak="0">
    <w:nsid w:val="58DE0EE8"/>
    <w:multiLevelType w:val="hybridMultilevel"/>
    <w:tmpl w:val="0890F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9"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40" w15:restartNumberingAfterBreak="0">
    <w:nsid w:val="5E9665D5"/>
    <w:multiLevelType w:val="hybridMultilevel"/>
    <w:tmpl w:val="BD085D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3" w15:restartNumberingAfterBreak="0">
    <w:nsid w:val="6DCE3F72"/>
    <w:multiLevelType w:val="hybridMultilevel"/>
    <w:tmpl w:val="EA2055DA"/>
    <w:lvl w:ilvl="0" w:tplc="D0166CAE">
      <w:start w:val="1"/>
      <w:numFmt w:val="bullet"/>
      <w:lvlText w:val=""/>
      <w:lvlJc w:val="left"/>
      <w:pPr>
        <w:ind w:left="1080" w:hanging="360"/>
      </w:pPr>
      <w:rPr>
        <w:rFonts w:ascii="Symbol" w:hAnsi="Symbol" w:hint="default"/>
      </w:rPr>
    </w:lvl>
    <w:lvl w:ilvl="1" w:tplc="D39A559E" w:tentative="1">
      <w:start w:val="1"/>
      <w:numFmt w:val="bullet"/>
      <w:lvlText w:val="o"/>
      <w:lvlJc w:val="left"/>
      <w:pPr>
        <w:ind w:left="1800" w:hanging="360"/>
      </w:pPr>
      <w:rPr>
        <w:rFonts w:ascii="Courier New" w:hAnsi="Courier New" w:cs="Courier New" w:hint="default"/>
      </w:rPr>
    </w:lvl>
    <w:lvl w:ilvl="2" w:tplc="F676D2E6" w:tentative="1">
      <w:start w:val="1"/>
      <w:numFmt w:val="bullet"/>
      <w:lvlText w:val=""/>
      <w:lvlJc w:val="left"/>
      <w:pPr>
        <w:ind w:left="2520" w:hanging="360"/>
      </w:pPr>
      <w:rPr>
        <w:rFonts w:ascii="Wingdings" w:hAnsi="Wingdings" w:hint="default"/>
      </w:rPr>
    </w:lvl>
    <w:lvl w:ilvl="3" w:tplc="3B8CE8C0" w:tentative="1">
      <w:start w:val="1"/>
      <w:numFmt w:val="bullet"/>
      <w:lvlText w:val=""/>
      <w:lvlJc w:val="left"/>
      <w:pPr>
        <w:ind w:left="3240" w:hanging="360"/>
      </w:pPr>
      <w:rPr>
        <w:rFonts w:ascii="Symbol" w:hAnsi="Symbol" w:hint="default"/>
      </w:rPr>
    </w:lvl>
    <w:lvl w:ilvl="4" w:tplc="96665F8A" w:tentative="1">
      <w:start w:val="1"/>
      <w:numFmt w:val="bullet"/>
      <w:lvlText w:val="o"/>
      <w:lvlJc w:val="left"/>
      <w:pPr>
        <w:ind w:left="3960" w:hanging="360"/>
      </w:pPr>
      <w:rPr>
        <w:rFonts w:ascii="Courier New" w:hAnsi="Courier New" w:cs="Courier New" w:hint="default"/>
      </w:rPr>
    </w:lvl>
    <w:lvl w:ilvl="5" w:tplc="C9B0F640" w:tentative="1">
      <w:start w:val="1"/>
      <w:numFmt w:val="bullet"/>
      <w:lvlText w:val=""/>
      <w:lvlJc w:val="left"/>
      <w:pPr>
        <w:ind w:left="4680" w:hanging="360"/>
      </w:pPr>
      <w:rPr>
        <w:rFonts w:ascii="Wingdings" w:hAnsi="Wingdings" w:hint="default"/>
      </w:rPr>
    </w:lvl>
    <w:lvl w:ilvl="6" w:tplc="9A0C4AF2" w:tentative="1">
      <w:start w:val="1"/>
      <w:numFmt w:val="bullet"/>
      <w:lvlText w:val=""/>
      <w:lvlJc w:val="left"/>
      <w:pPr>
        <w:ind w:left="5400" w:hanging="360"/>
      </w:pPr>
      <w:rPr>
        <w:rFonts w:ascii="Symbol" w:hAnsi="Symbol" w:hint="default"/>
      </w:rPr>
    </w:lvl>
    <w:lvl w:ilvl="7" w:tplc="8F0C5144" w:tentative="1">
      <w:start w:val="1"/>
      <w:numFmt w:val="bullet"/>
      <w:lvlText w:val="o"/>
      <w:lvlJc w:val="left"/>
      <w:pPr>
        <w:ind w:left="6120" w:hanging="360"/>
      </w:pPr>
      <w:rPr>
        <w:rFonts w:ascii="Courier New" w:hAnsi="Courier New" w:cs="Courier New" w:hint="default"/>
      </w:rPr>
    </w:lvl>
    <w:lvl w:ilvl="8" w:tplc="F7F2C526" w:tentative="1">
      <w:start w:val="1"/>
      <w:numFmt w:val="bullet"/>
      <w:lvlText w:val=""/>
      <w:lvlJc w:val="left"/>
      <w:pPr>
        <w:ind w:left="6840" w:hanging="360"/>
      </w:pPr>
      <w:rPr>
        <w:rFonts w:ascii="Wingdings" w:hAnsi="Wingdings" w:hint="default"/>
      </w:rPr>
    </w:lvl>
  </w:abstractNum>
  <w:abstractNum w:abstractNumId="44" w15:restartNumberingAfterBreak="0">
    <w:nsid w:val="6EF324C7"/>
    <w:multiLevelType w:val="hybridMultilevel"/>
    <w:tmpl w:val="3CF878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6"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7"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9776652">
    <w:abstractNumId w:val="12"/>
  </w:num>
  <w:num w:numId="2" w16cid:durableId="1722367335">
    <w:abstractNumId w:val="13"/>
  </w:num>
  <w:num w:numId="3" w16cid:durableId="842940627">
    <w:abstractNumId w:val="20"/>
  </w:num>
  <w:num w:numId="4" w16cid:durableId="936719152">
    <w:abstractNumId w:val="47"/>
  </w:num>
  <w:num w:numId="5" w16cid:durableId="921447658">
    <w:abstractNumId w:val="16"/>
  </w:num>
  <w:num w:numId="6" w16cid:durableId="1616062552">
    <w:abstractNumId w:val="11"/>
  </w:num>
  <w:num w:numId="7" w16cid:durableId="1888758476">
    <w:abstractNumId w:val="22"/>
  </w:num>
  <w:num w:numId="8" w16cid:durableId="1091313458">
    <w:abstractNumId w:val="36"/>
  </w:num>
  <w:num w:numId="9" w16cid:durableId="1533762152">
    <w:abstractNumId w:val="46"/>
  </w:num>
  <w:num w:numId="10" w16cid:durableId="891964055">
    <w:abstractNumId w:val="30"/>
  </w:num>
  <w:num w:numId="11" w16cid:durableId="289826228">
    <w:abstractNumId w:val="10"/>
  </w:num>
  <w:num w:numId="12" w16cid:durableId="2031762223">
    <w:abstractNumId w:val="25"/>
  </w:num>
  <w:num w:numId="13" w16cid:durableId="928545648">
    <w:abstractNumId w:val="29"/>
  </w:num>
  <w:num w:numId="14" w16cid:durableId="407071879">
    <w:abstractNumId w:val="32"/>
  </w:num>
  <w:num w:numId="15" w16cid:durableId="1028723154">
    <w:abstractNumId w:val="7"/>
  </w:num>
  <w:num w:numId="16" w16cid:durableId="164977087">
    <w:abstractNumId w:val="45"/>
  </w:num>
  <w:num w:numId="17" w16cid:durableId="136804767">
    <w:abstractNumId w:val="39"/>
  </w:num>
  <w:num w:numId="18" w16cid:durableId="2014258567">
    <w:abstractNumId w:val="14"/>
  </w:num>
  <w:num w:numId="19" w16cid:durableId="1915359336">
    <w:abstractNumId w:val="17"/>
  </w:num>
  <w:num w:numId="20" w16cid:durableId="1341853682">
    <w:abstractNumId w:val="21"/>
  </w:num>
  <w:num w:numId="21" w16cid:durableId="879391408">
    <w:abstractNumId w:val="26"/>
  </w:num>
  <w:num w:numId="22" w16cid:durableId="1848136542">
    <w:abstractNumId w:val="42"/>
  </w:num>
  <w:num w:numId="23" w16cid:durableId="1012955569">
    <w:abstractNumId w:val="5"/>
  </w:num>
  <w:num w:numId="24" w16cid:durableId="1328943520">
    <w:abstractNumId w:val="31"/>
  </w:num>
  <w:num w:numId="25" w16cid:durableId="470055814">
    <w:abstractNumId w:val="35"/>
  </w:num>
  <w:num w:numId="26" w16cid:durableId="1832912981">
    <w:abstractNumId w:val="27"/>
  </w:num>
  <w:num w:numId="27" w16cid:durableId="182283815">
    <w:abstractNumId w:val="38"/>
  </w:num>
  <w:num w:numId="28" w16cid:durableId="228615179">
    <w:abstractNumId w:val="3"/>
  </w:num>
  <w:num w:numId="29" w16cid:durableId="918291314">
    <w:abstractNumId w:val="1"/>
  </w:num>
  <w:num w:numId="30" w16cid:durableId="1811511008">
    <w:abstractNumId w:val="19"/>
  </w:num>
  <w:num w:numId="31" w16cid:durableId="441464837">
    <w:abstractNumId w:val="8"/>
  </w:num>
  <w:num w:numId="32" w16cid:durableId="1966039573">
    <w:abstractNumId w:val="0"/>
  </w:num>
  <w:num w:numId="33" w16cid:durableId="1460565749">
    <w:abstractNumId w:val="15"/>
  </w:num>
  <w:num w:numId="34" w16cid:durableId="1337921410">
    <w:abstractNumId w:val="18"/>
  </w:num>
  <w:num w:numId="35" w16cid:durableId="869150576">
    <w:abstractNumId w:val="6"/>
  </w:num>
  <w:num w:numId="36" w16cid:durableId="77606040">
    <w:abstractNumId w:val="34"/>
  </w:num>
  <w:num w:numId="37" w16cid:durableId="1775242464">
    <w:abstractNumId w:val="24"/>
  </w:num>
  <w:num w:numId="38" w16cid:durableId="1247492656">
    <w:abstractNumId w:val="28"/>
  </w:num>
  <w:num w:numId="39" w16cid:durableId="1882010242">
    <w:abstractNumId w:val="23"/>
  </w:num>
  <w:num w:numId="40" w16cid:durableId="1752695751">
    <w:abstractNumId w:val="37"/>
  </w:num>
  <w:num w:numId="41" w16cid:durableId="260381852">
    <w:abstractNumId w:val="4"/>
  </w:num>
  <w:num w:numId="42" w16cid:durableId="1491023040">
    <w:abstractNumId w:val="40"/>
  </w:num>
  <w:num w:numId="43" w16cid:durableId="1669556737">
    <w:abstractNumId w:val="41"/>
  </w:num>
  <w:num w:numId="44" w16cid:durableId="327758249">
    <w:abstractNumId w:val="37"/>
  </w:num>
  <w:num w:numId="45" w16cid:durableId="736904690">
    <w:abstractNumId w:val="9"/>
  </w:num>
  <w:num w:numId="46" w16cid:durableId="345906999">
    <w:abstractNumId w:val="2"/>
  </w:num>
  <w:num w:numId="47" w16cid:durableId="1133250269">
    <w:abstractNumId w:val="33"/>
  </w:num>
  <w:num w:numId="48" w16cid:durableId="1208446065">
    <w:abstractNumId w:val="43"/>
  </w:num>
  <w:num w:numId="49" w16cid:durableId="85199026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6AEF"/>
    <w:rsid w:val="000253AC"/>
    <w:rsid w:val="00025EF5"/>
    <w:rsid w:val="00055D17"/>
    <w:rsid w:val="00074A35"/>
    <w:rsid w:val="00091646"/>
    <w:rsid w:val="00092084"/>
    <w:rsid w:val="00094214"/>
    <w:rsid w:val="000956AD"/>
    <w:rsid w:val="000C1D5C"/>
    <w:rsid w:val="000C7EA1"/>
    <w:rsid w:val="000E09C1"/>
    <w:rsid w:val="000E61FD"/>
    <w:rsid w:val="000F381A"/>
    <w:rsid w:val="000F397C"/>
    <w:rsid w:val="000F3B4D"/>
    <w:rsid w:val="000F76EF"/>
    <w:rsid w:val="00104E57"/>
    <w:rsid w:val="00114347"/>
    <w:rsid w:val="00126408"/>
    <w:rsid w:val="00137431"/>
    <w:rsid w:val="00154ABB"/>
    <w:rsid w:val="00155E65"/>
    <w:rsid w:val="001614E9"/>
    <w:rsid w:val="001640F2"/>
    <w:rsid w:val="00182E18"/>
    <w:rsid w:val="001852AB"/>
    <w:rsid w:val="00191468"/>
    <w:rsid w:val="001A0C37"/>
    <w:rsid w:val="001A43ED"/>
    <w:rsid w:val="001A7C67"/>
    <w:rsid w:val="001B2F39"/>
    <w:rsid w:val="001C0AC3"/>
    <w:rsid w:val="001C3B86"/>
    <w:rsid w:val="001C3EE2"/>
    <w:rsid w:val="001C7B19"/>
    <w:rsid w:val="001E4DD8"/>
    <w:rsid w:val="001F7B1A"/>
    <w:rsid w:val="0021727F"/>
    <w:rsid w:val="00223D73"/>
    <w:rsid w:val="00225796"/>
    <w:rsid w:val="00260193"/>
    <w:rsid w:val="00273D19"/>
    <w:rsid w:val="00285435"/>
    <w:rsid w:val="0028575D"/>
    <w:rsid w:val="00291AAE"/>
    <w:rsid w:val="002B4B8E"/>
    <w:rsid w:val="002B5429"/>
    <w:rsid w:val="002B7950"/>
    <w:rsid w:val="002D0911"/>
    <w:rsid w:val="002D1139"/>
    <w:rsid w:val="002D39E7"/>
    <w:rsid w:val="002D6CA1"/>
    <w:rsid w:val="002E6E6E"/>
    <w:rsid w:val="002F31BA"/>
    <w:rsid w:val="00301F3C"/>
    <w:rsid w:val="00311D00"/>
    <w:rsid w:val="00314173"/>
    <w:rsid w:val="00326F72"/>
    <w:rsid w:val="00350448"/>
    <w:rsid w:val="003627BE"/>
    <w:rsid w:val="00366B60"/>
    <w:rsid w:val="00370B52"/>
    <w:rsid w:val="003724A4"/>
    <w:rsid w:val="00373750"/>
    <w:rsid w:val="0038783A"/>
    <w:rsid w:val="0039407B"/>
    <w:rsid w:val="003B27EB"/>
    <w:rsid w:val="003D1CBE"/>
    <w:rsid w:val="003D1DC6"/>
    <w:rsid w:val="003E285D"/>
    <w:rsid w:val="003E37BB"/>
    <w:rsid w:val="00402B46"/>
    <w:rsid w:val="00416EB3"/>
    <w:rsid w:val="00423919"/>
    <w:rsid w:val="004353E7"/>
    <w:rsid w:val="0043623A"/>
    <w:rsid w:val="0045389A"/>
    <w:rsid w:val="004568B7"/>
    <w:rsid w:val="00457424"/>
    <w:rsid w:val="00470535"/>
    <w:rsid w:val="0047585F"/>
    <w:rsid w:val="0047592A"/>
    <w:rsid w:val="00487A13"/>
    <w:rsid w:val="004C0005"/>
    <w:rsid w:val="004C5545"/>
    <w:rsid w:val="004D5793"/>
    <w:rsid w:val="004F1ED8"/>
    <w:rsid w:val="004F29B4"/>
    <w:rsid w:val="00503935"/>
    <w:rsid w:val="00504C69"/>
    <w:rsid w:val="005131FB"/>
    <w:rsid w:val="00515D72"/>
    <w:rsid w:val="0053339C"/>
    <w:rsid w:val="005441B3"/>
    <w:rsid w:val="00547717"/>
    <w:rsid w:val="00553FB9"/>
    <w:rsid w:val="00556FD4"/>
    <w:rsid w:val="00563771"/>
    <w:rsid w:val="00566490"/>
    <w:rsid w:val="005679F9"/>
    <w:rsid w:val="005805D1"/>
    <w:rsid w:val="00587E8D"/>
    <w:rsid w:val="00593DBC"/>
    <w:rsid w:val="005973AB"/>
    <w:rsid w:val="005B28DE"/>
    <w:rsid w:val="005E21EE"/>
    <w:rsid w:val="005F4669"/>
    <w:rsid w:val="005F5B37"/>
    <w:rsid w:val="00605C53"/>
    <w:rsid w:val="0062535A"/>
    <w:rsid w:val="00626128"/>
    <w:rsid w:val="00641480"/>
    <w:rsid w:val="006426B7"/>
    <w:rsid w:val="006521EC"/>
    <w:rsid w:val="006535C2"/>
    <w:rsid w:val="006639A1"/>
    <w:rsid w:val="00667A3A"/>
    <w:rsid w:val="00676EAD"/>
    <w:rsid w:val="006824B7"/>
    <w:rsid w:val="00691ADA"/>
    <w:rsid w:val="00696007"/>
    <w:rsid w:val="006A30FD"/>
    <w:rsid w:val="006B0AC8"/>
    <w:rsid w:val="006B265C"/>
    <w:rsid w:val="006E3456"/>
    <w:rsid w:val="006E4143"/>
    <w:rsid w:val="006E765D"/>
    <w:rsid w:val="006F0C81"/>
    <w:rsid w:val="007037F8"/>
    <w:rsid w:val="00705BB6"/>
    <w:rsid w:val="00716153"/>
    <w:rsid w:val="00740346"/>
    <w:rsid w:val="00741F07"/>
    <w:rsid w:val="0074338A"/>
    <w:rsid w:val="00746F2A"/>
    <w:rsid w:val="00756329"/>
    <w:rsid w:val="00760847"/>
    <w:rsid w:val="00760F98"/>
    <w:rsid w:val="007672DC"/>
    <w:rsid w:val="0077410D"/>
    <w:rsid w:val="00776D81"/>
    <w:rsid w:val="007913F9"/>
    <w:rsid w:val="007A13A5"/>
    <w:rsid w:val="007A2824"/>
    <w:rsid w:val="007A35BB"/>
    <w:rsid w:val="007B41B6"/>
    <w:rsid w:val="00800527"/>
    <w:rsid w:val="00801201"/>
    <w:rsid w:val="00803066"/>
    <w:rsid w:val="00806859"/>
    <w:rsid w:val="00821BAD"/>
    <w:rsid w:val="008333C5"/>
    <w:rsid w:val="008369B9"/>
    <w:rsid w:val="00853643"/>
    <w:rsid w:val="008724C1"/>
    <w:rsid w:val="00876045"/>
    <w:rsid w:val="00886679"/>
    <w:rsid w:val="00893189"/>
    <w:rsid w:val="008A21BF"/>
    <w:rsid w:val="008A544B"/>
    <w:rsid w:val="008A5CB6"/>
    <w:rsid w:val="008B017E"/>
    <w:rsid w:val="008B3715"/>
    <w:rsid w:val="008C256E"/>
    <w:rsid w:val="008D1CB4"/>
    <w:rsid w:val="008F3372"/>
    <w:rsid w:val="008F5658"/>
    <w:rsid w:val="00903823"/>
    <w:rsid w:val="00904C0E"/>
    <w:rsid w:val="00905BF2"/>
    <w:rsid w:val="00917B01"/>
    <w:rsid w:val="00926FF0"/>
    <w:rsid w:val="00930506"/>
    <w:rsid w:val="0093108B"/>
    <w:rsid w:val="009430E7"/>
    <w:rsid w:val="00950371"/>
    <w:rsid w:val="00950E0F"/>
    <w:rsid w:val="00962B5A"/>
    <w:rsid w:val="00966EA2"/>
    <w:rsid w:val="00970E0D"/>
    <w:rsid w:val="009732EF"/>
    <w:rsid w:val="00983A68"/>
    <w:rsid w:val="009A78C7"/>
    <w:rsid w:val="009C7C14"/>
    <w:rsid w:val="009D4CE1"/>
    <w:rsid w:val="009D7D43"/>
    <w:rsid w:val="009E0A63"/>
    <w:rsid w:val="009E7D7F"/>
    <w:rsid w:val="009F1FC4"/>
    <w:rsid w:val="009F2756"/>
    <w:rsid w:val="00A00173"/>
    <w:rsid w:val="00A01806"/>
    <w:rsid w:val="00A0552F"/>
    <w:rsid w:val="00A07392"/>
    <w:rsid w:val="00A13187"/>
    <w:rsid w:val="00A1637B"/>
    <w:rsid w:val="00A211C7"/>
    <w:rsid w:val="00A2399C"/>
    <w:rsid w:val="00A23CF0"/>
    <w:rsid w:val="00A30311"/>
    <w:rsid w:val="00A442B9"/>
    <w:rsid w:val="00A465FD"/>
    <w:rsid w:val="00A5174C"/>
    <w:rsid w:val="00A53A91"/>
    <w:rsid w:val="00A6067F"/>
    <w:rsid w:val="00A61B73"/>
    <w:rsid w:val="00A8038A"/>
    <w:rsid w:val="00A84247"/>
    <w:rsid w:val="00A92113"/>
    <w:rsid w:val="00AA1A44"/>
    <w:rsid w:val="00AA1A63"/>
    <w:rsid w:val="00AA776B"/>
    <w:rsid w:val="00AC3A52"/>
    <w:rsid w:val="00B200DF"/>
    <w:rsid w:val="00B33257"/>
    <w:rsid w:val="00B37348"/>
    <w:rsid w:val="00B45527"/>
    <w:rsid w:val="00B45B3D"/>
    <w:rsid w:val="00B50DBC"/>
    <w:rsid w:val="00B511B1"/>
    <w:rsid w:val="00B55176"/>
    <w:rsid w:val="00B7045E"/>
    <w:rsid w:val="00B7226F"/>
    <w:rsid w:val="00B739C3"/>
    <w:rsid w:val="00B84867"/>
    <w:rsid w:val="00B93D45"/>
    <w:rsid w:val="00BA71A8"/>
    <w:rsid w:val="00BA761A"/>
    <w:rsid w:val="00BB5FEA"/>
    <w:rsid w:val="00BC4F2C"/>
    <w:rsid w:val="00BF32FD"/>
    <w:rsid w:val="00BF684B"/>
    <w:rsid w:val="00C07734"/>
    <w:rsid w:val="00C07E7F"/>
    <w:rsid w:val="00C142E6"/>
    <w:rsid w:val="00C32290"/>
    <w:rsid w:val="00C35D84"/>
    <w:rsid w:val="00C46602"/>
    <w:rsid w:val="00C60188"/>
    <w:rsid w:val="00C70708"/>
    <w:rsid w:val="00C75585"/>
    <w:rsid w:val="00C76D51"/>
    <w:rsid w:val="00C82F02"/>
    <w:rsid w:val="00C86654"/>
    <w:rsid w:val="00C938F0"/>
    <w:rsid w:val="00CE6F22"/>
    <w:rsid w:val="00D050C5"/>
    <w:rsid w:val="00D32FF0"/>
    <w:rsid w:val="00D52D85"/>
    <w:rsid w:val="00D65B4E"/>
    <w:rsid w:val="00D76028"/>
    <w:rsid w:val="00D900F9"/>
    <w:rsid w:val="00DA05DE"/>
    <w:rsid w:val="00DB248C"/>
    <w:rsid w:val="00DD037D"/>
    <w:rsid w:val="00DE1E56"/>
    <w:rsid w:val="00DE7044"/>
    <w:rsid w:val="00E040FE"/>
    <w:rsid w:val="00E07799"/>
    <w:rsid w:val="00E22EFC"/>
    <w:rsid w:val="00E24E38"/>
    <w:rsid w:val="00E30F67"/>
    <w:rsid w:val="00E36E0D"/>
    <w:rsid w:val="00E57131"/>
    <w:rsid w:val="00E61EF4"/>
    <w:rsid w:val="00E65C29"/>
    <w:rsid w:val="00E8028A"/>
    <w:rsid w:val="00E82F56"/>
    <w:rsid w:val="00E84222"/>
    <w:rsid w:val="00EB4F0C"/>
    <w:rsid w:val="00EC0AFE"/>
    <w:rsid w:val="00EC6977"/>
    <w:rsid w:val="00ED37BC"/>
    <w:rsid w:val="00EE5D0C"/>
    <w:rsid w:val="00EF5370"/>
    <w:rsid w:val="00F0449C"/>
    <w:rsid w:val="00F13674"/>
    <w:rsid w:val="00F1593E"/>
    <w:rsid w:val="00F171C1"/>
    <w:rsid w:val="00F17813"/>
    <w:rsid w:val="00F2639D"/>
    <w:rsid w:val="00F40587"/>
    <w:rsid w:val="00F54818"/>
    <w:rsid w:val="00F672EA"/>
    <w:rsid w:val="00F70120"/>
    <w:rsid w:val="00F739CF"/>
    <w:rsid w:val="00F8380C"/>
    <w:rsid w:val="00F84C7D"/>
    <w:rsid w:val="00F86699"/>
    <w:rsid w:val="00F87BF5"/>
    <w:rsid w:val="00FC5AB6"/>
    <w:rsid w:val="00FD187F"/>
    <w:rsid w:val="00FF0EDD"/>
    <w:rsid w:val="00FF1560"/>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CF6D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semiHidden/>
    <w:unhideWhenUsed/>
    <w:rsid w:val="00E22EFC"/>
  </w:style>
  <w:style w:type="character" w:customStyle="1" w:styleId="TextocomentarioCar">
    <w:name w:val="Texto comentario Car"/>
    <w:basedOn w:val="Fuentedeprrafopredeter"/>
    <w:link w:val="Textocomentario"/>
    <w:uiPriority w:val="99"/>
    <w:semiHidden/>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126408"/>
    <w:pPr>
      <w:autoSpaceDE w:val="0"/>
      <w:autoSpaceDN w:val="0"/>
      <w:adjustRightInd w:val="0"/>
    </w:pPr>
    <w:rPr>
      <w:color w:val="000000"/>
      <w:sz w:val="24"/>
      <w:szCs w:val="24"/>
    </w:rPr>
  </w:style>
  <w:style w:type="character" w:customStyle="1" w:styleId="PiedepginaCar">
    <w:name w:val="Pie de página Car"/>
    <w:basedOn w:val="Fuentedeprrafopredeter"/>
    <w:link w:val="Piedepgina"/>
    <w:uiPriority w:val="99"/>
    <w:rsid w:val="00801201"/>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12284">
      <w:bodyDiv w:val="1"/>
      <w:marLeft w:val="0"/>
      <w:marRight w:val="0"/>
      <w:marTop w:val="0"/>
      <w:marBottom w:val="0"/>
      <w:divBdr>
        <w:top w:val="none" w:sz="0" w:space="0" w:color="auto"/>
        <w:left w:val="none" w:sz="0" w:space="0" w:color="auto"/>
        <w:bottom w:val="none" w:sz="0" w:space="0" w:color="auto"/>
        <w:right w:val="none" w:sz="0" w:space="0" w:color="auto"/>
      </w:divBdr>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90830743">
      <w:bodyDiv w:val="1"/>
      <w:marLeft w:val="0"/>
      <w:marRight w:val="0"/>
      <w:marTop w:val="0"/>
      <w:marBottom w:val="0"/>
      <w:divBdr>
        <w:top w:val="none" w:sz="0" w:space="0" w:color="auto"/>
        <w:left w:val="none" w:sz="0" w:space="0" w:color="auto"/>
        <w:bottom w:val="none" w:sz="0" w:space="0" w:color="auto"/>
        <w:right w:val="none" w:sz="0" w:space="0" w:color="auto"/>
      </w:divBdr>
    </w:div>
    <w:div w:id="1574196816">
      <w:bodyDiv w:val="1"/>
      <w:marLeft w:val="0"/>
      <w:marRight w:val="0"/>
      <w:marTop w:val="0"/>
      <w:marBottom w:val="0"/>
      <w:divBdr>
        <w:top w:val="none" w:sz="0" w:space="0" w:color="auto"/>
        <w:left w:val="none" w:sz="0" w:space="0" w:color="auto"/>
        <w:bottom w:val="none" w:sz="0" w:space="0" w:color="auto"/>
        <w:right w:val="none" w:sz="0" w:space="0" w:color="auto"/>
      </w:divBdr>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177476">
      <w:bodyDiv w:val="1"/>
      <w:marLeft w:val="0"/>
      <w:marRight w:val="0"/>
      <w:marTop w:val="0"/>
      <w:marBottom w:val="0"/>
      <w:divBdr>
        <w:top w:val="none" w:sz="0" w:space="0" w:color="auto"/>
        <w:left w:val="none" w:sz="0" w:space="0" w:color="auto"/>
        <w:bottom w:val="none" w:sz="0" w:space="0" w:color="auto"/>
        <w:right w:val="none" w:sz="0" w:space="0" w:color="auto"/>
      </w:divBdr>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194</TotalTime>
  <Pages>7</Pages>
  <Words>2020</Words>
  <Characters>14846</Characters>
  <Application>Microsoft Office Word</Application>
  <DocSecurity>0</DocSecurity>
  <Lines>123</Lines>
  <Paragraphs>33</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97</cp:revision>
  <cp:lastPrinted>2024-05-22T08:34:00Z</cp:lastPrinted>
  <dcterms:created xsi:type="dcterms:W3CDTF">2024-05-10T13:21:00Z</dcterms:created>
  <dcterms:modified xsi:type="dcterms:W3CDTF">2024-09-04T09:37:00Z</dcterms:modified>
</cp:coreProperties>
</file>