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F900" w14:textId="5834201D" w:rsidR="007B41B6" w:rsidRDefault="00E36E0D" w:rsidP="007B41B6">
      <w:pPr>
        <w:jc w:val="center"/>
        <w:rPr>
          <w:b/>
          <w:bCs/>
          <w:sz w:val="24"/>
          <w:szCs w:val="24"/>
          <w:lang w:val="eu-ES"/>
        </w:rPr>
      </w:pPr>
      <w:r>
        <w:rPr>
          <w:b/>
          <w:bCs/>
          <w:sz w:val="24"/>
          <w:szCs w:val="24"/>
          <w:lang w:val="eu-ES"/>
        </w:rPr>
        <w:t xml:space="preserve"> LEHEN GAIAREN </w:t>
      </w:r>
      <w:r w:rsidR="007B41B6" w:rsidRPr="007B41B6">
        <w:rPr>
          <w:b/>
          <w:bCs/>
          <w:sz w:val="24"/>
          <w:szCs w:val="24"/>
          <w:lang w:val="eu-ES"/>
        </w:rPr>
        <w:t xml:space="preserve">EBAZPENA </w:t>
      </w:r>
      <w:proofErr w:type="spellStart"/>
      <w:r w:rsidR="007B41B6" w:rsidRPr="007B41B6">
        <w:rPr>
          <w:b/>
          <w:bCs/>
          <w:sz w:val="24"/>
          <w:szCs w:val="24"/>
          <w:lang w:val="eu-ES"/>
        </w:rPr>
        <w:t>2024</w:t>
      </w:r>
      <w:r w:rsidR="007B41B6">
        <w:rPr>
          <w:b/>
          <w:bCs/>
          <w:sz w:val="24"/>
          <w:szCs w:val="24"/>
          <w:lang w:val="eu-ES"/>
        </w:rPr>
        <w:t>KO</w:t>
      </w:r>
      <w:proofErr w:type="spellEnd"/>
      <w:r w:rsidR="007B41B6">
        <w:rPr>
          <w:b/>
          <w:bCs/>
          <w:sz w:val="24"/>
          <w:szCs w:val="24"/>
          <w:lang w:val="eu-ES"/>
        </w:rPr>
        <w:t xml:space="preserve"> </w:t>
      </w:r>
      <w:r w:rsidR="00DE7044">
        <w:rPr>
          <w:b/>
          <w:bCs/>
          <w:sz w:val="24"/>
          <w:szCs w:val="24"/>
          <w:lang w:val="eu-ES"/>
        </w:rPr>
        <w:t>UZTAILAREN</w:t>
      </w:r>
      <w:r w:rsidR="007B41B6">
        <w:rPr>
          <w:b/>
          <w:bCs/>
          <w:sz w:val="24"/>
          <w:szCs w:val="24"/>
          <w:lang w:val="eu-ES"/>
        </w:rPr>
        <w:t xml:space="preserve"> </w:t>
      </w:r>
      <w:r w:rsidR="00DE7044">
        <w:rPr>
          <w:b/>
          <w:bCs/>
          <w:sz w:val="24"/>
          <w:szCs w:val="24"/>
          <w:lang w:val="eu-ES"/>
        </w:rPr>
        <w:t>5</w:t>
      </w:r>
      <w:r w:rsidR="00C60188">
        <w:rPr>
          <w:b/>
          <w:bCs/>
          <w:sz w:val="24"/>
          <w:szCs w:val="24"/>
          <w:lang w:val="eu-ES"/>
        </w:rPr>
        <w:t xml:space="preserve"> </w:t>
      </w:r>
      <w:proofErr w:type="spellStart"/>
      <w:r w:rsidR="00DE7044">
        <w:rPr>
          <w:b/>
          <w:bCs/>
          <w:sz w:val="24"/>
          <w:szCs w:val="24"/>
          <w:lang w:val="eu-ES"/>
        </w:rPr>
        <w:t>E</w:t>
      </w:r>
      <w:r w:rsidR="007B41B6">
        <w:rPr>
          <w:b/>
          <w:bCs/>
          <w:sz w:val="24"/>
          <w:szCs w:val="24"/>
          <w:lang w:val="eu-ES"/>
        </w:rPr>
        <w:t>KO</w:t>
      </w:r>
      <w:proofErr w:type="spellEnd"/>
      <w:r w:rsidR="00291AAE">
        <w:rPr>
          <w:b/>
          <w:bCs/>
          <w:sz w:val="24"/>
          <w:szCs w:val="24"/>
          <w:lang w:val="eu-ES"/>
        </w:rPr>
        <w:t xml:space="preserve"> BILKURA</w:t>
      </w:r>
    </w:p>
    <w:p w14:paraId="38071772" w14:textId="754B8B03" w:rsidR="00E36E0D" w:rsidRPr="007B41B6" w:rsidRDefault="00E36E0D" w:rsidP="007B41B6">
      <w:pPr>
        <w:jc w:val="center"/>
        <w:rPr>
          <w:bCs/>
          <w:sz w:val="24"/>
          <w:szCs w:val="24"/>
        </w:rPr>
      </w:pPr>
      <w:r>
        <w:rPr>
          <w:b/>
          <w:bCs/>
          <w:sz w:val="24"/>
          <w:szCs w:val="24"/>
          <w:lang w:val="eu-ES"/>
        </w:rPr>
        <w:t>(1/3)</w:t>
      </w:r>
    </w:p>
    <w:p w14:paraId="35F86C10" w14:textId="77777777" w:rsidR="007B41B6" w:rsidRPr="007B41B6" w:rsidRDefault="007B41B6" w:rsidP="007B41B6">
      <w:pPr>
        <w:jc w:val="center"/>
        <w:rPr>
          <w:bCs/>
          <w:sz w:val="24"/>
          <w:szCs w:val="24"/>
        </w:rPr>
      </w:pPr>
    </w:p>
    <w:p w14:paraId="16566D58" w14:textId="77777777" w:rsidR="007B41B6" w:rsidRDefault="007B41B6" w:rsidP="007B41B6">
      <w:pPr>
        <w:jc w:val="both"/>
        <w:rPr>
          <w:bCs/>
          <w:sz w:val="24"/>
          <w:szCs w:val="24"/>
        </w:rPr>
      </w:pPr>
    </w:p>
    <w:p w14:paraId="57B0CA7A" w14:textId="77777777" w:rsidR="00A01806" w:rsidRPr="004350AF" w:rsidRDefault="00A01806" w:rsidP="00A01806">
      <w:pPr>
        <w:jc w:val="center"/>
        <w:rPr>
          <w:b/>
          <w:color w:val="000000"/>
          <w:sz w:val="24"/>
          <w:szCs w:val="24"/>
          <w:lang w:val="es-ES_tradnl" w:eastAsia="es-ES_tradnl"/>
        </w:rPr>
      </w:pPr>
      <w:r>
        <w:rPr>
          <w:b/>
          <w:bCs/>
          <w:color w:val="000000"/>
          <w:sz w:val="24"/>
          <w:szCs w:val="24"/>
          <w:lang w:val="eu-ES" w:eastAsia="es-ES_tradnl"/>
        </w:rPr>
        <w:t>AURREKARIAK</w:t>
      </w:r>
    </w:p>
    <w:p w14:paraId="3454923F" w14:textId="77777777" w:rsidR="00A01806" w:rsidRPr="004350AF" w:rsidRDefault="00A01806" w:rsidP="00A01806">
      <w:pPr>
        <w:jc w:val="center"/>
        <w:rPr>
          <w:b/>
          <w:color w:val="000000"/>
          <w:sz w:val="24"/>
          <w:szCs w:val="24"/>
          <w:lang w:val="es-ES_tradnl" w:eastAsia="es-ES_tradnl"/>
        </w:rPr>
      </w:pPr>
    </w:p>
    <w:p w14:paraId="2B7B5241" w14:textId="77777777" w:rsidR="00A01806" w:rsidRPr="004350AF" w:rsidRDefault="00A01806" w:rsidP="00A01806">
      <w:pPr>
        <w:jc w:val="both"/>
        <w:rPr>
          <w:color w:val="000000"/>
          <w:sz w:val="24"/>
          <w:szCs w:val="24"/>
          <w:lang w:val="es-ES_tradnl" w:eastAsia="es-ES_tradnl"/>
        </w:rPr>
      </w:pPr>
    </w:p>
    <w:p w14:paraId="350F5983" w14:textId="6D923FE9" w:rsidR="00A01806" w:rsidRPr="004350AF" w:rsidRDefault="00A01806" w:rsidP="00A01806">
      <w:pPr>
        <w:jc w:val="both"/>
        <w:rPr>
          <w:sz w:val="24"/>
          <w:szCs w:val="24"/>
        </w:rPr>
      </w:pPr>
      <w:r>
        <w:rPr>
          <w:b/>
          <w:bCs/>
          <w:color w:val="000000"/>
          <w:sz w:val="24"/>
          <w:szCs w:val="24"/>
          <w:lang w:val="eu-ES" w:eastAsia="es-ES_tradnl"/>
        </w:rPr>
        <w:t>Lehenengoa</w:t>
      </w:r>
      <w:r>
        <w:rPr>
          <w:color w:val="000000"/>
          <w:sz w:val="24"/>
          <w:szCs w:val="24"/>
          <w:lang w:val="eu-ES" w:eastAsia="es-ES_tradnl"/>
        </w:rPr>
        <w:t xml:space="preserve">.- Espedientean dagoen dokumentazioaren arabera, 2024ko otsailaren 5ean, </w:t>
      </w:r>
      <w:proofErr w:type="spellStart"/>
      <w:r w:rsidR="00A30311" w:rsidRPr="00A30311">
        <w:rPr>
          <w:color w:val="000000"/>
          <w:sz w:val="24"/>
          <w:szCs w:val="24"/>
          <w:highlight w:val="black"/>
          <w:lang w:val="eu-ES" w:eastAsia="es-ES_tradnl"/>
        </w:rPr>
        <w:t>XXXXX</w:t>
      </w:r>
      <w:proofErr w:type="spellEnd"/>
      <w:r>
        <w:rPr>
          <w:color w:val="000000"/>
          <w:sz w:val="24"/>
          <w:szCs w:val="24"/>
          <w:lang w:val="eu-ES" w:eastAsia="es-ES_tradnl"/>
        </w:rPr>
        <w:t xml:space="preserve"> </w:t>
      </w:r>
      <w:bookmarkStart w:id="0" w:name="_Hlk170735991"/>
      <w:r>
        <w:rPr>
          <w:color w:val="000000"/>
          <w:sz w:val="24"/>
          <w:szCs w:val="24"/>
          <w:lang w:val="eu-ES" w:eastAsia="es-ES_tradnl"/>
        </w:rPr>
        <w:t>“</w:t>
      </w:r>
      <w:proofErr w:type="spellStart"/>
      <w:r>
        <w:rPr>
          <w:color w:val="000000"/>
          <w:sz w:val="24"/>
          <w:szCs w:val="24"/>
          <w:lang w:val="eu-ES" w:eastAsia="es-ES_tradnl"/>
        </w:rPr>
        <w:t>Consultores</w:t>
      </w:r>
      <w:proofErr w:type="spellEnd"/>
      <w:r>
        <w:rPr>
          <w:color w:val="000000"/>
          <w:sz w:val="24"/>
          <w:szCs w:val="24"/>
          <w:lang w:val="eu-ES" w:eastAsia="es-ES_tradnl"/>
        </w:rPr>
        <w:t xml:space="preserve"> de </w:t>
      </w:r>
      <w:proofErr w:type="spellStart"/>
      <w:r>
        <w:rPr>
          <w:color w:val="000000"/>
          <w:sz w:val="24"/>
          <w:szCs w:val="24"/>
          <w:lang w:val="eu-ES" w:eastAsia="es-ES_tradnl"/>
        </w:rPr>
        <w:t>Gestión</w:t>
      </w:r>
      <w:proofErr w:type="spellEnd"/>
      <w:r>
        <w:rPr>
          <w:color w:val="000000"/>
          <w:sz w:val="24"/>
          <w:szCs w:val="24"/>
          <w:lang w:val="eu-ES" w:eastAsia="es-ES_tradnl"/>
        </w:rPr>
        <w:t xml:space="preserve"> Pública</w:t>
      </w:r>
      <w:bookmarkEnd w:id="0"/>
      <w:r>
        <w:rPr>
          <w:color w:val="000000"/>
          <w:sz w:val="24"/>
          <w:szCs w:val="24"/>
          <w:lang w:val="eu-ES" w:eastAsia="es-ES_tradnl"/>
        </w:rPr>
        <w:t>” enpresak egindako azken txostena ikusteko eskaera aurkeztu zuen Arabako Foru Aldundiaren Erregistroan. Txosten horretan, Arabako Foru Aldundiaren egitura eta funtzionamendua aztertzen da.</w:t>
      </w:r>
    </w:p>
    <w:p w14:paraId="28E9BE86" w14:textId="77777777" w:rsidR="00A01806" w:rsidRPr="004350AF" w:rsidRDefault="00A01806" w:rsidP="00A01806">
      <w:pPr>
        <w:jc w:val="both"/>
        <w:rPr>
          <w:sz w:val="24"/>
          <w:szCs w:val="24"/>
        </w:rPr>
      </w:pPr>
    </w:p>
    <w:p w14:paraId="2A3EDC8B" w14:textId="77777777" w:rsidR="00A01806" w:rsidRPr="004350AF" w:rsidRDefault="00A01806" w:rsidP="00A01806">
      <w:pPr>
        <w:jc w:val="both"/>
        <w:rPr>
          <w:sz w:val="24"/>
          <w:szCs w:val="24"/>
        </w:rPr>
      </w:pPr>
      <w:r>
        <w:rPr>
          <w:b/>
          <w:bCs/>
          <w:sz w:val="24"/>
          <w:szCs w:val="24"/>
          <w:lang w:val="eu-ES"/>
        </w:rPr>
        <w:t>Bigarrena</w:t>
      </w:r>
      <w:r>
        <w:rPr>
          <w:sz w:val="24"/>
          <w:szCs w:val="24"/>
          <w:lang w:val="eu-ES"/>
        </w:rPr>
        <w:t>.- Funtzio Publikoaren Zuzendariak martxoaren 8an emandako 1473/2024 ebazpenaren bidez, eskaera hori ezestea ebatzi zuen, gardentasunari, informazio publikoa ikusteko bideari eta gobernu onari buruzko abenduaren 9ko 19/2013 Legeak (</w:t>
      </w:r>
      <w:proofErr w:type="spellStart"/>
      <w:r>
        <w:rPr>
          <w:sz w:val="24"/>
          <w:szCs w:val="24"/>
          <w:lang w:val="eu-ES"/>
        </w:rPr>
        <w:t>GIPBGOL</w:t>
      </w:r>
      <w:proofErr w:type="spellEnd"/>
      <w:r>
        <w:rPr>
          <w:sz w:val="24"/>
          <w:szCs w:val="24"/>
          <w:lang w:val="eu-ES"/>
        </w:rPr>
        <w:t xml:space="preserve"> aurrerantzean), 14.1. K). artikuluan ezarritako muga kontuan hartuz, “</w:t>
      </w:r>
      <w:r>
        <w:rPr>
          <w:i/>
          <w:iCs/>
          <w:sz w:val="24"/>
          <w:szCs w:val="24"/>
          <w:lang w:val="eu-ES"/>
        </w:rPr>
        <w:t xml:space="preserve">orain eskatutako informazioan Foru Aldundi honen inolako organoaren iritzia ez den azterketa bat jasotzen delako. Gainera, berez, har daitekeen azken erabakirako prestatzeko informazioa besterik ez da, eta txosten hori ez da, ez nahitaezkoa, ez loteslea. Beraz, Foru Aldundi hau haren edukitik eta ondorioetatik urrun daiteke erabakiak hartzeko. Izan ere, prozesu horretan eragiten du, eta Espainiako Konstituzioaren </w:t>
      </w:r>
      <w:proofErr w:type="spellStart"/>
      <w:r>
        <w:rPr>
          <w:i/>
          <w:iCs/>
          <w:sz w:val="24"/>
          <w:szCs w:val="24"/>
          <w:lang w:val="eu-ES"/>
        </w:rPr>
        <w:t>103.1</w:t>
      </w:r>
      <w:proofErr w:type="spellEnd"/>
      <w:r>
        <w:rPr>
          <w:i/>
          <w:iCs/>
          <w:sz w:val="24"/>
          <w:szCs w:val="24"/>
          <w:lang w:val="eu-ES"/>
        </w:rPr>
        <w:t>. artikuluan jasotzen den administrazioaren eraginkortasunaren printzipioan ere eragina izan dezake</w:t>
      </w:r>
      <w:r>
        <w:rPr>
          <w:sz w:val="24"/>
          <w:szCs w:val="24"/>
          <w:lang w:val="eu-ES"/>
        </w:rPr>
        <w:t xml:space="preserve">.”  </w:t>
      </w:r>
    </w:p>
    <w:p w14:paraId="489F8D5F" w14:textId="77777777" w:rsidR="00A01806" w:rsidRPr="004350AF" w:rsidRDefault="00A01806" w:rsidP="00A01806">
      <w:pPr>
        <w:jc w:val="both"/>
        <w:rPr>
          <w:sz w:val="24"/>
          <w:szCs w:val="24"/>
        </w:rPr>
      </w:pPr>
    </w:p>
    <w:p w14:paraId="2BFF5D4A" w14:textId="15C99DBB" w:rsidR="00A01806" w:rsidRPr="00FE61AA" w:rsidRDefault="00A01806" w:rsidP="00A01806">
      <w:pPr>
        <w:jc w:val="both"/>
        <w:rPr>
          <w:sz w:val="24"/>
          <w:szCs w:val="24"/>
          <w:lang w:val="eu-ES"/>
        </w:rPr>
      </w:pPr>
      <w:r>
        <w:rPr>
          <w:b/>
          <w:bCs/>
          <w:sz w:val="24"/>
          <w:szCs w:val="24"/>
          <w:lang w:val="eu-ES"/>
        </w:rPr>
        <w:t xml:space="preserve">Hirugarrena.- </w:t>
      </w:r>
      <w:r>
        <w:rPr>
          <w:sz w:val="24"/>
          <w:szCs w:val="24"/>
          <w:lang w:val="eu-ES"/>
        </w:rPr>
        <w:t xml:space="preserve">Joan den 2024ko martxoaren 7an, </w:t>
      </w:r>
      <w:proofErr w:type="spellStart"/>
      <w:r w:rsidR="00416EB3" w:rsidRPr="00416EB3">
        <w:rPr>
          <w:sz w:val="24"/>
          <w:szCs w:val="24"/>
          <w:highlight w:val="black"/>
          <w:lang w:val="eu-ES"/>
        </w:rPr>
        <w:t>XXXXX</w:t>
      </w:r>
      <w:proofErr w:type="spellEnd"/>
      <w:r>
        <w:rPr>
          <w:sz w:val="24"/>
          <w:szCs w:val="24"/>
          <w:lang w:val="eu-ES"/>
        </w:rPr>
        <w:t xml:space="preserve"> erreklamazio idazkia sartu zen Arabako Foru Aldundiaren Erregistroan, bere xedea ezetsi ziotelako. Horren bidez, txostenaren kopiaren eskaerari erantzutea, edo mugak baleude, ahalik eta informazio gehien ematea eskatu zuen. Aldundiaren egituraren aldaketa aukerako erabakia dela argudiatu du, eta ez dela eskatzen inongo arauditan.  1473/2024 Ebazpenean alegatutako konfidentzialtasuna edo sekretua arriskuan daudela dio, alde batetik, eskatutako txostena Arabako Batzar Nagusietako Enplegu, Merkataritza, Turismo eta Foru Administrazioko Batzordearen bilkuran eman eta eztabaidatu delako; bestetik, txosten horren zenbait zati komunikabideetan argitaratu direlako. Arabako Foru Aldundiak kontratatutako kanpoko enpresa batek gaur egungo egoerari buruz duen iritzia bakarrik ezagutu nahi duela dio.</w:t>
      </w:r>
    </w:p>
    <w:p w14:paraId="7EAAA94F" w14:textId="77777777" w:rsidR="00A01806" w:rsidRPr="00FE61AA" w:rsidRDefault="00A01806" w:rsidP="00A01806">
      <w:pPr>
        <w:jc w:val="both"/>
        <w:rPr>
          <w:sz w:val="24"/>
          <w:szCs w:val="24"/>
          <w:lang w:val="eu-ES"/>
        </w:rPr>
      </w:pPr>
    </w:p>
    <w:p w14:paraId="742E3C33" w14:textId="77777777" w:rsidR="00A01806" w:rsidRPr="00FE61AA" w:rsidRDefault="00A01806" w:rsidP="00A01806">
      <w:pPr>
        <w:jc w:val="both"/>
        <w:rPr>
          <w:sz w:val="24"/>
          <w:szCs w:val="24"/>
          <w:lang w:val="eu-ES"/>
        </w:rPr>
      </w:pPr>
      <w:r>
        <w:rPr>
          <w:sz w:val="24"/>
          <w:szCs w:val="24"/>
          <w:lang w:val="eu-ES"/>
        </w:rPr>
        <w:t xml:space="preserve">Erreklamazioarekin batera agiri hauen kopia aurkeztu ditu: i) otsailaren 5ean Arabako Foru Aldundian aurkeztutako informazio-eskaera; </w:t>
      </w:r>
      <w:proofErr w:type="spellStart"/>
      <w:r>
        <w:rPr>
          <w:sz w:val="24"/>
          <w:szCs w:val="24"/>
          <w:lang w:val="eu-ES"/>
        </w:rPr>
        <w:t>ii</w:t>
      </w:r>
      <w:proofErr w:type="spellEnd"/>
      <w:r>
        <w:rPr>
          <w:sz w:val="24"/>
          <w:szCs w:val="24"/>
          <w:lang w:val="eu-ES"/>
        </w:rPr>
        <w:t xml:space="preserve">) </w:t>
      </w:r>
      <w:r w:rsidRPr="00296AFA">
        <w:rPr>
          <w:sz w:val="24"/>
          <w:szCs w:val="24"/>
          <w:lang w:val="eu-ES"/>
        </w:rPr>
        <w:t>Funtzio Publikoaren zuzendariaren martxoaren 8ko 1473/2024 Ebazpenaren jakinarazpena</w:t>
      </w:r>
      <w:r>
        <w:rPr>
          <w:sz w:val="24"/>
          <w:szCs w:val="24"/>
          <w:lang w:val="eu-ES"/>
        </w:rPr>
        <w:t xml:space="preserve">; </w:t>
      </w:r>
      <w:proofErr w:type="spellStart"/>
      <w:r>
        <w:rPr>
          <w:sz w:val="24"/>
          <w:szCs w:val="24"/>
          <w:lang w:val="eu-ES"/>
        </w:rPr>
        <w:t>iii</w:t>
      </w:r>
      <w:proofErr w:type="spellEnd"/>
      <w:r>
        <w:rPr>
          <w:sz w:val="24"/>
          <w:szCs w:val="24"/>
          <w:lang w:val="eu-ES"/>
        </w:rPr>
        <w:t xml:space="preserve">) Gardentasunaren eta Gobernu Onaren Estatu Kontseiluaren 311/2022 ebazpena, aurka egindako ebazpenean aipatutakoa; </w:t>
      </w:r>
      <w:proofErr w:type="spellStart"/>
      <w:r>
        <w:rPr>
          <w:sz w:val="24"/>
          <w:szCs w:val="24"/>
          <w:lang w:val="eu-ES"/>
        </w:rPr>
        <w:t>iv</w:t>
      </w:r>
      <w:proofErr w:type="spellEnd"/>
      <w:r>
        <w:rPr>
          <w:sz w:val="24"/>
          <w:szCs w:val="24"/>
          <w:lang w:val="eu-ES"/>
        </w:rPr>
        <w:t>) Auzitegi Gorenaren administrazioarekiko auzien salaren 235/2021 epaia, 14.1 k) artikulua aplikatzeari buruzkoa (</w:t>
      </w:r>
      <w:proofErr w:type="spellStart"/>
      <w:r>
        <w:rPr>
          <w:sz w:val="24"/>
          <w:szCs w:val="24"/>
          <w:lang w:val="eu-ES"/>
        </w:rPr>
        <w:t>GIPEGOL</w:t>
      </w:r>
      <w:proofErr w:type="spellEnd"/>
      <w:r>
        <w:rPr>
          <w:sz w:val="24"/>
          <w:szCs w:val="24"/>
          <w:lang w:val="eu-ES"/>
        </w:rPr>
        <w:t>).</w:t>
      </w:r>
    </w:p>
    <w:p w14:paraId="2CC85E26" w14:textId="77777777" w:rsidR="00A01806" w:rsidRDefault="00A01806" w:rsidP="00A01806">
      <w:pPr>
        <w:jc w:val="both"/>
        <w:rPr>
          <w:sz w:val="24"/>
          <w:szCs w:val="24"/>
          <w:lang w:val="eu-ES"/>
        </w:rPr>
      </w:pPr>
    </w:p>
    <w:p w14:paraId="1D873151" w14:textId="77777777" w:rsidR="00416EB3" w:rsidRDefault="00416EB3" w:rsidP="00A01806">
      <w:pPr>
        <w:jc w:val="both"/>
        <w:rPr>
          <w:sz w:val="24"/>
          <w:szCs w:val="24"/>
          <w:lang w:val="eu-ES"/>
        </w:rPr>
      </w:pPr>
    </w:p>
    <w:p w14:paraId="320092EF" w14:textId="77777777" w:rsidR="00416EB3" w:rsidRPr="00FE61AA" w:rsidRDefault="00416EB3" w:rsidP="00A01806">
      <w:pPr>
        <w:jc w:val="both"/>
        <w:rPr>
          <w:sz w:val="24"/>
          <w:szCs w:val="24"/>
          <w:lang w:val="eu-ES"/>
        </w:rPr>
      </w:pPr>
    </w:p>
    <w:p w14:paraId="1DD0A7C1" w14:textId="77777777" w:rsidR="00A01806" w:rsidRPr="00FE61AA" w:rsidRDefault="00A01806" w:rsidP="00A01806">
      <w:pPr>
        <w:jc w:val="both"/>
        <w:rPr>
          <w:sz w:val="24"/>
          <w:szCs w:val="24"/>
          <w:lang w:val="eu-ES"/>
        </w:rPr>
      </w:pPr>
    </w:p>
    <w:p w14:paraId="68C069AF" w14:textId="77777777" w:rsidR="00A01806" w:rsidRPr="00FE61AA" w:rsidRDefault="00A01806" w:rsidP="00A01806">
      <w:pPr>
        <w:jc w:val="both"/>
        <w:rPr>
          <w:sz w:val="24"/>
          <w:szCs w:val="24"/>
          <w:lang w:val="eu-ES"/>
        </w:rPr>
      </w:pPr>
    </w:p>
    <w:p w14:paraId="38A33EDC" w14:textId="77777777" w:rsidR="00A01806" w:rsidRPr="004350AF" w:rsidRDefault="00A01806" w:rsidP="00A01806">
      <w:pPr>
        <w:jc w:val="center"/>
        <w:rPr>
          <w:b/>
          <w:color w:val="000000"/>
          <w:sz w:val="24"/>
          <w:szCs w:val="24"/>
          <w:lang w:val="es-ES_tradnl" w:eastAsia="es-ES_tradnl"/>
        </w:rPr>
      </w:pPr>
      <w:r>
        <w:rPr>
          <w:b/>
          <w:bCs/>
          <w:color w:val="000000"/>
          <w:sz w:val="24"/>
          <w:szCs w:val="24"/>
          <w:lang w:val="eu-ES" w:eastAsia="es-ES_tradnl"/>
        </w:rPr>
        <w:t>OINARRI JURIDIKOAK</w:t>
      </w:r>
    </w:p>
    <w:p w14:paraId="69AF410E" w14:textId="77777777" w:rsidR="00A01806" w:rsidRPr="004350AF" w:rsidRDefault="00A01806" w:rsidP="00A01806">
      <w:pPr>
        <w:jc w:val="center"/>
        <w:rPr>
          <w:b/>
          <w:color w:val="000000"/>
          <w:sz w:val="24"/>
          <w:szCs w:val="24"/>
          <w:lang w:val="es-ES_tradnl" w:eastAsia="es-ES_tradnl"/>
        </w:rPr>
      </w:pPr>
    </w:p>
    <w:p w14:paraId="035FACB4" w14:textId="77777777" w:rsidR="00A01806" w:rsidRPr="004350AF" w:rsidRDefault="00A01806" w:rsidP="00A01806">
      <w:pPr>
        <w:pStyle w:val="Prrafodelista"/>
        <w:numPr>
          <w:ilvl w:val="0"/>
          <w:numId w:val="40"/>
        </w:numPr>
        <w:jc w:val="both"/>
        <w:rPr>
          <w:sz w:val="24"/>
          <w:szCs w:val="24"/>
        </w:rPr>
      </w:pPr>
      <w:r>
        <w:rPr>
          <w:sz w:val="24"/>
          <w:szCs w:val="24"/>
          <w:lang w:val="eu-ES"/>
        </w:rPr>
        <w:t xml:space="preserve">Erreklamatzaileak planteatutako eskaerari dagokionez, gaiaren mamia aztertu aurretik, bidezko da aztertzea ea eskaerak betetzen dituen erreklamazio hori planteatzeko beharrezko baldintzak. Haiek, Gardentasunaren, Herritarren Parte-hartzearen eta Gobernu Onaren otsailaren 8ko 1/2017 Foru Arauaren 35.5 artikuluaren arabera, oinarrizko legerian finkatuta daude, hau da, </w:t>
      </w:r>
      <w:proofErr w:type="spellStart"/>
      <w:r>
        <w:rPr>
          <w:sz w:val="24"/>
          <w:szCs w:val="24"/>
          <w:lang w:val="eu-ES"/>
        </w:rPr>
        <w:t>GIPEGOLen</w:t>
      </w:r>
      <w:proofErr w:type="spellEnd"/>
      <w:r>
        <w:rPr>
          <w:sz w:val="24"/>
          <w:szCs w:val="24"/>
          <w:lang w:val="eu-ES"/>
        </w:rPr>
        <w:t>.</w:t>
      </w:r>
    </w:p>
    <w:p w14:paraId="0871171D" w14:textId="77777777" w:rsidR="00A01806" w:rsidRPr="004350AF" w:rsidRDefault="00A01806" w:rsidP="00A01806">
      <w:pPr>
        <w:jc w:val="both"/>
        <w:rPr>
          <w:sz w:val="24"/>
          <w:szCs w:val="24"/>
        </w:rPr>
      </w:pPr>
    </w:p>
    <w:p w14:paraId="75905CF8" w14:textId="77777777" w:rsidR="00A01806" w:rsidRPr="004350AF" w:rsidRDefault="00A01806" w:rsidP="00A01806">
      <w:pPr>
        <w:jc w:val="both"/>
        <w:rPr>
          <w:sz w:val="24"/>
          <w:szCs w:val="24"/>
        </w:rPr>
      </w:pPr>
    </w:p>
    <w:p w14:paraId="3E4B8117" w14:textId="77777777" w:rsidR="00A01806" w:rsidRPr="004350AF" w:rsidRDefault="00A01806" w:rsidP="00A01806">
      <w:pPr>
        <w:pStyle w:val="Prrafodelista"/>
        <w:numPr>
          <w:ilvl w:val="0"/>
          <w:numId w:val="40"/>
        </w:numPr>
        <w:jc w:val="both"/>
        <w:rPr>
          <w:sz w:val="24"/>
          <w:szCs w:val="24"/>
        </w:rPr>
      </w:pPr>
      <w:r>
        <w:rPr>
          <w:sz w:val="24"/>
          <w:szCs w:val="24"/>
          <w:lang w:val="eu-ES"/>
        </w:rPr>
        <w:t xml:space="preserve">Erreklamazioa aurkezteko epeari dagokionez, </w:t>
      </w:r>
      <w:proofErr w:type="spellStart"/>
      <w:r>
        <w:rPr>
          <w:sz w:val="24"/>
          <w:szCs w:val="24"/>
          <w:lang w:val="eu-ES"/>
        </w:rPr>
        <w:t>GIPEGOLek</w:t>
      </w:r>
      <w:proofErr w:type="spellEnd"/>
      <w:r>
        <w:rPr>
          <w:sz w:val="24"/>
          <w:szCs w:val="24"/>
          <w:lang w:val="eu-ES"/>
        </w:rPr>
        <w:t xml:space="preserve"> dio 24.2 artikuluan ezen erreklamazioa aurkezteko epea hilabete batekoa izango dela aurkatutako egintza jakinarazten den egunaren biharamunetik hasita, eta, hain zuzen, epe horri heldu zion erreklamatzaileak, zeren eta Funtzio Publikoaren Zuzendariaren ebazpena 2024ko martxoaren 27an jakinarazi zen, eta  erreklamazioaren idazkia 2024ko martxoaren 7an sartu baitzen Arabako Foru Aldundiaren Erregistroan.</w:t>
      </w:r>
    </w:p>
    <w:p w14:paraId="71A437E1" w14:textId="77777777" w:rsidR="00A01806" w:rsidRPr="004350AF" w:rsidRDefault="00A01806" w:rsidP="00A01806">
      <w:pPr>
        <w:jc w:val="both"/>
        <w:rPr>
          <w:sz w:val="24"/>
          <w:szCs w:val="24"/>
        </w:rPr>
      </w:pPr>
    </w:p>
    <w:p w14:paraId="44009B7D" w14:textId="77777777" w:rsidR="00A01806" w:rsidRPr="004350AF" w:rsidRDefault="00A01806" w:rsidP="00A01806">
      <w:pPr>
        <w:jc w:val="both"/>
        <w:rPr>
          <w:sz w:val="24"/>
          <w:szCs w:val="24"/>
        </w:rPr>
      </w:pPr>
    </w:p>
    <w:p w14:paraId="6659E1D9" w14:textId="54B7EADA" w:rsidR="00A01806" w:rsidRPr="004350AF" w:rsidRDefault="00A01806" w:rsidP="00A01806">
      <w:pPr>
        <w:pStyle w:val="Prrafodelista"/>
        <w:numPr>
          <w:ilvl w:val="0"/>
          <w:numId w:val="40"/>
        </w:numPr>
        <w:jc w:val="both"/>
        <w:rPr>
          <w:sz w:val="24"/>
          <w:szCs w:val="24"/>
        </w:rPr>
      </w:pPr>
      <w:r>
        <w:rPr>
          <w:sz w:val="24"/>
          <w:szCs w:val="24"/>
          <w:lang w:val="eu-ES"/>
        </w:rPr>
        <w:t xml:space="preserve">Bat etorriz 1/2017 Foru Arauaren 35.3 artikuluan eta lehen xedapen gehigarrian eta Foru Gobernu Kontseiluaren otsailaren 21eko 5/2017 Foru Dekretuan xedatutakoarekin, Gardentasunaren Foru Kontseiluak eskumena du foru sektore publikoko edozein erakundek hartutako ebazpenen aurrean gardentasunaren arloan egiten diren erreklamazioak aztertzeko eta ebazteko, eta ebazpen horien artean dago </w:t>
      </w:r>
      <w:proofErr w:type="spellStart"/>
      <w:r w:rsidR="001614E9" w:rsidRPr="001614E9">
        <w:rPr>
          <w:sz w:val="24"/>
          <w:szCs w:val="24"/>
          <w:highlight w:val="black"/>
          <w:lang w:val="eu-ES"/>
        </w:rPr>
        <w:t>XXXXX</w:t>
      </w:r>
      <w:proofErr w:type="spellEnd"/>
      <w:r>
        <w:rPr>
          <w:sz w:val="24"/>
          <w:szCs w:val="24"/>
          <w:lang w:val="eu-ES"/>
        </w:rPr>
        <w:t xml:space="preserve"> aurkatutako ebazpena.</w:t>
      </w:r>
    </w:p>
    <w:p w14:paraId="213A4110" w14:textId="77777777" w:rsidR="00A01806" w:rsidRPr="004350AF" w:rsidRDefault="00A01806" w:rsidP="00A01806">
      <w:pPr>
        <w:pStyle w:val="Prrafodelista"/>
        <w:rPr>
          <w:sz w:val="24"/>
          <w:szCs w:val="24"/>
        </w:rPr>
      </w:pPr>
    </w:p>
    <w:p w14:paraId="52DEC69F" w14:textId="77777777" w:rsidR="00A01806" w:rsidRPr="004350AF" w:rsidRDefault="00A01806" w:rsidP="00A01806">
      <w:pPr>
        <w:jc w:val="both"/>
        <w:rPr>
          <w:sz w:val="24"/>
          <w:szCs w:val="24"/>
        </w:rPr>
      </w:pPr>
    </w:p>
    <w:p w14:paraId="4776AA5D" w14:textId="77777777" w:rsidR="00A01806" w:rsidRPr="004350AF" w:rsidRDefault="00A01806" w:rsidP="00A01806">
      <w:pPr>
        <w:pStyle w:val="Prrafodelista"/>
        <w:numPr>
          <w:ilvl w:val="0"/>
          <w:numId w:val="40"/>
        </w:numPr>
        <w:autoSpaceDE w:val="0"/>
        <w:autoSpaceDN w:val="0"/>
        <w:adjustRightInd w:val="0"/>
        <w:jc w:val="both"/>
        <w:rPr>
          <w:sz w:val="24"/>
          <w:szCs w:val="24"/>
        </w:rPr>
      </w:pPr>
      <w:r>
        <w:rPr>
          <w:kern w:val="3"/>
          <w:sz w:val="24"/>
          <w:szCs w:val="24"/>
          <w:lang w:val="eu-ES" w:eastAsia="eu-ES"/>
        </w:rPr>
        <w:t>Behin egiaztaturik erakunde erreklamatua Gardentasunaren 1/2017 Foru Arauari lotzen zaiola, Gardentasunaren Foru Kontseiluaren eskumen subjektiboa eta erreklamatzailearen legitimazioa, egiaztatu behar da, ondotik, badela egiaz informazio publikoaren eskaera bat, zeren eta, 1/2017 Foru Arauaren eta otsailaren 21eko 5/2017 Dekretuaren arabera, Kontseilu horrek ez baitu eskumenik bestelako auzirik aztertzeko.</w:t>
      </w:r>
    </w:p>
    <w:p w14:paraId="2E727B24" w14:textId="77777777" w:rsidR="00A01806" w:rsidRPr="004350AF" w:rsidRDefault="00A01806" w:rsidP="00A01806">
      <w:pPr>
        <w:autoSpaceDE w:val="0"/>
        <w:autoSpaceDN w:val="0"/>
        <w:adjustRightInd w:val="0"/>
        <w:jc w:val="both"/>
        <w:rPr>
          <w:sz w:val="24"/>
          <w:szCs w:val="24"/>
        </w:rPr>
      </w:pPr>
    </w:p>
    <w:p w14:paraId="78EAE73F" w14:textId="77777777" w:rsidR="00A01806" w:rsidRPr="004350AF" w:rsidRDefault="00A01806" w:rsidP="00A01806">
      <w:pPr>
        <w:suppressAutoHyphens/>
        <w:autoSpaceDN w:val="0"/>
        <w:ind w:left="360"/>
        <w:jc w:val="both"/>
        <w:textAlignment w:val="baseline"/>
        <w:rPr>
          <w:snapToGrid w:val="0"/>
          <w:kern w:val="3"/>
          <w:sz w:val="24"/>
          <w:szCs w:val="24"/>
          <w:lang w:eastAsia="eu-ES"/>
        </w:rPr>
      </w:pPr>
      <w:r>
        <w:rPr>
          <w:kern w:val="3"/>
          <w:sz w:val="24"/>
          <w:szCs w:val="24"/>
          <w:lang w:val="eu-ES" w:eastAsia="eu-ES"/>
        </w:rPr>
        <w:t xml:space="preserve">Erreklamazioaren xedea da informazio publikoa ikusteko arloan dagoen martxoaren 8ko 1473/2024 berariazko ebazpena ezagutzea, horren bidez, erreklamatzailearen eskaera ezetsi baitzuten. </w:t>
      </w:r>
    </w:p>
    <w:p w14:paraId="66B64D8D" w14:textId="77777777" w:rsidR="00A01806" w:rsidRPr="004350AF" w:rsidRDefault="00A01806" w:rsidP="00A01806">
      <w:pPr>
        <w:autoSpaceDE w:val="0"/>
        <w:autoSpaceDN w:val="0"/>
        <w:adjustRightInd w:val="0"/>
        <w:ind w:left="360"/>
        <w:jc w:val="both"/>
        <w:rPr>
          <w:sz w:val="24"/>
          <w:szCs w:val="24"/>
        </w:rPr>
      </w:pPr>
    </w:p>
    <w:p w14:paraId="7ACA0930" w14:textId="77777777" w:rsidR="00A01806" w:rsidRPr="004350AF" w:rsidRDefault="00A01806" w:rsidP="00A01806">
      <w:pPr>
        <w:autoSpaceDE w:val="0"/>
        <w:autoSpaceDN w:val="0"/>
        <w:adjustRightInd w:val="0"/>
        <w:ind w:left="360"/>
        <w:jc w:val="both"/>
        <w:rPr>
          <w:sz w:val="24"/>
          <w:szCs w:val="24"/>
        </w:rPr>
      </w:pPr>
    </w:p>
    <w:p w14:paraId="33CF7704" w14:textId="77777777" w:rsidR="00A01806" w:rsidRPr="004350AF" w:rsidRDefault="00A01806" w:rsidP="00A01806">
      <w:pPr>
        <w:pStyle w:val="Prrafodelista"/>
        <w:numPr>
          <w:ilvl w:val="0"/>
          <w:numId w:val="40"/>
        </w:numPr>
        <w:suppressAutoHyphens/>
        <w:autoSpaceDN w:val="0"/>
        <w:jc w:val="both"/>
        <w:textAlignment w:val="baseline"/>
        <w:rPr>
          <w:snapToGrid w:val="0"/>
          <w:kern w:val="3"/>
          <w:sz w:val="24"/>
          <w:szCs w:val="24"/>
          <w:lang w:eastAsia="eu-ES"/>
        </w:rPr>
      </w:pPr>
      <w:r>
        <w:rPr>
          <w:color w:val="000000"/>
          <w:sz w:val="24"/>
          <w:szCs w:val="24"/>
          <w:lang w:val="eu-ES" w:eastAsia="es-ES_tradnl"/>
        </w:rPr>
        <w:t>Otsailaren 8ko 1/2017 Foru Arauaren 18. artikuluaren arabera, informazio publikoa da “</w:t>
      </w:r>
      <w:r>
        <w:rPr>
          <w:i/>
          <w:iCs/>
          <w:color w:val="000000"/>
          <w:sz w:val="24"/>
          <w:szCs w:val="24"/>
          <w:lang w:val="eu-ES" w:eastAsia="es-ES_tradnl"/>
        </w:rPr>
        <w:t xml:space="preserve">Foru Arau honen 3. artikuluan aipatzen diren subjektuetako edozeinen eskuetan diren eduki edo </w:t>
      </w:r>
      <w:r>
        <w:rPr>
          <w:i/>
          <w:iCs/>
          <w:sz w:val="24"/>
          <w:szCs w:val="24"/>
          <w:lang w:val="eu-ES" w:eastAsia="es-ES_tradnl"/>
        </w:rPr>
        <w:t>dokumentuak, edozein dela ere haien formatua edo euskarria, haiek beren eginkizunak betez sortu edo eskuratu dituztenak”.</w:t>
      </w:r>
    </w:p>
    <w:p w14:paraId="3915A29B" w14:textId="77777777" w:rsidR="00A01806" w:rsidRPr="004350AF" w:rsidRDefault="00A01806" w:rsidP="00A01806">
      <w:pPr>
        <w:pStyle w:val="Prrafodelista"/>
        <w:rPr>
          <w:snapToGrid w:val="0"/>
          <w:kern w:val="3"/>
          <w:sz w:val="24"/>
          <w:szCs w:val="24"/>
          <w:lang w:eastAsia="eu-ES"/>
        </w:rPr>
      </w:pPr>
    </w:p>
    <w:p w14:paraId="0E0BD919" w14:textId="77777777" w:rsidR="00A01806" w:rsidRPr="00FE61AA" w:rsidRDefault="00A01806" w:rsidP="00A01806">
      <w:pPr>
        <w:suppressAutoHyphens/>
        <w:autoSpaceDN w:val="0"/>
        <w:ind w:left="360"/>
        <w:jc w:val="both"/>
        <w:textAlignment w:val="baseline"/>
        <w:rPr>
          <w:color w:val="000000"/>
          <w:sz w:val="24"/>
          <w:szCs w:val="24"/>
          <w:lang w:val="eu-ES" w:eastAsia="es-ES_tradnl"/>
        </w:rPr>
      </w:pPr>
      <w:r>
        <w:rPr>
          <w:color w:val="000000"/>
          <w:sz w:val="24"/>
          <w:szCs w:val="24"/>
          <w:lang w:val="eu-ES" w:eastAsia="es-ES_tradnl"/>
        </w:rPr>
        <w:lastRenderedPageBreak/>
        <w:t xml:space="preserve">Beraz, zalantzarik gabe, informazioa eskuratzeko eskatzen den gaia informazio publikoa da, artikulu horretan eskatzen diren baldintzak betetzen baitira.  Lehendabizi, Arabako Foru Aldundia foru sektore publikoko erakundea da, beraz, 1/2017 Foru Arauaren 18. artikuluan jasotzen den esparru subjektiboaren barruan dago.  Bigarrenik, erakundeari esleitutako eskumenez baliatuz eskuratutako informazioa da. </w:t>
      </w:r>
    </w:p>
    <w:p w14:paraId="77943DD0" w14:textId="77777777" w:rsidR="00A01806" w:rsidRPr="00FE61AA" w:rsidRDefault="00A01806" w:rsidP="00A01806">
      <w:pPr>
        <w:suppressAutoHyphens/>
        <w:autoSpaceDN w:val="0"/>
        <w:ind w:left="360"/>
        <w:jc w:val="both"/>
        <w:textAlignment w:val="baseline"/>
        <w:rPr>
          <w:color w:val="000000"/>
          <w:sz w:val="24"/>
          <w:szCs w:val="24"/>
          <w:lang w:val="eu-ES" w:eastAsia="es-ES_tradnl"/>
        </w:rPr>
      </w:pPr>
    </w:p>
    <w:p w14:paraId="0D145B70" w14:textId="77777777" w:rsidR="00A01806" w:rsidRPr="00FE61AA" w:rsidRDefault="00A01806" w:rsidP="00A01806">
      <w:pPr>
        <w:suppressAutoHyphens/>
        <w:autoSpaceDN w:val="0"/>
        <w:ind w:left="360"/>
        <w:jc w:val="both"/>
        <w:textAlignment w:val="baseline"/>
        <w:rPr>
          <w:color w:val="000000"/>
          <w:sz w:val="24"/>
          <w:szCs w:val="24"/>
          <w:lang w:val="eu-ES" w:eastAsia="es-ES_tradnl"/>
        </w:rPr>
      </w:pPr>
      <w:r>
        <w:rPr>
          <w:color w:val="000000"/>
          <w:sz w:val="24"/>
          <w:szCs w:val="24"/>
          <w:lang w:val="eu-ES" w:eastAsia="es-ES_tradnl"/>
        </w:rPr>
        <w:t>Horrela, halakoetan, administrazioak eskatutako informazioa ikusteko baimena eman behar du, ez onartzeko edo legezko muga bat aplikatzeko arrazoiren bat dagoela modu argian justifikatzen bada izan ezik.</w:t>
      </w:r>
    </w:p>
    <w:p w14:paraId="6104895D" w14:textId="77777777" w:rsidR="00A01806" w:rsidRPr="00FE61AA" w:rsidRDefault="00A01806" w:rsidP="00A01806">
      <w:pPr>
        <w:suppressAutoHyphens/>
        <w:autoSpaceDN w:val="0"/>
        <w:ind w:left="360"/>
        <w:jc w:val="both"/>
        <w:textAlignment w:val="baseline"/>
        <w:rPr>
          <w:snapToGrid w:val="0"/>
          <w:kern w:val="3"/>
          <w:sz w:val="24"/>
          <w:szCs w:val="24"/>
          <w:lang w:val="eu-ES" w:eastAsia="eu-ES"/>
        </w:rPr>
      </w:pPr>
    </w:p>
    <w:p w14:paraId="06169F0A" w14:textId="77777777" w:rsidR="00A01806" w:rsidRPr="00FE61AA" w:rsidRDefault="00A01806" w:rsidP="00A01806">
      <w:pPr>
        <w:suppressAutoHyphens/>
        <w:autoSpaceDN w:val="0"/>
        <w:ind w:left="360"/>
        <w:jc w:val="both"/>
        <w:textAlignment w:val="baseline"/>
        <w:rPr>
          <w:snapToGrid w:val="0"/>
          <w:kern w:val="3"/>
          <w:sz w:val="24"/>
          <w:szCs w:val="24"/>
          <w:lang w:val="eu-ES" w:eastAsia="eu-ES"/>
        </w:rPr>
      </w:pPr>
    </w:p>
    <w:p w14:paraId="2CDFE57A" w14:textId="0F6D812E" w:rsidR="00A01806" w:rsidRPr="00FE61AA" w:rsidRDefault="00A01806" w:rsidP="00A01806">
      <w:pPr>
        <w:pStyle w:val="Prrafodelista"/>
        <w:numPr>
          <w:ilvl w:val="0"/>
          <w:numId w:val="40"/>
        </w:numPr>
        <w:suppressAutoHyphens/>
        <w:autoSpaceDN w:val="0"/>
        <w:jc w:val="both"/>
        <w:textAlignment w:val="baseline"/>
        <w:rPr>
          <w:color w:val="000000"/>
          <w:sz w:val="24"/>
          <w:szCs w:val="24"/>
          <w:lang w:val="eu-ES" w:eastAsia="es-ES_tradnl"/>
        </w:rPr>
      </w:pPr>
      <w:r>
        <w:rPr>
          <w:color w:val="000000"/>
          <w:sz w:val="24"/>
          <w:szCs w:val="24"/>
          <w:lang w:val="eu-ES" w:eastAsia="es-ES_tradnl"/>
        </w:rPr>
        <w:t xml:space="preserve">Auziaren funtsari dagokionez, </w:t>
      </w:r>
      <w:proofErr w:type="spellStart"/>
      <w:r w:rsidR="00AA1A63" w:rsidRPr="00AA1A63">
        <w:rPr>
          <w:color w:val="000000"/>
          <w:sz w:val="24"/>
          <w:szCs w:val="24"/>
          <w:highlight w:val="black"/>
          <w:lang w:val="eu-ES" w:eastAsia="es-ES_tradnl"/>
        </w:rPr>
        <w:t>XXXXX</w:t>
      </w:r>
      <w:proofErr w:type="spellEnd"/>
      <w:r>
        <w:rPr>
          <w:color w:val="000000"/>
          <w:sz w:val="24"/>
          <w:szCs w:val="24"/>
          <w:lang w:val="eu-ES" w:eastAsia="es-ES_tradnl"/>
        </w:rPr>
        <w:t xml:space="preserve"> eskaera ezetsi dute, </w:t>
      </w:r>
      <w:proofErr w:type="spellStart"/>
      <w:r>
        <w:rPr>
          <w:color w:val="000000"/>
          <w:sz w:val="24"/>
          <w:szCs w:val="24"/>
          <w:lang w:val="eu-ES" w:eastAsia="es-ES_tradnl"/>
        </w:rPr>
        <w:t>GIPEGOLen</w:t>
      </w:r>
      <w:proofErr w:type="spellEnd"/>
      <w:r>
        <w:rPr>
          <w:color w:val="000000"/>
          <w:sz w:val="24"/>
          <w:szCs w:val="24"/>
          <w:lang w:val="eu-ES" w:eastAsia="es-ES_tradnl"/>
        </w:rPr>
        <w:t xml:space="preserve"> 14.1 k). artikulua kontuan hartuz, izan ere, eskatutako agiriak honako hauek barne hartzen ditu: i) kanpoko enpresa batek egindako azterketa edo ebaluazioa, haren iritziak edo balorazioak jasotzen dituena; </w:t>
      </w:r>
      <w:proofErr w:type="spellStart"/>
      <w:r>
        <w:rPr>
          <w:color w:val="000000"/>
          <w:sz w:val="24"/>
          <w:szCs w:val="24"/>
          <w:lang w:val="eu-ES" w:eastAsia="es-ES_tradnl"/>
        </w:rPr>
        <w:t>ii</w:t>
      </w:r>
      <w:proofErr w:type="spellEnd"/>
      <w:r>
        <w:rPr>
          <w:color w:val="000000"/>
          <w:sz w:val="24"/>
          <w:szCs w:val="24"/>
          <w:lang w:val="eu-ES" w:eastAsia="es-ES_tradnl"/>
        </w:rPr>
        <w:t xml:space="preserve">) ez osorik, ez partzialki, loteslea eta nahitaezkoa ez den txostena, beraz, Aldundiak ez ditu bere erabakiak egokitu behar, ez eta han jasotzen diren irizpideekin bat etorri behar ere; </w:t>
      </w:r>
      <w:proofErr w:type="spellStart"/>
      <w:r>
        <w:rPr>
          <w:color w:val="000000"/>
          <w:sz w:val="24"/>
          <w:szCs w:val="24"/>
          <w:lang w:val="eu-ES" w:eastAsia="es-ES_tradnl"/>
        </w:rPr>
        <w:t>iii</w:t>
      </w:r>
      <w:proofErr w:type="spellEnd"/>
      <w:r>
        <w:rPr>
          <w:color w:val="000000"/>
          <w:sz w:val="24"/>
          <w:szCs w:val="24"/>
          <w:lang w:val="eu-ES" w:eastAsia="es-ES_tradnl"/>
        </w:rPr>
        <w:t xml:space="preserve">) azken erabakietarako prestatzeko informazio hutsa, Aldundiak nahitaez oinarritzat hartu behar ez duena, bere egitura berriro diseinatzeko edo lanpostuen zerrenda aldatzeko; </w:t>
      </w:r>
      <w:proofErr w:type="spellStart"/>
      <w:r>
        <w:rPr>
          <w:color w:val="000000"/>
          <w:sz w:val="24"/>
          <w:szCs w:val="24"/>
          <w:lang w:val="eu-ES" w:eastAsia="es-ES_tradnl"/>
        </w:rPr>
        <w:t>iv</w:t>
      </w:r>
      <w:proofErr w:type="spellEnd"/>
      <w:r>
        <w:rPr>
          <w:color w:val="000000"/>
          <w:sz w:val="24"/>
          <w:szCs w:val="24"/>
          <w:lang w:val="eu-ES" w:eastAsia="es-ES_tradnl"/>
        </w:rPr>
        <w:t>) informazio garrantzitsua, erabakiak hartzean eskatzen den konfidentzialtasunari edo sekretuari dagokienez.</w:t>
      </w:r>
    </w:p>
    <w:p w14:paraId="24733E8E" w14:textId="77777777" w:rsidR="00A01806" w:rsidRPr="00FE61AA" w:rsidRDefault="00A01806" w:rsidP="00A01806">
      <w:pPr>
        <w:suppressAutoHyphens/>
        <w:autoSpaceDN w:val="0"/>
        <w:jc w:val="both"/>
        <w:textAlignment w:val="baseline"/>
        <w:rPr>
          <w:color w:val="000000"/>
          <w:sz w:val="24"/>
          <w:szCs w:val="24"/>
          <w:lang w:val="eu-ES" w:eastAsia="es-ES_tradnl"/>
        </w:rPr>
      </w:pPr>
    </w:p>
    <w:p w14:paraId="7433A121" w14:textId="77777777" w:rsidR="00A01806" w:rsidRPr="00FE61AA" w:rsidRDefault="00A01806" w:rsidP="00A01806">
      <w:pPr>
        <w:suppressAutoHyphens/>
        <w:autoSpaceDN w:val="0"/>
        <w:ind w:left="360"/>
        <w:jc w:val="both"/>
        <w:textAlignment w:val="baseline"/>
        <w:rPr>
          <w:color w:val="000000"/>
          <w:sz w:val="24"/>
          <w:szCs w:val="24"/>
          <w:lang w:val="eu-ES" w:eastAsia="es-ES_tradnl"/>
        </w:rPr>
      </w:pPr>
      <w:r>
        <w:rPr>
          <w:color w:val="000000"/>
          <w:sz w:val="24"/>
          <w:szCs w:val="24"/>
          <w:lang w:val="eu-ES" w:eastAsia="es-ES_tradnl"/>
        </w:rPr>
        <w:t>Emandako erantzuna eta aurkeztutako alegazioak ikusita, ez da argi geratzen erreklamazioa aurkeztu zioten erakundeak sarbidea ukatu zuen 14.1 k). artikuluan, erabakiak hartzeko prozesuetan eskatzen den konfidentzialtasuna edo sekretua bermatzeari buruzkoan, oinarrituz bakarrik, edo Lege horren 18.1. artikuluko b) atala ere kontuan hartuz, 147/2024 ebazpenean arau horretan jasotzen den ez onartzeko arrazoiaren berezko elementuak aipatzen direlako, hala nola prestatzeko txostena izatea, ez nahitaezkoa, kanpoko iritzi eta balorazioekin.</w:t>
      </w:r>
    </w:p>
    <w:p w14:paraId="7BB95D21" w14:textId="77777777" w:rsidR="00A01806" w:rsidRPr="00FE61AA" w:rsidRDefault="00A01806" w:rsidP="00A01806">
      <w:pPr>
        <w:suppressAutoHyphens/>
        <w:autoSpaceDN w:val="0"/>
        <w:ind w:left="360"/>
        <w:jc w:val="both"/>
        <w:textAlignment w:val="baseline"/>
        <w:rPr>
          <w:color w:val="000000"/>
          <w:sz w:val="24"/>
          <w:szCs w:val="24"/>
          <w:lang w:val="eu-ES" w:eastAsia="es-ES_tradnl"/>
        </w:rPr>
      </w:pPr>
    </w:p>
    <w:p w14:paraId="1136BBCB" w14:textId="77777777" w:rsidR="00A01806" w:rsidRPr="00FE61AA" w:rsidRDefault="00A01806" w:rsidP="00A01806">
      <w:pPr>
        <w:suppressAutoHyphens/>
        <w:autoSpaceDN w:val="0"/>
        <w:ind w:left="360"/>
        <w:jc w:val="both"/>
        <w:textAlignment w:val="baseline"/>
        <w:rPr>
          <w:color w:val="000000"/>
          <w:sz w:val="24"/>
          <w:szCs w:val="24"/>
          <w:lang w:val="eu-ES" w:eastAsia="es-ES_tradnl"/>
        </w:rPr>
      </w:pPr>
      <w:r>
        <w:rPr>
          <w:color w:val="000000"/>
          <w:sz w:val="24"/>
          <w:szCs w:val="24"/>
          <w:lang w:val="eu-ES" w:eastAsia="es-ES_tradnl"/>
        </w:rPr>
        <w:t>Horrenbestez, erreklamatutako ebazpenean aipatzen diren bi artikuluak hor dauden aztertu ditugu, eta erreklamatzaileak egindako alegazioak kontuan hartuta, ez dira agertzen.</w:t>
      </w:r>
    </w:p>
    <w:p w14:paraId="7BCF1782" w14:textId="77777777" w:rsidR="00A01806" w:rsidRPr="00FE61AA" w:rsidRDefault="00A01806" w:rsidP="00A01806">
      <w:pPr>
        <w:suppressAutoHyphens/>
        <w:autoSpaceDN w:val="0"/>
        <w:ind w:left="360"/>
        <w:jc w:val="both"/>
        <w:textAlignment w:val="baseline"/>
        <w:rPr>
          <w:color w:val="000000"/>
          <w:sz w:val="24"/>
          <w:szCs w:val="24"/>
          <w:lang w:val="eu-ES" w:eastAsia="es-ES_tradnl"/>
        </w:rPr>
      </w:pPr>
    </w:p>
    <w:p w14:paraId="52C5E257" w14:textId="4739C634" w:rsidR="00A01806" w:rsidRDefault="00A01806" w:rsidP="00A01806">
      <w:pPr>
        <w:suppressAutoHyphens/>
        <w:autoSpaceDN w:val="0"/>
        <w:ind w:left="360"/>
        <w:jc w:val="both"/>
        <w:textAlignment w:val="baseline"/>
        <w:rPr>
          <w:sz w:val="24"/>
          <w:szCs w:val="24"/>
          <w:lang w:val="eu-ES" w:eastAsia="es-ES_tradnl"/>
        </w:rPr>
      </w:pPr>
      <w:r>
        <w:rPr>
          <w:color w:val="000000"/>
          <w:sz w:val="24"/>
          <w:szCs w:val="24"/>
          <w:lang w:val="eu-ES" w:eastAsia="es-ES_tradnl"/>
        </w:rPr>
        <w:t xml:space="preserve">Egiaztatzeko prozesu honetan komeni da ez ahaztea finkatutako jurisprudentzia, besteak beste, </w:t>
      </w:r>
      <w:proofErr w:type="spellStart"/>
      <w:r>
        <w:rPr>
          <w:color w:val="000000"/>
          <w:sz w:val="24"/>
          <w:szCs w:val="24"/>
          <w:lang w:val="eu-ES" w:eastAsia="es-ES_tradnl"/>
        </w:rPr>
        <w:t>AGE</w:t>
      </w:r>
      <w:proofErr w:type="spellEnd"/>
      <w:r>
        <w:rPr>
          <w:color w:val="000000"/>
          <w:sz w:val="24"/>
          <w:szCs w:val="24"/>
          <w:lang w:val="eu-ES" w:eastAsia="es-ES_tradnl"/>
        </w:rPr>
        <w:t xml:space="preserve">, </w:t>
      </w:r>
      <w:r>
        <w:rPr>
          <w:sz w:val="24"/>
          <w:szCs w:val="24"/>
          <w:lang w:val="eu-ES" w:eastAsia="es-ES_tradnl"/>
        </w:rPr>
        <w:t xml:space="preserve">2017ko urriaren 16koa, </w:t>
      </w:r>
      <w:r>
        <w:rPr>
          <w:color w:val="000000"/>
          <w:sz w:val="24"/>
          <w:szCs w:val="24"/>
          <w:lang w:val="eu-ES" w:eastAsia="es-ES_tradnl"/>
        </w:rPr>
        <w:t>zorrozki baina murrizketarik gabe interpretatzeko beharrari buruz, “</w:t>
      </w:r>
      <w:r>
        <w:rPr>
          <w:i/>
          <w:iCs/>
          <w:sz w:val="24"/>
          <w:szCs w:val="24"/>
          <w:lang w:val="eu-ES" w:eastAsia="es-ES_tradnl"/>
        </w:rPr>
        <w:t>bai 19/2013 Legearen 14.1. artikuluan jasotzen diren eskubide horretarako mugak, bai 18.1. artikuluan aipatzen diren informazio-eskaerak ez onartzeko arrazoiak (...). Horrela, ez da mugarik onartuko informazioa ikusteko eskubideari justifikatu gabe eta neurriz kanpo kalte egiten bazaio (…) Halaber, informazioa ikusteko eskubidea mugatzeko aukera ez da informazioa eskatzen zaio Administrazioaren edo erakundearen aukerako ahalmena, modu zabalean onartutako eskubidea baita, eta Legean ezarritako kasuetan eta baldintzetan bakarrik muga daiteke</w:t>
      </w:r>
      <w:r>
        <w:rPr>
          <w:sz w:val="24"/>
          <w:szCs w:val="24"/>
          <w:lang w:val="eu-ES" w:eastAsia="es-ES_tradnl"/>
        </w:rPr>
        <w:t>”</w:t>
      </w:r>
      <w:r w:rsidR="00006AEF">
        <w:rPr>
          <w:sz w:val="24"/>
          <w:szCs w:val="24"/>
          <w:lang w:val="eu-ES" w:eastAsia="es-ES_tradnl"/>
        </w:rPr>
        <w:t>.</w:t>
      </w:r>
    </w:p>
    <w:p w14:paraId="50BE73C4" w14:textId="77777777" w:rsidR="00006AEF" w:rsidRDefault="00006AEF" w:rsidP="00A01806">
      <w:pPr>
        <w:suppressAutoHyphens/>
        <w:autoSpaceDN w:val="0"/>
        <w:ind w:left="360"/>
        <w:jc w:val="both"/>
        <w:textAlignment w:val="baseline"/>
        <w:rPr>
          <w:sz w:val="24"/>
          <w:szCs w:val="24"/>
          <w:lang w:val="eu-ES" w:eastAsia="es-ES_tradnl"/>
        </w:rPr>
      </w:pPr>
    </w:p>
    <w:p w14:paraId="0E21B6F4" w14:textId="77777777" w:rsidR="00006AEF" w:rsidRPr="00A01806" w:rsidRDefault="00006AEF" w:rsidP="00A01806">
      <w:pPr>
        <w:suppressAutoHyphens/>
        <w:autoSpaceDN w:val="0"/>
        <w:ind w:left="360"/>
        <w:jc w:val="both"/>
        <w:textAlignment w:val="baseline"/>
        <w:rPr>
          <w:sz w:val="24"/>
          <w:szCs w:val="24"/>
          <w:lang w:val="eu-ES"/>
        </w:rPr>
      </w:pPr>
    </w:p>
    <w:p w14:paraId="0C891739" w14:textId="77777777" w:rsidR="00A01806" w:rsidRPr="00A01806" w:rsidRDefault="00A01806" w:rsidP="00A01806">
      <w:pPr>
        <w:suppressAutoHyphens/>
        <w:autoSpaceDN w:val="0"/>
        <w:ind w:left="360"/>
        <w:jc w:val="both"/>
        <w:textAlignment w:val="baseline"/>
        <w:rPr>
          <w:color w:val="000000"/>
          <w:sz w:val="22"/>
          <w:szCs w:val="22"/>
          <w:lang w:val="eu-ES" w:eastAsia="es-ES_tradnl"/>
        </w:rPr>
      </w:pPr>
    </w:p>
    <w:p w14:paraId="024CA39A" w14:textId="77777777" w:rsidR="00A01806" w:rsidRPr="00A01806" w:rsidRDefault="00A01806" w:rsidP="00A01806">
      <w:pPr>
        <w:suppressAutoHyphens/>
        <w:autoSpaceDN w:val="0"/>
        <w:jc w:val="both"/>
        <w:textAlignment w:val="baseline"/>
        <w:rPr>
          <w:color w:val="000000"/>
          <w:sz w:val="22"/>
          <w:szCs w:val="22"/>
          <w:lang w:val="eu-ES" w:eastAsia="es-ES_tradnl"/>
        </w:rPr>
      </w:pPr>
    </w:p>
    <w:p w14:paraId="2AB45CF7" w14:textId="77777777" w:rsidR="00006AEF" w:rsidRPr="00006AEF" w:rsidRDefault="00006AEF" w:rsidP="00006AEF">
      <w:pPr>
        <w:pStyle w:val="Prrafodelista"/>
        <w:suppressAutoHyphens/>
        <w:autoSpaceDN w:val="0"/>
        <w:ind w:left="360"/>
        <w:jc w:val="both"/>
        <w:textAlignment w:val="baseline"/>
        <w:rPr>
          <w:sz w:val="24"/>
          <w:szCs w:val="24"/>
          <w:lang w:val="eu-ES"/>
        </w:rPr>
      </w:pPr>
    </w:p>
    <w:p w14:paraId="36D294FF" w14:textId="77777777" w:rsidR="00006AEF" w:rsidRPr="00006AEF" w:rsidRDefault="00006AEF" w:rsidP="00006AEF">
      <w:pPr>
        <w:pStyle w:val="Prrafodelista"/>
        <w:suppressAutoHyphens/>
        <w:autoSpaceDN w:val="0"/>
        <w:ind w:left="360"/>
        <w:jc w:val="both"/>
        <w:textAlignment w:val="baseline"/>
        <w:rPr>
          <w:sz w:val="24"/>
          <w:szCs w:val="24"/>
          <w:lang w:val="eu-ES"/>
        </w:rPr>
      </w:pPr>
    </w:p>
    <w:p w14:paraId="7E1C4FB5" w14:textId="77777777" w:rsidR="00006AEF" w:rsidRPr="00006AEF" w:rsidRDefault="00006AEF" w:rsidP="00006AEF">
      <w:pPr>
        <w:pStyle w:val="Prrafodelista"/>
        <w:suppressAutoHyphens/>
        <w:autoSpaceDN w:val="0"/>
        <w:ind w:left="360"/>
        <w:jc w:val="both"/>
        <w:textAlignment w:val="baseline"/>
        <w:rPr>
          <w:sz w:val="24"/>
          <w:szCs w:val="24"/>
          <w:lang w:val="eu-ES"/>
        </w:rPr>
      </w:pPr>
    </w:p>
    <w:p w14:paraId="512CFFC5" w14:textId="47AACA36" w:rsidR="00A01806" w:rsidRPr="00FE61AA" w:rsidRDefault="00A01806" w:rsidP="00A01806">
      <w:pPr>
        <w:pStyle w:val="Prrafodelista"/>
        <w:numPr>
          <w:ilvl w:val="0"/>
          <w:numId w:val="40"/>
        </w:numPr>
        <w:suppressAutoHyphens/>
        <w:autoSpaceDN w:val="0"/>
        <w:jc w:val="both"/>
        <w:textAlignment w:val="baseline"/>
        <w:rPr>
          <w:sz w:val="24"/>
          <w:szCs w:val="24"/>
          <w:lang w:val="eu-ES"/>
        </w:rPr>
      </w:pPr>
      <w:r>
        <w:rPr>
          <w:color w:val="000000"/>
          <w:sz w:val="24"/>
          <w:szCs w:val="24"/>
          <w:lang w:val="eu-ES" w:eastAsia="es-ES_tradnl"/>
        </w:rPr>
        <w:t xml:space="preserve">Administrazio organo edo erakundeen arteko ohar, zirriborro, iritzi, laburpen, jakinarazpen eta barne txostenetan jasotzen den informazio osagarri edo lagungarria ez onartzeko arrazoiari dagokionez,  Gardentasunaren eta Gobernu Onaren Kontseiluak, 006/2015 interpretazio irizpidean, hauxe ezarri zuen: </w:t>
      </w:r>
      <w:r>
        <w:rPr>
          <w:sz w:val="24"/>
          <w:szCs w:val="24"/>
          <w:lang w:val="eu-ES" w:eastAsia="es-ES_tradnl"/>
        </w:rPr>
        <w:t xml:space="preserve">18.1 b) artikuluko ez onartzeko klausula aplikatzeko aukera ematen duen ezaugarri da “informazio osagarria edo lagungarria izatea”, eta ez hura duen informazioari edo euskarriari ematen zaion izena. Horrela, arauan adierazten den zerrenda (“barneko oharrak, zirriborroak, iritziak, laburpenak, jakinarazpenak eta txostenak edo administrazio organoen artekoak”) adibide bat besterik ez da, eta ez du ekartzen halako testuetan beti egongo dela informazio “osagarri edo lagungarririk”. </w:t>
      </w:r>
    </w:p>
    <w:p w14:paraId="465D0495" w14:textId="77777777" w:rsidR="00A01806" w:rsidRPr="00FE61AA" w:rsidRDefault="00A01806" w:rsidP="00A01806">
      <w:pPr>
        <w:suppressAutoHyphens/>
        <w:autoSpaceDN w:val="0"/>
        <w:jc w:val="both"/>
        <w:textAlignment w:val="baseline"/>
        <w:rPr>
          <w:sz w:val="24"/>
          <w:szCs w:val="24"/>
          <w:lang w:val="eu-ES"/>
        </w:rPr>
      </w:pPr>
    </w:p>
    <w:p w14:paraId="798594B4" w14:textId="77777777" w:rsidR="00A01806" w:rsidRPr="00FE61AA" w:rsidRDefault="00A01806" w:rsidP="00A01806">
      <w:pPr>
        <w:suppressAutoHyphens/>
        <w:autoSpaceDN w:val="0"/>
        <w:ind w:left="360"/>
        <w:jc w:val="both"/>
        <w:textAlignment w:val="baseline"/>
        <w:rPr>
          <w:sz w:val="24"/>
          <w:szCs w:val="24"/>
          <w:lang w:val="eu-ES"/>
        </w:rPr>
      </w:pPr>
      <w:r>
        <w:rPr>
          <w:sz w:val="24"/>
          <w:szCs w:val="24"/>
          <w:lang w:val="eu-ES"/>
        </w:rPr>
        <w:t>Oinarri horretatik abiatuz, Kontseilu horren ustez, gerta daiteke eskaera bat ez onartzea informazio osagarria edo lagungarria izan arren, besteak beste, inguruabar hauetako bat balego:</w:t>
      </w:r>
    </w:p>
    <w:p w14:paraId="14A6AFA9" w14:textId="77777777" w:rsidR="00A01806" w:rsidRPr="00FE61AA" w:rsidRDefault="00A01806" w:rsidP="00A01806">
      <w:pPr>
        <w:suppressAutoHyphens/>
        <w:autoSpaceDN w:val="0"/>
        <w:ind w:left="360"/>
        <w:jc w:val="both"/>
        <w:textAlignment w:val="baseline"/>
        <w:rPr>
          <w:sz w:val="24"/>
          <w:szCs w:val="24"/>
          <w:lang w:val="eu-ES"/>
        </w:rPr>
      </w:pPr>
    </w:p>
    <w:p w14:paraId="59AD9A05" w14:textId="346A72DD" w:rsidR="00A01806" w:rsidRPr="004350AF" w:rsidRDefault="00EC0AFE" w:rsidP="00A01806">
      <w:pPr>
        <w:pStyle w:val="Prrafodelista"/>
        <w:numPr>
          <w:ilvl w:val="0"/>
          <w:numId w:val="47"/>
        </w:numPr>
        <w:suppressAutoHyphens/>
        <w:autoSpaceDN w:val="0"/>
        <w:jc w:val="both"/>
        <w:textAlignment w:val="baseline"/>
        <w:rPr>
          <w:sz w:val="24"/>
          <w:szCs w:val="24"/>
        </w:rPr>
      </w:pPr>
      <w:r>
        <w:rPr>
          <w:sz w:val="24"/>
          <w:szCs w:val="24"/>
          <w:lang w:val="eu-ES"/>
        </w:rPr>
        <w:t>O</w:t>
      </w:r>
      <w:r w:rsidR="00A01806">
        <w:rPr>
          <w:sz w:val="24"/>
          <w:szCs w:val="24"/>
          <w:lang w:val="eu-ES"/>
        </w:rPr>
        <w:t>rgano edo erakunde baten iritzia adierazten duten egilearen iritzi edo balorazio pertsonalak egotea;</w:t>
      </w:r>
    </w:p>
    <w:p w14:paraId="73FA916C" w14:textId="15D43F85" w:rsidR="00A01806" w:rsidRPr="004350AF" w:rsidRDefault="00EC0AFE" w:rsidP="00A01806">
      <w:pPr>
        <w:pStyle w:val="Prrafodelista"/>
        <w:numPr>
          <w:ilvl w:val="0"/>
          <w:numId w:val="47"/>
        </w:numPr>
        <w:suppressAutoHyphens/>
        <w:autoSpaceDN w:val="0"/>
        <w:jc w:val="both"/>
        <w:textAlignment w:val="baseline"/>
        <w:rPr>
          <w:sz w:val="24"/>
          <w:szCs w:val="24"/>
        </w:rPr>
      </w:pPr>
      <w:r>
        <w:rPr>
          <w:sz w:val="24"/>
          <w:szCs w:val="24"/>
          <w:lang w:val="eu-ES"/>
        </w:rPr>
        <w:t>E</w:t>
      </w:r>
      <w:r w:rsidR="00A01806">
        <w:rPr>
          <w:sz w:val="24"/>
          <w:szCs w:val="24"/>
          <w:lang w:val="eu-ES"/>
        </w:rPr>
        <w:t xml:space="preserve">skatutakoa aurretiko testu bat edo zirriborroa izatea, eta ez azken testua; </w:t>
      </w:r>
    </w:p>
    <w:p w14:paraId="6EA9D3BE" w14:textId="275E970A" w:rsidR="00A01806" w:rsidRPr="004350AF" w:rsidRDefault="00EC0AFE" w:rsidP="00A01806">
      <w:pPr>
        <w:pStyle w:val="Prrafodelista"/>
        <w:numPr>
          <w:ilvl w:val="0"/>
          <w:numId w:val="47"/>
        </w:numPr>
        <w:suppressAutoHyphens/>
        <w:autoSpaceDN w:val="0"/>
        <w:jc w:val="both"/>
        <w:textAlignment w:val="baseline"/>
        <w:rPr>
          <w:sz w:val="24"/>
          <w:szCs w:val="24"/>
        </w:rPr>
      </w:pPr>
      <w:r>
        <w:rPr>
          <w:sz w:val="24"/>
          <w:szCs w:val="24"/>
          <w:lang w:val="eu-ES"/>
        </w:rPr>
        <w:t>E</w:t>
      </w:r>
      <w:r w:rsidR="00A01806">
        <w:rPr>
          <w:sz w:val="24"/>
          <w:szCs w:val="24"/>
          <w:lang w:val="eu-ES"/>
        </w:rPr>
        <w:t xml:space="preserve">skaera jasotzen duen organo edo erakundearen jarduera prestatzeko informazioa denean; </w:t>
      </w:r>
    </w:p>
    <w:p w14:paraId="042D1571" w14:textId="72F854ED" w:rsidR="00A01806" w:rsidRPr="004350AF" w:rsidRDefault="00EC0AFE" w:rsidP="00A01806">
      <w:pPr>
        <w:pStyle w:val="Prrafodelista"/>
        <w:numPr>
          <w:ilvl w:val="0"/>
          <w:numId w:val="47"/>
        </w:numPr>
        <w:suppressAutoHyphens/>
        <w:autoSpaceDN w:val="0"/>
        <w:jc w:val="both"/>
        <w:textAlignment w:val="baseline"/>
        <w:rPr>
          <w:sz w:val="24"/>
          <w:szCs w:val="24"/>
        </w:rPr>
      </w:pPr>
      <w:r>
        <w:rPr>
          <w:sz w:val="24"/>
          <w:szCs w:val="24"/>
          <w:lang w:val="eu-ES"/>
        </w:rPr>
        <w:t>P</w:t>
      </w:r>
      <w:r w:rsidR="00A01806">
        <w:rPr>
          <w:sz w:val="24"/>
          <w:szCs w:val="24"/>
          <w:lang w:val="eu-ES"/>
        </w:rPr>
        <w:t xml:space="preserve">rozeduraren izapideak ez diren barne komunikazioei buruzko eskaera izatea;  </w:t>
      </w:r>
    </w:p>
    <w:p w14:paraId="509C3570" w14:textId="75C449ED" w:rsidR="00A01806" w:rsidRPr="004350AF" w:rsidRDefault="00EC0AFE" w:rsidP="00A01806">
      <w:pPr>
        <w:pStyle w:val="Prrafodelista"/>
        <w:numPr>
          <w:ilvl w:val="0"/>
          <w:numId w:val="47"/>
        </w:numPr>
        <w:suppressAutoHyphens/>
        <w:autoSpaceDN w:val="0"/>
        <w:jc w:val="both"/>
        <w:textAlignment w:val="baseline"/>
        <w:rPr>
          <w:sz w:val="24"/>
          <w:szCs w:val="24"/>
        </w:rPr>
      </w:pPr>
      <w:r>
        <w:rPr>
          <w:sz w:val="24"/>
          <w:szCs w:val="24"/>
          <w:lang w:val="eu-ES"/>
        </w:rPr>
        <w:t>N</w:t>
      </w:r>
      <w:r w:rsidR="00A01806">
        <w:rPr>
          <w:sz w:val="24"/>
          <w:szCs w:val="24"/>
          <w:lang w:val="eu-ES"/>
        </w:rPr>
        <w:t xml:space="preserve">ahitaezkoak ez diren txostenak izatea, eta azken erabakia hartzeko motibazio gisa ez badira gehitzen. </w:t>
      </w:r>
    </w:p>
    <w:p w14:paraId="13BAFC08" w14:textId="77777777" w:rsidR="00A01806" w:rsidRPr="004350AF" w:rsidRDefault="00A01806" w:rsidP="00A01806">
      <w:pPr>
        <w:suppressAutoHyphens/>
        <w:autoSpaceDN w:val="0"/>
        <w:ind w:left="709"/>
        <w:jc w:val="both"/>
        <w:textAlignment w:val="baseline"/>
      </w:pPr>
    </w:p>
    <w:p w14:paraId="0763796E" w14:textId="77777777" w:rsidR="00A01806" w:rsidRPr="004350AF" w:rsidRDefault="00A01806" w:rsidP="00A01806">
      <w:pPr>
        <w:suppressAutoHyphens/>
        <w:autoSpaceDN w:val="0"/>
        <w:ind w:left="360"/>
        <w:jc w:val="both"/>
        <w:textAlignment w:val="baseline"/>
      </w:pPr>
    </w:p>
    <w:p w14:paraId="47D93364" w14:textId="77777777" w:rsidR="00A01806" w:rsidRPr="004350AF" w:rsidRDefault="00A01806" w:rsidP="00091646">
      <w:pPr>
        <w:suppressAutoHyphens/>
        <w:autoSpaceDN w:val="0"/>
        <w:jc w:val="both"/>
        <w:textAlignment w:val="baseline"/>
        <w:rPr>
          <w:sz w:val="24"/>
          <w:szCs w:val="24"/>
        </w:rPr>
      </w:pPr>
      <w:r>
        <w:rPr>
          <w:sz w:val="24"/>
          <w:szCs w:val="24"/>
          <w:lang w:val="eu-ES"/>
        </w:rPr>
        <w:t xml:space="preserve">Nolanahi ere, ohartarazten da ez dela inola ere informazio osagarri edo lagungarritzat hartuko </w:t>
      </w:r>
      <w:r>
        <w:rPr>
          <w:i/>
          <w:iCs/>
          <w:sz w:val="24"/>
          <w:szCs w:val="24"/>
          <w:lang w:val="eu-ES"/>
        </w:rPr>
        <w:t>“espedientea izapidetzean, edo organoaren borondate politikoa agertzean garrantzitsua bada, hau da, kontuak emateko garrantzitsua bada erabaki publikoak eta haien aplikazioa ezagutzea</w:t>
      </w:r>
      <w:r>
        <w:rPr>
          <w:sz w:val="24"/>
          <w:szCs w:val="24"/>
          <w:lang w:val="eu-ES"/>
        </w:rPr>
        <w:t xml:space="preserve">”. </w:t>
      </w:r>
    </w:p>
    <w:p w14:paraId="729562EF" w14:textId="77777777" w:rsidR="00A01806" w:rsidRPr="004350AF" w:rsidRDefault="00A01806" w:rsidP="00A01806">
      <w:pPr>
        <w:suppressAutoHyphens/>
        <w:autoSpaceDN w:val="0"/>
        <w:ind w:left="360"/>
        <w:jc w:val="both"/>
        <w:textAlignment w:val="baseline"/>
        <w:rPr>
          <w:sz w:val="24"/>
          <w:szCs w:val="24"/>
        </w:rPr>
      </w:pPr>
    </w:p>
    <w:p w14:paraId="68016255" w14:textId="77777777" w:rsidR="00A01806" w:rsidRPr="004350AF" w:rsidRDefault="00A01806" w:rsidP="00A01806">
      <w:pPr>
        <w:suppressAutoHyphens/>
        <w:autoSpaceDN w:val="0"/>
        <w:ind w:left="360"/>
        <w:jc w:val="both"/>
        <w:textAlignment w:val="baseline"/>
        <w:rPr>
          <w:sz w:val="24"/>
          <w:szCs w:val="24"/>
        </w:rPr>
      </w:pPr>
      <w:r>
        <w:rPr>
          <w:sz w:val="24"/>
          <w:szCs w:val="24"/>
          <w:lang w:val="eu-ES"/>
        </w:rPr>
        <w:t>Halaber, kontuan hartu behar da 2017ko uztailaren 25eko epaian jasotzen den Auzitegi Nazionalaren doktrina, aipatutako 006/2015 irizpidearen funtsezko elementuak eta aztertzen ari garen ez onartzeko arrazoirako zenbait interpretazio jarraibide berresten dituena:</w:t>
      </w:r>
    </w:p>
    <w:p w14:paraId="18264C4B" w14:textId="77777777" w:rsidR="00A01806" w:rsidRPr="004350AF" w:rsidRDefault="00A01806" w:rsidP="00A01806">
      <w:pPr>
        <w:suppressAutoHyphens/>
        <w:autoSpaceDN w:val="0"/>
        <w:jc w:val="both"/>
        <w:textAlignment w:val="baseline"/>
        <w:rPr>
          <w:sz w:val="24"/>
          <w:szCs w:val="24"/>
        </w:rPr>
      </w:pPr>
    </w:p>
    <w:p w14:paraId="1049A4ED" w14:textId="53456E9F" w:rsidR="00A01806" w:rsidRDefault="00A01806" w:rsidP="00A01806">
      <w:pPr>
        <w:suppressAutoHyphens/>
        <w:autoSpaceDN w:val="0"/>
        <w:ind w:left="360"/>
        <w:jc w:val="both"/>
        <w:textAlignment w:val="baseline"/>
        <w:rPr>
          <w:i/>
          <w:iCs/>
          <w:sz w:val="24"/>
          <w:szCs w:val="24"/>
          <w:lang w:val="eu-ES"/>
        </w:rPr>
      </w:pPr>
      <w:r>
        <w:rPr>
          <w:i/>
          <w:iCs/>
          <w:sz w:val="24"/>
          <w:szCs w:val="24"/>
          <w:lang w:val="eu-ES"/>
        </w:rPr>
        <w:t>- “(…) ez da instrumentala edo osagarria bere izaera formalarengatik, baizik eta benetako eduki materialarengatik. Informazio osagarria eta behin-behineko balioa duen informazioa ez dira baliokideak”</w:t>
      </w:r>
      <w:r w:rsidR="00006AEF">
        <w:rPr>
          <w:i/>
          <w:iCs/>
          <w:sz w:val="24"/>
          <w:szCs w:val="24"/>
          <w:lang w:val="eu-ES"/>
        </w:rPr>
        <w:t>.</w:t>
      </w:r>
    </w:p>
    <w:p w14:paraId="10CE171E" w14:textId="77777777" w:rsidR="00006AEF" w:rsidRDefault="00006AEF" w:rsidP="00A01806">
      <w:pPr>
        <w:suppressAutoHyphens/>
        <w:autoSpaceDN w:val="0"/>
        <w:ind w:left="360"/>
        <w:jc w:val="both"/>
        <w:textAlignment w:val="baseline"/>
        <w:rPr>
          <w:i/>
          <w:iCs/>
          <w:sz w:val="24"/>
          <w:szCs w:val="24"/>
          <w:lang w:val="eu-ES"/>
        </w:rPr>
      </w:pPr>
    </w:p>
    <w:p w14:paraId="01EA3286" w14:textId="77777777" w:rsidR="00006AEF" w:rsidRDefault="00006AEF" w:rsidP="00A01806">
      <w:pPr>
        <w:suppressAutoHyphens/>
        <w:autoSpaceDN w:val="0"/>
        <w:ind w:left="360"/>
        <w:jc w:val="both"/>
        <w:textAlignment w:val="baseline"/>
        <w:rPr>
          <w:i/>
          <w:iCs/>
          <w:sz w:val="24"/>
          <w:szCs w:val="24"/>
          <w:lang w:val="eu-ES"/>
        </w:rPr>
      </w:pPr>
    </w:p>
    <w:p w14:paraId="06CD78DC" w14:textId="77777777" w:rsidR="00006AEF" w:rsidRPr="004350AF" w:rsidRDefault="00006AEF" w:rsidP="00A01806">
      <w:pPr>
        <w:suppressAutoHyphens/>
        <w:autoSpaceDN w:val="0"/>
        <w:ind w:left="360"/>
        <w:jc w:val="both"/>
        <w:textAlignment w:val="baseline"/>
        <w:rPr>
          <w:i/>
          <w:iCs/>
          <w:sz w:val="24"/>
          <w:szCs w:val="24"/>
        </w:rPr>
      </w:pPr>
    </w:p>
    <w:p w14:paraId="7448DD1B" w14:textId="77777777" w:rsidR="00A01806" w:rsidRPr="004350AF" w:rsidRDefault="00A01806" w:rsidP="00A01806">
      <w:pPr>
        <w:suppressAutoHyphens/>
        <w:autoSpaceDN w:val="0"/>
        <w:ind w:left="360"/>
        <w:jc w:val="both"/>
        <w:textAlignment w:val="baseline"/>
        <w:rPr>
          <w:i/>
          <w:iCs/>
          <w:sz w:val="24"/>
          <w:szCs w:val="24"/>
        </w:rPr>
      </w:pPr>
    </w:p>
    <w:p w14:paraId="2A5739D0" w14:textId="585188AB" w:rsidR="00A01806" w:rsidRPr="004350AF" w:rsidRDefault="00A01806" w:rsidP="00A01806">
      <w:pPr>
        <w:suppressAutoHyphens/>
        <w:autoSpaceDN w:val="0"/>
        <w:ind w:left="360"/>
        <w:jc w:val="both"/>
        <w:textAlignment w:val="baseline"/>
        <w:rPr>
          <w:i/>
          <w:iCs/>
          <w:sz w:val="24"/>
          <w:szCs w:val="24"/>
        </w:rPr>
      </w:pPr>
      <w:r>
        <w:rPr>
          <w:i/>
          <w:iCs/>
          <w:sz w:val="24"/>
          <w:szCs w:val="24"/>
          <w:lang w:val="eu-ES"/>
        </w:rPr>
        <w:lastRenderedPageBreak/>
        <w:t>- “</w:t>
      </w:r>
      <w:proofErr w:type="spellStart"/>
      <w:r>
        <w:rPr>
          <w:i/>
          <w:iCs/>
          <w:sz w:val="24"/>
          <w:szCs w:val="24"/>
          <w:lang w:val="eu-ES"/>
        </w:rPr>
        <w:t>18.1.b</w:t>
      </w:r>
      <w:proofErr w:type="spellEnd"/>
      <w:r>
        <w:rPr>
          <w:i/>
          <w:iCs/>
          <w:sz w:val="24"/>
          <w:szCs w:val="24"/>
          <w:lang w:val="eu-ES"/>
        </w:rPr>
        <w:t>. artikuluan aipatzen diren txostenak dira barne esparru esklusiboa dutenak, eta sektoreen arabera bada ere, ez dira jakinarazi behar diren alderdi garrantzitsuei buruzko iritzia eta balorazioa eman nahi dutenak”</w:t>
      </w:r>
      <w:r w:rsidR="00BF32FD">
        <w:rPr>
          <w:i/>
          <w:iCs/>
          <w:sz w:val="24"/>
          <w:szCs w:val="24"/>
          <w:lang w:val="eu-ES"/>
        </w:rPr>
        <w:t>.</w:t>
      </w:r>
    </w:p>
    <w:p w14:paraId="6F51B4B4" w14:textId="77777777" w:rsidR="00A01806" w:rsidRPr="004350AF" w:rsidRDefault="00A01806" w:rsidP="00A01806">
      <w:pPr>
        <w:suppressAutoHyphens/>
        <w:autoSpaceDN w:val="0"/>
        <w:ind w:left="360"/>
        <w:jc w:val="both"/>
        <w:textAlignment w:val="baseline"/>
        <w:rPr>
          <w:i/>
          <w:iCs/>
          <w:sz w:val="24"/>
          <w:szCs w:val="24"/>
        </w:rPr>
      </w:pPr>
    </w:p>
    <w:p w14:paraId="2C8E5CEC" w14:textId="6C3080FD" w:rsidR="00A01806" w:rsidRPr="00FE61AA" w:rsidRDefault="00A01806" w:rsidP="00A01806">
      <w:pPr>
        <w:suppressAutoHyphens/>
        <w:autoSpaceDN w:val="0"/>
        <w:ind w:left="360"/>
        <w:jc w:val="both"/>
        <w:textAlignment w:val="baseline"/>
        <w:rPr>
          <w:i/>
          <w:iCs/>
          <w:sz w:val="24"/>
          <w:szCs w:val="24"/>
          <w:lang w:val="eu-ES"/>
        </w:rPr>
      </w:pPr>
      <w:r>
        <w:rPr>
          <w:i/>
          <w:iCs/>
          <w:sz w:val="24"/>
          <w:szCs w:val="24"/>
          <w:lang w:val="eu-ES"/>
        </w:rPr>
        <w:t xml:space="preserve"> - “Bestalde, gogoratu behar da Giza Eskubideen Europako Auzitegiaren doktrinaren arabera informazioaren mugek duten izaera murriztailea. Horrela, 2016ko azaroaren 8ko edo 2013ko ekainaren 25eko epaia besterik ez dira aipatu behar, Giza Eskubideen Europako Hitzarmenaren 10. artikulua interpretatu dutenak. Eta modu berean “informazio publikoa” delako kontzeptuak 19/2013 Legearen 13. artikuluan duen izaera zabala. Eta onartzen bada estatuaren abokatutzaren tesia, arautegiko arau bat jakiteko, azken testura jo beharko genuke, arau egin bitartean egin diren txosten guztiak ezagutu gabe, izan ere, haien garrantzia zalantzan jar daiteke arauaren izaera ezagutzeko</w:t>
      </w:r>
      <w:r w:rsidR="00BF32FD">
        <w:rPr>
          <w:i/>
          <w:iCs/>
          <w:sz w:val="24"/>
          <w:szCs w:val="24"/>
          <w:lang w:val="eu-ES"/>
        </w:rPr>
        <w:t>”</w:t>
      </w:r>
      <w:r>
        <w:rPr>
          <w:i/>
          <w:iCs/>
          <w:sz w:val="24"/>
          <w:szCs w:val="24"/>
          <w:lang w:val="eu-ES"/>
        </w:rPr>
        <w:t xml:space="preserve">. </w:t>
      </w:r>
    </w:p>
    <w:p w14:paraId="6C8F8334" w14:textId="77777777" w:rsidR="00A01806" w:rsidRPr="00FE61AA" w:rsidRDefault="00A01806" w:rsidP="00A01806">
      <w:pPr>
        <w:suppressAutoHyphens/>
        <w:autoSpaceDN w:val="0"/>
        <w:ind w:left="360"/>
        <w:jc w:val="both"/>
        <w:textAlignment w:val="baseline"/>
        <w:rPr>
          <w:i/>
          <w:iCs/>
          <w:sz w:val="24"/>
          <w:szCs w:val="24"/>
          <w:lang w:val="eu-ES"/>
        </w:rPr>
      </w:pPr>
    </w:p>
    <w:p w14:paraId="58A947F1" w14:textId="77777777" w:rsidR="00A01806" w:rsidRPr="004350AF" w:rsidRDefault="00A01806" w:rsidP="00A01806">
      <w:pPr>
        <w:suppressAutoHyphens/>
        <w:autoSpaceDN w:val="0"/>
        <w:ind w:left="360"/>
        <w:jc w:val="both"/>
        <w:textAlignment w:val="baseline"/>
        <w:rPr>
          <w:i/>
          <w:iCs/>
          <w:sz w:val="24"/>
          <w:szCs w:val="24"/>
        </w:rPr>
      </w:pPr>
      <w:r>
        <w:rPr>
          <w:i/>
          <w:iCs/>
          <w:sz w:val="24"/>
          <w:szCs w:val="24"/>
          <w:lang w:val="eu-ES"/>
        </w:rPr>
        <w:t xml:space="preserve">- “Horrenbestez, Administrazio Publikoek erabakiak hartzean kontuan hartu dituzten arrazoiak zein diren jakin nahi badugu, haiek egindako txosten garrantzitsuak ezagutu beharko ditugu, azken erabakian lagundu duten ala ez kontuan hartu gabe. Ez diogu itxaron beharko azken horren emaitzari”. </w:t>
      </w:r>
    </w:p>
    <w:p w14:paraId="7139D1AC" w14:textId="77777777" w:rsidR="00A01806" w:rsidRPr="004350AF" w:rsidRDefault="00A01806" w:rsidP="00A01806">
      <w:pPr>
        <w:suppressAutoHyphens/>
        <w:autoSpaceDN w:val="0"/>
        <w:ind w:left="360"/>
        <w:jc w:val="both"/>
        <w:textAlignment w:val="baseline"/>
        <w:rPr>
          <w:i/>
          <w:iCs/>
          <w:sz w:val="24"/>
          <w:szCs w:val="24"/>
        </w:rPr>
      </w:pPr>
    </w:p>
    <w:p w14:paraId="522DAD9E" w14:textId="7E70602C" w:rsidR="00A01806" w:rsidRPr="004350AF" w:rsidRDefault="00A01806" w:rsidP="00A01806">
      <w:pPr>
        <w:suppressAutoHyphens/>
        <w:autoSpaceDN w:val="0"/>
        <w:ind w:left="360"/>
        <w:jc w:val="both"/>
        <w:textAlignment w:val="baseline"/>
        <w:rPr>
          <w:i/>
          <w:iCs/>
          <w:sz w:val="24"/>
          <w:szCs w:val="24"/>
        </w:rPr>
      </w:pPr>
      <w:r>
        <w:rPr>
          <w:i/>
          <w:iCs/>
          <w:sz w:val="24"/>
          <w:szCs w:val="24"/>
          <w:lang w:val="eu-ES"/>
        </w:rPr>
        <w:t>- “(…) ez da instrumentala edo osagarria bere izaera formalarengatik, baizik eta benetako eduki materialarengatik”</w:t>
      </w:r>
      <w:r w:rsidR="00BF32FD">
        <w:rPr>
          <w:i/>
          <w:iCs/>
          <w:sz w:val="24"/>
          <w:szCs w:val="24"/>
          <w:lang w:val="eu-ES"/>
        </w:rPr>
        <w:t>.</w:t>
      </w:r>
    </w:p>
    <w:p w14:paraId="3D6A633C" w14:textId="77777777" w:rsidR="00A01806" w:rsidRPr="004350AF" w:rsidRDefault="00A01806" w:rsidP="00A01806">
      <w:pPr>
        <w:suppressAutoHyphens/>
        <w:autoSpaceDN w:val="0"/>
        <w:jc w:val="both"/>
        <w:textAlignment w:val="baseline"/>
      </w:pPr>
    </w:p>
    <w:p w14:paraId="356DD0A9" w14:textId="2CA99868" w:rsidR="00A01806" w:rsidRPr="00FE61AA" w:rsidRDefault="00A01806" w:rsidP="00A01806">
      <w:pPr>
        <w:suppressAutoHyphens/>
        <w:autoSpaceDN w:val="0"/>
        <w:ind w:left="360"/>
        <w:jc w:val="both"/>
        <w:textAlignment w:val="baseline"/>
        <w:rPr>
          <w:sz w:val="24"/>
          <w:szCs w:val="24"/>
          <w:lang w:val="eu-ES"/>
        </w:rPr>
      </w:pPr>
      <w:r>
        <w:rPr>
          <w:sz w:val="24"/>
          <w:szCs w:val="24"/>
          <w:lang w:val="eu-ES"/>
        </w:rPr>
        <w:t xml:space="preserve">Azaldutakoa kasu honetan aplikatuz gero, ezin da baieztatu erreklamatzaileak eskatutako agirian jasotzen den informazioa bat datorren </w:t>
      </w:r>
      <w:proofErr w:type="spellStart"/>
      <w:r>
        <w:rPr>
          <w:sz w:val="24"/>
          <w:szCs w:val="24"/>
          <w:lang w:val="eu-ES"/>
        </w:rPr>
        <w:t>GIPEGOLren</w:t>
      </w:r>
      <w:proofErr w:type="spellEnd"/>
      <w:r>
        <w:rPr>
          <w:sz w:val="24"/>
          <w:szCs w:val="24"/>
          <w:lang w:val="eu-ES"/>
        </w:rPr>
        <w:t xml:space="preserve"> 18.1 b). artikuluan aipatzen den ez onartzeko arrazoiarekin.  Funtzio Publikoko Zuzendaritzan dioen moduan, txostenean kanpoko iritziak eta balorazioa jasotzen badira ere, azken erabakirako prestatzeko informazioa izan arren, nahiz eta nahitaezko txostena ez izan, eta erabakietan motibazio gisa barne hartzen ez bada ere, ezin da ondorioztatu 18.1 b). artikuluko ez onartzeko arrazoia zuzenean aplikatu behar denik.  Hain zuzen ere arau horretan aipatzen diren txostenak bakarrik direlako “</w:t>
      </w:r>
      <w:r>
        <w:rPr>
          <w:i/>
          <w:iCs/>
          <w:sz w:val="24"/>
          <w:szCs w:val="24"/>
          <w:lang w:val="eu-ES"/>
        </w:rPr>
        <w:t>barnekoak, edo administrazio organo edo erakundeen artean</w:t>
      </w:r>
      <w:r>
        <w:rPr>
          <w:sz w:val="24"/>
          <w:szCs w:val="24"/>
          <w:lang w:val="eu-ES"/>
        </w:rPr>
        <w:t xml:space="preserve">”, eta horiek ez dira </w:t>
      </w:r>
      <w:proofErr w:type="spellStart"/>
      <w:r w:rsidR="00091646" w:rsidRPr="00091646">
        <w:rPr>
          <w:sz w:val="24"/>
          <w:szCs w:val="24"/>
          <w:highlight w:val="black"/>
          <w:lang w:val="eu-ES"/>
        </w:rPr>
        <w:t>XXXXX</w:t>
      </w:r>
      <w:proofErr w:type="spellEnd"/>
      <w:r>
        <w:rPr>
          <w:sz w:val="24"/>
          <w:szCs w:val="24"/>
          <w:lang w:val="eu-ES"/>
        </w:rPr>
        <w:t xml:space="preserve"> eskatutakoak, hala badagokio, erabakiak hartzen laguntzeko tresna gisa hartzeko kontratatu zaio kanpoko erakunde batek egindako azterketa baita.</w:t>
      </w:r>
    </w:p>
    <w:p w14:paraId="50EAB165" w14:textId="77777777" w:rsidR="00A01806" w:rsidRPr="00FE61AA" w:rsidRDefault="00A01806" w:rsidP="00A01806">
      <w:pPr>
        <w:suppressAutoHyphens/>
        <w:autoSpaceDN w:val="0"/>
        <w:jc w:val="both"/>
        <w:textAlignment w:val="baseline"/>
        <w:rPr>
          <w:lang w:val="eu-ES"/>
        </w:rPr>
      </w:pPr>
    </w:p>
    <w:p w14:paraId="56A44CE7" w14:textId="77777777" w:rsidR="00A01806" w:rsidRPr="00FE61AA" w:rsidRDefault="00A01806" w:rsidP="00A01806">
      <w:pPr>
        <w:suppressAutoHyphens/>
        <w:autoSpaceDN w:val="0"/>
        <w:jc w:val="both"/>
        <w:textAlignment w:val="baseline"/>
        <w:rPr>
          <w:lang w:val="eu-ES"/>
        </w:rPr>
      </w:pPr>
    </w:p>
    <w:p w14:paraId="78271241" w14:textId="2FDE48B8" w:rsidR="00A01806" w:rsidRPr="004350AF" w:rsidRDefault="00A01806" w:rsidP="00A01806">
      <w:pPr>
        <w:pStyle w:val="Prrafodelista"/>
        <w:numPr>
          <w:ilvl w:val="0"/>
          <w:numId w:val="40"/>
        </w:numPr>
        <w:suppressAutoHyphens/>
        <w:autoSpaceDN w:val="0"/>
        <w:jc w:val="both"/>
        <w:textAlignment w:val="baseline"/>
        <w:rPr>
          <w:sz w:val="24"/>
          <w:szCs w:val="24"/>
        </w:rPr>
      </w:pPr>
      <w:proofErr w:type="spellStart"/>
      <w:r>
        <w:rPr>
          <w:sz w:val="24"/>
          <w:szCs w:val="24"/>
          <w:lang w:val="eu-ES"/>
        </w:rPr>
        <w:t>GIPEGOLren</w:t>
      </w:r>
      <w:proofErr w:type="spellEnd"/>
      <w:r>
        <w:rPr>
          <w:sz w:val="24"/>
          <w:szCs w:val="24"/>
          <w:lang w:val="eu-ES"/>
        </w:rPr>
        <w:t xml:space="preserve"> 14.1 k). artikuluan ezarritako muga aplikatzeari dagokionez, eskatutako informazioa ikusteak erabakiak hartzean eskatutako konfidentzialtasunean edo sekretuan eragin dezakeenez, </w:t>
      </w:r>
      <w:proofErr w:type="spellStart"/>
      <w:r w:rsidR="009D7D43" w:rsidRPr="009D7D43">
        <w:rPr>
          <w:sz w:val="24"/>
          <w:szCs w:val="24"/>
          <w:highlight w:val="black"/>
          <w:lang w:val="eu-ES"/>
        </w:rPr>
        <w:t>XXXXX</w:t>
      </w:r>
      <w:proofErr w:type="spellEnd"/>
      <w:r>
        <w:rPr>
          <w:sz w:val="24"/>
          <w:szCs w:val="24"/>
          <w:lang w:val="eu-ES"/>
        </w:rPr>
        <w:t xml:space="preserve"> argudiatzen du Gardentasunaren Estatu Kontseiluaren 311/2022 Ebazpenean aztertutako egoera, aurka egindako ebazpenean arrazoi gisa erabilitakoa, ezin dela konparatu azken horrekin, lehenengoa, Europako zuzentarau baten transposizio prozesu baten barruan, hots, Espainiako administrazioak gauzatu behar duen ekintza batean, dagoen txosten eskaera bati buruzkoa delako. </w:t>
      </w:r>
      <w:proofErr w:type="spellStart"/>
      <w:r>
        <w:rPr>
          <w:color w:val="000000"/>
          <w:sz w:val="24"/>
          <w:szCs w:val="24"/>
          <w:lang w:val="eu-ES"/>
        </w:rPr>
        <w:t>Consultores</w:t>
      </w:r>
      <w:proofErr w:type="spellEnd"/>
      <w:r>
        <w:rPr>
          <w:color w:val="000000"/>
          <w:sz w:val="24"/>
          <w:szCs w:val="24"/>
          <w:lang w:val="eu-ES"/>
        </w:rPr>
        <w:t xml:space="preserve"> de </w:t>
      </w:r>
      <w:proofErr w:type="spellStart"/>
      <w:r>
        <w:rPr>
          <w:color w:val="000000"/>
          <w:sz w:val="24"/>
          <w:szCs w:val="24"/>
          <w:lang w:val="eu-ES"/>
        </w:rPr>
        <w:t>Gestión</w:t>
      </w:r>
      <w:proofErr w:type="spellEnd"/>
      <w:r>
        <w:rPr>
          <w:color w:val="000000"/>
          <w:sz w:val="24"/>
          <w:szCs w:val="24"/>
          <w:lang w:val="eu-ES"/>
        </w:rPr>
        <w:t xml:space="preserve"> Pública</w:t>
      </w:r>
      <w:r>
        <w:rPr>
          <w:sz w:val="24"/>
          <w:szCs w:val="24"/>
          <w:lang w:val="eu-ES"/>
        </w:rPr>
        <w:t xml:space="preserve"> enpresaren kasuan, berriz, Aldundiak aukera dezake egituran aldaketaren bat egitea.</w:t>
      </w:r>
    </w:p>
    <w:p w14:paraId="0DF44DBD" w14:textId="77777777" w:rsidR="00A01806" w:rsidRPr="004350AF" w:rsidRDefault="00A01806" w:rsidP="00A01806">
      <w:pPr>
        <w:suppressAutoHyphens/>
        <w:autoSpaceDN w:val="0"/>
        <w:jc w:val="both"/>
        <w:textAlignment w:val="baseline"/>
        <w:rPr>
          <w:sz w:val="24"/>
          <w:szCs w:val="24"/>
        </w:rPr>
      </w:pPr>
    </w:p>
    <w:p w14:paraId="70570487" w14:textId="77777777" w:rsidR="00A01806" w:rsidRPr="004350AF" w:rsidRDefault="00A01806" w:rsidP="00A01806">
      <w:pPr>
        <w:suppressAutoHyphens/>
        <w:autoSpaceDN w:val="0"/>
        <w:ind w:left="360"/>
        <w:jc w:val="both"/>
        <w:textAlignment w:val="baseline"/>
        <w:rPr>
          <w:sz w:val="24"/>
          <w:szCs w:val="24"/>
        </w:rPr>
      </w:pPr>
      <w:r>
        <w:rPr>
          <w:sz w:val="24"/>
          <w:szCs w:val="24"/>
          <w:lang w:val="eu-ES"/>
        </w:rPr>
        <w:lastRenderedPageBreak/>
        <w:t xml:space="preserve">Horri dagokionez, gaur egun finkatuta dagoen muga horren interpretazioaren arabera, erreklamatzaileak alegatutako jarduketa arautuarekin, hau da, Administrazioak baloratzeko, iritzia emateko eta erabakitzeko aukerarik ez duen prozesuekin, zerikusirik ez duten bi baldintza betetzen badira aplikatuko da muga.  </w:t>
      </w:r>
    </w:p>
    <w:p w14:paraId="5555AA13" w14:textId="77777777" w:rsidR="00A01806" w:rsidRPr="004350AF" w:rsidRDefault="00A01806" w:rsidP="00A01806">
      <w:pPr>
        <w:suppressAutoHyphens/>
        <w:autoSpaceDN w:val="0"/>
        <w:ind w:left="360"/>
        <w:jc w:val="both"/>
        <w:textAlignment w:val="baseline"/>
        <w:rPr>
          <w:sz w:val="24"/>
          <w:szCs w:val="24"/>
        </w:rPr>
      </w:pPr>
    </w:p>
    <w:p w14:paraId="526A7EA2" w14:textId="77777777" w:rsidR="00A01806" w:rsidRPr="00FE61AA" w:rsidRDefault="00A01806" w:rsidP="00A01806">
      <w:pPr>
        <w:suppressAutoHyphens/>
        <w:autoSpaceDN w:val="0"/>
        <w:ind w:left="360"/>
        <w:jc w:val="both"/>
        <w:textAlignment w:val="baseline"/>
        <w:rPr>
          <w:sz w:val="24"/>
          <w:szCs w:val="24"/>
          <w:lang w:val="eu-ES"/>
        </w:rPr>
      </w:pPr>
      <w:r>
        <w:rPr>
          <w:sz w:val="24"/>
          <w:szCs w:val="24"/>
          <w:lang w:val="eu-ES"/>
        </w:rPr>
        <w:t xml:space="preserve">Eta hauek dira baldintza horiek: alde batetik, denboraren ikuspegitik, informazio eskaera erabakia hartu aurretik egin behar dela, oraindik irekita dagoen erabaki prozedura jakin bati buruz galdetzen delako, edota informazioa zabaltzeak etorkizunean abian jartzen diren prozesuak baldintzatu dezakeelako.  Bestetik, aurretik jakinez gero, prozesu baten ondorioei kalte egin diezaioketen datuak izan behar dira.  Hots, </w:t>
      </w:r>
      <w:r>
        <w:rPr>
          <w:color w:val="000000"/>
          <w:sz w:val="24"/>
          <w:szCs w:val="24"/>
          <w:lang w:val="eu-ES"/>
        </w:rPr>
        <w:t>Gardentasunaren Estatu Kontseiluak 311/2022 ebazpenean adierazten duen moduan, muga hori bat dator jarduketa publikoaren eraginkortasunari buruzko printzipioarekin, eta xedea da nahasterik ez dagoen deliberazio eremu bat bermatzea agintari publikoei, interes orokorra asetzeko azken erabakian eraginik izan ez dezan.</w:t>
      </w:r>
    </w:p>
    <w:p w14:paraId="5A88DD9F" w14:textId="77777777" w:rsidR="00A01806" w:rsidRPr="00FE61AA" w:rsidRDefault="00A01806" w:rsidP="00A01806">
      <w:pPr>
        <w:suppressAutoHyphens/>
        <w:autoSpaceDN w:val="0"/>
        <w:ind w:left="360"/>
        <w:jc w:val="both"/>
        <w:textAlignment w:val="baseline"/>
        <w:rPr>
          <w:color w:val="000000"/>
          <w:sz w:val="24"/>
          <w:szCs w:val="24"/>
          <w:lang w:val="eu-ES" w:eastAsia="es-ES_tradnl"/>
        </w:rPr>
      </w:pPr>
    </w:p>
    <w:p w14:paraId="4FAB159F" w14:textId="77777777" w:rsidR="00A01806" w:rsidRPr="00FE61AA" w:rsidRDefault="00A01806" w:rsidP="00A01806">
      <w:pPr>
        <w:suppressAutoHyphens/>
        <w:autoSpaceDN w:val="0"/>
        <w:ind w:left="360"/>
        <w:jc w:val="both"/>
        <w:textAlignment w:val="baseline"/>
        <w:rPr>
          <w:sz w:val="24"/>
          <w:szCs w:val="24"/>
          <w:lang w:val="eu-ES"/>
        </w:rPr>
      </w:pPr>
      <w:r>
        <w:rPr>
          <w:color w:val="000000"/>
          <w:sz w:val="24"/>
          <w:szCs w:val="24"/>
          <w:lang w:val="eu-ES" w:eastAsia="es-ES_tradnl"/>
        </w:rPr>
        <w:t xml:space="preserve">Horrela, mugaren ezaugarriak eta zentzua zehaztuta, Funtzio Publikoko Zuzendaritzak 1473/2024 ebazpenean adierazitakoa kontuan hartuz, hau da, orain arte ez duela erabakirik hartu Aldundiaren egitura berritzeari eta lanpostu zerrendari dagokienez, hots, gaur egun ez dagoela eskatutako txosten horretan jaso daitekeen erabakiak hartzeko prozesurik, </w:t>
      </w:r>
      <w:r>
        <w:rPr>
          <w:sz w:val="24"/>
          <w:szCs w:val="24"/>
          <w:lang w:val="eu-ES" w:eastAsia="es-ES_tradnl"/>
        </w:rPr>
        <w:t xml:space="preserve">txosten hori emateak Funtzio Publikoko Zuzendaritzaren kudeaketaren funtzionamendu arrunta urra lezake, beraz, administrazioak erabakitzeko prozesua zuzen egiten dela babesteko, </w:t>
      </w:r>
      <w:proofErr w:type="spellStart"/>
      <w:r>
        <w:rPr>
          <w:sz w:val="24"/>
          <w:szCs w:val="24"/>
          <w:lang w:val="eu-ES" w:eastAsia="es-ES_tradnl"/>
        </w:rPr>
        <w:t>GIPEGOLren</w:t>
      </w:r>
      <w:proofErr w:type="spellEnd"/>
      <w:r>
        <w:rPr>
          <w:sz w:val="24"/>
          <w:szCs w:val="24"/>
          <w:lang w:val="eu-ES" w:eastAsia="es-ES_tradnl"/>
        </w:rPr>
        <w:t xml:space="preserve"> 14.1 k) artikuluaren muga aplikatu behar da.</w:t>
      </w:r>
    </w:p>
    <w:p w14:paraId="71694E13" w14:textId="77777777" w:rsidR="00A01806" w:rsidRPr="00FE61AA" w:rsidRDefault="00A01806" w:rsidP="00A01806">
      <w:pPr>
        <w:suppressAutoHyphens/>
        <w:autoSpaceDN w:val="0"/>
        <w:ind w:left="360"/>
        <w:jc w:val="both"/>
        <w:textAlignment w:val="baseline"/>
        <w:rPr>
          <w:color w:val="000000"/>
          <w:sz w:val="24"/>
          <w:szCs w:val="24"/>
          <w:lang w:val="eu-ES" w:eastAsia="es-ES_tradnl"/>
        </w:rPr>
      </w:pPr>
    </w:p>
    <w:p w14:paraId="6FE51C85" w14:textId="77777777" w:rsidR="00A01806" w:rsidRPr="00FE61AA" w:rsidRDefault="00A01806" w:rsidP="00A01806">
      <w:pPr>
        <w:suppressAutoHyphens/>
        <w:autoSpaceDN w:val="0"/>
        <w:ind w:left="360"/>
        <w:jc w:val="both"/>
        <w:textAlignment w:val="baseline"/>
        <w:rPr>
          <w:color w:val="000000"/>
          <w:sz w:val="24"/>
          <w:szCs w:val="24"/>
          <w:lang w:val="eu-ES" w:eastAsia="es-ES_tradnl"/>
        </w:rPr>
      </w:pPr>
      <w:r>
        <w:rPr>
          <w:color w:val="000000"/>
          <w:sz w:val="24"/>
          <w:szCs w:val="24"/>
          <w:lang w:val="eu-ES" w:eastAsia="es-ES_tradnl"/>
        </w:rPr>
        <w:t xml:space="preserve">Horren ondorioz, jarduketa publikoaren eraginkortasunari buruzko printzipioa bermatze aldera, </w:t>
      </w:r>
      <w:proofErr w:type="spellStart"/>
      <w:r>
        <w:rPr>
          <w:color w:val="000000"/>
          <w:sz w:val="24"/>
          <w:szCs w:val="24"/>
          <w:lang w:val="eu-ES" w:eastAsia="es-ES_tradnl"/>
        </w:rPr>
        <w:t>GIPEGOLren</w:t>
      </w:r>
      <w:proofErr w:type="spellEnd"/>
      <w:r>
        <w:rPr>
          <w:color w:val="000000"/>
          <w:sz w:val="24"/>
          <w:szCs w:val="24"/>
          <w:lang w:val="eu-ES" w:eastAsia="es-ES_tradnl"/>
        </w:rPr>
        <w:t xml:space="preserve"> 14.1. artikuluko k) atalean ezarritako muga aplikatu behar da.</w:t>
      </w:r>
    </w:p>
    <w:p w14:paraId="438410A1" w14:textId="77777777" w:rsidR="00A01806" w:rsidRPr="00FE61AA" w:rsidRDefault="00A01806" w:rsidP="00A01806">
      <w:pPr>
        <w:suppressAutoHyphens/>
        <w:autoSpaceDN w:val="0"/>
        <w:ind w:left="360"/>
        <w:jc w:val="both"/>
        <w:textAlignment w:val="baseline"/>
        <w:rPr>
          <w:color w:val="000000"/>
          <w:sz w:val="24"/>
          <w:szCs w:val="24"/>
          <w:lang w:val="eu-ES" w:eastAsia="es-ES_tradnl"/>
        </w:rPr>
      </w:pPr>
    </w:p>
    <w:p w14:paraId="3C7EC322" w14:textId="77777777" w:rsidR="00A01806" w:rsidRPr="00FE61AA" w:rsidRDefault="00A01806" w:rsidP="00A01806">
      <w:pPr>
        <w:jc w:val="both"/>
        <w:rPr>
          <w:lang w:val="eu-ES"/>
        </w:rPr>
      </w:pPr>
    </w:p>
    <w:p w14:paraId="6610D69A" w14:textId="77777777" w:rsidR="00A01806" w:rsidRPr="00FE61AA" w:rsidRDefault="00A01806" w:rsidP="00A01806">
      <w:pPr>
        <w:pStyle w:val="Prrafodelista"/>
        <w:numPr>
          <w:ilvl w:val="0"/>
          <w:numId w:val="40"/>
        </w:numPr>
        <w:jc w:val="both"/>
        <w:rPr>
          <w:color w:val="000000"/>
          <w:sz w:val="24"/>
          <w:szCs w:val="24"/>
          <w:lang w:val="eu-ES" w:eastAsia="es-ES_tradnl"/>
        </w:rPr>
      </w:pPr>
      <w:r>
        <w:rPr>
          <w:color w:val="000000"/>
          <w:sz w:val="24"/>
          <w:szCs w:val="24"/>
          <w:lang w:val="eu-ES" w:eastAsia="es-ES_tradnl"/>
        </w:rPr>
        <w:t>Azkenik, txostena iritzi publikora iristeak ez du ekartzen jendeak ezagutzen duenik.</w:t>
      </w:r>
    </w:p>
    <w:p w14:paraId="2F05B753" w14:textId="77777777" w:rsidR="00A01806" w:rsidRPr="00FE61AA" w:rsidRDefault="00A01806" w:rsidP="00A01806">
      <w:pPr>
        <w:jc w:val="both"/>
        <w:rPr>
          <w:color w:val="000000"/>
          <w:sz w:val="24"/>
          <w:szCs w:val="24"/>
          <w:lang w:val="eu-ES" w:eastAsia="es-ES_tradnl"/>
        </w:rPr>
      </w:pPr>
    </w:p>
    <w:p w14:paraId="0956BBC7" w14:textId="77777777" w:rsidR="00A01806" w:rsidRPr="00FE61AA" w:rsidRDefault="00A01806" w:rsidP="00A01806">
      <w:pPr>
        <w:ind w:left="360"/>
        <w:jc w:val="both"/>
        <w:rPr>
          <w:sz w:val="24"/>
          <w:szCs w:val="24"/>
          <w:lang w:val="eu-ES"/>
        </w:rPr>
      </w:pPr>
      <w:r>
        <w:rPr>
          <w:color w:val="000000"/>
          <w:sz w:val="24"/>
          <w:szCs w:val="24"/>
          <w:lang w:val="eu-ES" w:eastAsia="es-ES_tradnl"/>
        </w:rPr>
        <w:t xml:space="preserve">Hori guztia ahaztu gabe </w:t>
      </w:r>
      <w:r>
        <w:rPr>
          <w:sz w:val="24"/>
          <w:szCs w:val="24"/>
          <w:lang w:val="eu-ES" w:eastAsia="es-ES_tradnl"/>
        </w:rPr>
        <w:t>Arabako Batzar Nagusietako batzarkideak arautegiak Arabako Foru Aldundiaren esku dagoen informazioa eskatzeko ematen dion eskumenaz baliatzen direnean, ez dute eskaera hori egiten herritar gisa, baizik eta ordezkari politiko gisa, hau da, berez duten eskumena erabiliz. Eskumen hori, Espainiako Konstituzioaren 23.2. Artikuluan oinarritzen da, eta ez abenduaren 9ko 19/2013 Legean, gardentasunari, informazio publikoa eskuratzeko bideari eta gobernu onari buruzkoan.  Azken batean, Foru Ganberako kideek informazioa ikusteko eskubide indartua dute, eta Auzitegi gorenak ekainaren 15eko 2870/2015 ebazpenean adierazi zuen moduan, ezinbestekoa den plus bat daukate, eta ez zaizkie aplikatzen herritarren informazioa eskuratzeko muga berak.</w:t>
      </w:r>
    </w:p>
    <w:p w14:paraId="5F6E85DA" w14:textId="77777777" w:rsidR="00A01806" w:rsidRDefault="00A01806" w:rsidP="00A01806">
      <w:pPr>
        <w:ind w:left="360"/>
        <w:jc w:val="both"/>
        <w:rPr>
          <w:sz w:val="24"/>
          <w:szCs w:val="24"/>
          <w:lang w:val="eu-ES"/>
        </w:rPr>
      </w:pPr>
    </w:p>
    <w:p w14:paraId="74C9E560" w14:textId="77777777" w:rsidR="00BF32FD" w:rsidRDefault="00BF32FD" w:rsidP="00A01806">
      <w:pPr>
        <w:ind w:left="360"/>
        <w:jc w:val="both"/>
        <w:rPr>
          <w:sz w:val="24"/>
          <w:szCs w:val="24"/>
          <w:lang w:val="eu-ES"/>
        </w:rPr>
      </w:pPr>
    </w:p>
    <w:p w14:paraId="1E8D08FC" w14:textId="77777777" w:rsidR="00BF32FD" w:rsidRDefault="00BF32FD" w:rsidP="00A01806">
      <w:pPr>
        <w:ind w:left="360"/>
        <w:jc w:val="both"/>
        <w:rPr>
          <w:sz w:val="24"/>
          <w:szCs w:val="24"/>
          <w:lang w:val="eu-ES"/>
        </w:rPr>
      </w:pPr>
    </w:p>
    <w:p w14:paraId="115C3C11" w14:textId="77777777" w:rsidR="00BF32FD" w:rsidRPr="00FE61AA" w:rsidRDefault="00BF32FD" w:rsidP="00A01806">
      <w:pPr>
        <w:ind w:left="360"/>
        <w:jc w:val="both"/>
        <w:rPr>
          <w:sz w:val="24"/>
          <w:szCs w:val="24"/>
          <w:lang w:val="eu-ES"/>
        </w:rPr>
      </w:pPr>
    </w:p>
    <w:p w14:paraId="2E11DDC1" w14:textId="77777777" w:rsidR="00A01806" w:rsidRPr="00FE61AA" w:rsidRDefault="00A01806" w:rsidP="00A01806">
      <w:pPr>
        <w:ind w:left="360"/>
        <w:jc w:val="both"/>
        <w:rPr>
          <w:sz w:val="24"/>
          <w:szCs w:val="24"/>
          <w:lang w:val="eu-ES"/>
        </w:rPr>
      </w:pPr>
    </w:p>
    <w:p w14:paraId="7E74FB9E" w14:textId="77777777" w:rsidR="00A01806" w:rsidRPr="00FE61AA" w:rsidRDefault="00A01806" w:rsidP="00A01806">
      <w:pPr>
        <w:ind w:left="360"/>
        <w:jc w:val="both"/>
        <w:rPr>
          <w:sz w:val="24"/>
          <w:szCs w:val="24"/>
          <w:lang w:val="eu-ES"/>
        </w:rPr>
      </w:pPr>
    </w:p>
    <w:p w14:paraId="68E5D9AD" w14:textId="77777777" w:rsidR="00A01806" w:rsidRPr="00FE61AA" w:rsidRDefault="00A01806" w:rsidP="00A01806">
      <w:pPr>
        <w:suppressAutoHyphens/>
        <w:autoSpaceDN w:val="0"/>
        <w:jc w:val="both"/>
        <w:textAlignment w:val="baseline"/>
        <w:rPr>
          <w:color w:val="000000"/>
          <w:sz w:val="24"/>
          <w:szCs w:val="24"/>
          <w:lang w:val="eu-ES" w:eastAsia="es-ES_tradnl"/>
        </w:rPr>
      </w:pPr>
    </w:p>
    <w:p w14:paraId="54DCB6A9" w14:textId="77777777" w:rsidR="00A01806" w:rsidRPr="004350AF" w:rsidRDefault="00A01806" w:rsidP="00A01806">
      <w:pPr>
        <w:tabs>
          <w:tab w:val="left" w:pos="473"/>
        </w:tabs>
        <w:jc w:val="both"/>
        <w:rPr>
          <w:sz w:val="24"/>
          <w:szCs w:val="24"/>
        </w:rPr>
      </w:pPr>
      <w:r>
        <w:rPr>
          <w:sz w:val="24"/>
          <w:szCs w:val="24"/>
          <w:lang w:val="eu-ES"/>
        </w:rPr>
        <w:t>Horregatik guztiagatik, Gardentasunaren Foru Kontseiluak, aho batez, hau hartu du:</w:t>
      </w:r>
    </w:p>
    <w:p w14:paraId="3258520E" w14:textId="77777777" w:rsidR="00A01806" w:rsidRPr="004350AF" w:rsidRDefault="00A01806" w:rsidP="00A01806">
      <w:pPr>
        <w:tabs>
          <w:tab w:val="left" w:pos="473"/>
        </w:tabs>
        <w:jc w:val="both"/>
        <w:rPr>
          <w:sz w:val="24"/>
          <w:szCs w:val="24"/>
        </w:rPr>
      </w:pPr>
    </w:p>
    <w:p w14:paraId="0150A2B4" w14:textId="77777777" w:rsidR="00A01806" w:rsidRPr="004350AF" w:rsidRDefault="00A01806" w:rsidP="00A01806">
      <w:pPr>
        <w:jc w:val="center"/>
        <w:rPr>
          <w:color w:val="000000"/>
          <w:sz w:val="24"/>
          <w:szCs w:val="24"/>
          <w:lang w:eastAsia="es-ES_tradnl"/>
        </w:rPr>
      </w:pPr>
      <w:r>
        <w:rPr>
          <w:b/>
          <w:bCs/>
          <w:color w:val="000000"/>
          <w:sz w:val="24"/>
          <w:szCs w:val="24"/>
          <w:lang w:val="eu-ES" w:eastAsia="es-ES_tradnl"/>
        </w:rPr>
        <w:t>EBAZPENA</w:t>
      </w:r>
    </w:p>
    <w:p w14:paraId="0D7E8F09" w14:textId="77777777" w:rsidR="00A01806" w:rsidRPr="004350AF" w:rsidRDefault="00A01806" w:rsidP="00A01806">
      <w:pPr>
        <w:jc w:val="both"/>
        <w:rPr>
          <w:color w:val="000000"/>
          <w:sz w:val="24"/>
          <w:szCs w:val="24"/>
          <w:lang w:eastAsia="es-ES_tradnl"/>
        </w:rPr>
      </w:pPr>
    </w:p>
    <w:p w14:paraId="4B421639" w14:textId="21C0D2BD" w:rsidR="00A01806" w:rsidRPr="0043623A" w:rsidRDefault="00A01806" w:rsidP="00A01806">
      <w:pPr>
        <w:autoSpaceDE w:val="0"/>
        <w:autoSpaceDN w:val="0"/>
        <w:adjustRightInd w:val="0"/>
        <w:jc w:val="both"/>
        <w:rPr>
          <w:color w:val="000000"/>
          <w:sz w:val="24"/>
          <w:szCs w:val="24"/>
          <w:lang w:val="eu-ES" w:eastAsia="es-ES_tradnl"/>
        </w:rPr>
      </w:pPr>
      <w:r>
        <w:rPr>
          <w:b/>
          <w:bCs/>
          <w:color w:val="000000"/>
          <w:sz w:val="24"/>
          <w:szCs w:val="24"/>
          <w:lang w:val="eu-ES" w:eastAsia="es-ES_tradnl"/>
        </w:rPr>
        <w:t xml:space="preserve">Lehenengoa. </w:t>
      </w:r>
      <w:proofErr w:type="spellStart"/>
      <w:r w:rsidR="0043623A" w:rsidRPr="0043623A">
        <w:rPr>
          <w:color w:val="000000"/>
          <w:sz w:val="24"/>
          <w:szCs w:val="24"/>
          <w:highlight w:val="black"/>
          <w:lang w:val="eu-ES" w:eastAsia="es-ES_tradnl"/>
        </w:rPr>
        <w:t>XXXXX</w:t>
      </w:r>
      <w:proofErr w:type="spellEnd"/>
      <w:r>
        <w:rPr>
          <w:color w:val="000000"/>
          <w:sz w:val="24"/>
          <w:szCs w:val="24"/>
          <w:lang w:val="eu-ES" w:eastAsia="es-ES_tradnl"/>
        </w:rPr>
        <w:t xml:space="preserve"> </w:t>
      </w:r>
      <w:r>
        <w:rPr>
          <w:sz w:val="24"/>
          <w:szCs w:val="24"/>
          <w:lang w:val="eu-ES" w:eastAsia="es-ES_tradnl"/>
        </w:rPr>
        <w:t>Funtzio Publikoko zuzendariaren martxoaren 8ko 1473/2024 ebazpenaren aurka</w:t>
      </w:r>
      <w:r>
        <w:rPr>
          <w:color w:val="000000"/>
          <w:sz w:val="24"/>
          <w:szCs w:val="24"/>
          <w:lang w:val="eu-ES" w:eastAsia="es-ES_tradnl"/>
        </w:rPr>
        <w:t xml:space="preserve"> aurkeztutako erreklamazioa gaitzestea, </w:t>
      </w:r>
      <w:proofErr w:type="spellStart"/>
      <w:r>
        <w:rPr>
          <w:sz w:val="24"/>
          <w:szCs w:val="24"/>
          <w:lang w:val="eu-ES" w:eastAsia="es-ES_tradnl"/>
        </w:rPr>
        <w:t>GIPEGOLren</w:t>
      </w:r>
      <w:proofErr w:type="spellEnd"/>
      <w:r>
        <w:rPr>
          <w:sz w:val="24"/>
          <w:szCs w:val="24"/>
          <w:lang w:val="eu-ES" w:eastAsia="es-ES_tradnl"/>
        </w:rPr>
        <w:t xml:space="preserve"> 14.1 k) artikuluaren muga aplikatu behar delako.</w:t>
      </w:r>
    </w:p>
    <w:p w14:paraId="415B78C3" w14:textId="77777777" w:rsidR="00A01806" w:rsidRPr="0043623A" w:rsidRDefault="00A01806" w:rsidP="00A01806">
      <w:pPr>
        <w:jc w:val="both"/>
        <w:rPr>
          <w:b/>
          <w:bCs/>
          <w:color w:val="000000"/>
          <w:sz w:val="24"/>
          <w:szCs w:val="24"/>
          <w:lang w:val="eu-ES" w:eastAsia="es-ES_tradnl"/>
        </w:rPr>
      </w:pPr>
    </w:p>
    <w:p w14:paraId="6D34B025" w14:textId="77777777" w:rsidR="00A01806" w:rsidRPr="00E36E0D" w:rsidRDefault="00A01806" w:rsidP="00A01806">
      <w:pPr>
        <w:jc w:val="both"/>
        <w:rPr>
          <w:color w:val="000000"/>
          <w:sz w:val="24"/>
          <w:szCs w:val="24"/>
          <w:lang w:val="eu-ES" w:eastAsia="es-ES_tradnl"/>
        </w:rPr>
      </w:pPr>
      <w:r>
        <w:rPr>
          <w:b/>
          <w:bCs/>
          <w:color w:val="000000"/>
          <w:sz w:val="24"/>
          <w:szCs w:val="24"/>
          <w:lang w:val="eu-ES" w:eastAsia="es-ES_tradnl"/>
        </w:rPr>
        <w:t>Bigarrena.</w:t>
      </w:r>
      <w:r>
        <w:rPr>
          <w:color w:val="000000"/>
          <w:sz w:val="24"/>
          <w:szCs w:val="24"/>
          <w:lang w:val="eu-ES" w:eastAsia="es-ES_tradnl"/>
        </w:rPr>
        <w:t xml:space="preserve"> Ebazpen honek administrazio bidea amaitzen du, eta beraren aurka, administrazioarekiko auzi errekurtsoa aurkeztu daiteke Gasteizko Administrazioarekiko Auzietako Epaitegietan, bi hilabeteko epean, ebazpen hau jakinarazi eta hurrengo egunetik aurrera zenbatzen hasita. </w:t>
      </w:r>
    </w:p>
    <w:p w14:paraId="6D39A661" w14:textId="77777777" w:rsidR="00A01806" w:rsidRPr="00E36E0D" w:rsidRDefault="00A01806" w:rsidP="007B41B6">
      <w:pPr>
        <w:jc w:val="both"/>
        <w:rPr>
          <w:bCs/>
          <w:sz w:val="24"/>
          <w:szCs w:val="24"/>
          <w:lang w:val="eu-ES"/>
        </w:rPr>
      </w:pPr>
    </w:p>
    <w:sectPr w:rsidR="00A01806" w:rsidRPr="00E36E0D" w:rsidSect="00C86654">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52B7" w14:textId="77777777" w:rsidR="00A07392" w:rsidRDefault="00A07392">
      <w:r>
        <w:separator/>
      </w:r>
    </w:p>
  </w:endnote>
  <w:endnote w:type="continuationSeparator" w:id="0">
    <w:p w14:paraId="2140BFD7" w14:textId="77777777" w:rsidR="00A07392" w:rsidRDefault="00A0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85F4" w14:textId="3BA3844F" w:rsidR="00A53A91" w:rsidRDefault="00A53A91">
    <w:pPr>
      <w:pStyle w:val="Piedepgina"/>
      <w:framePr w:w="862" w:wrap="around" w:vAnchor="text" w:hAnchor="page" w:x="1153" w:y="10"/>
      <w:ind w:firstLine="0"/>
      <w:rPr>
        <w:rStyle w:val="Nmerodepgina"/>
      </w:rPr>
    </w:pPr>
  </w:p>
  <w:p w14:paraId="5A06EA4F" w14:textId="4B88FD37" w:rsidR="00A53A91" w:rsidRDefault="00801201" w:rsidP="00801201">
    <w:pPr>
      <w:pStyle w:val="Piedepgina"/>
      <w:ind w:right="360" w:hanging="426"/>
      <w:jc w:val="right"/>
    </w:pPr>
    <w:r>
      <w:tab/>
    </w:r>
    <w:r w:rsidR="00A8038A">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417512"/>
      <w:docPartObj>
        <w:docPartGallery w:val="Page Numbers (Bottom of Page)"/>
        <w:docPartUnique/>
      </w:docPartObj>
    </w:sdtPr>
    <w:sdtEndPr/>
    <w:sdtContent>
      <w:p w14:paraId="6547FE24" w14:textId="31BB7A1F" w:rsidR="00DD037D" w:rsidRDefault="00DD037D" w:rsidP="00DD037D">
        <w:pPr>
          <w:pStyle w:val="Piedepgina"/>
          <w:ind w:left="3689" w:firstLine="4819"/>
          <w:jc w:val="center"/>
        </w:pPr>
        <w:r>
          <w:fldChar w:fldCharType="begin"/>
        </w:r>
        <w:r>
          <w:instrText>PAGE   \* MERGEFORMAT</w:instrText>
        </w:r>
        <w:r>
          <w:fldChar w:fldCharType="separate"/>
        </w:r>
        <w:r>
          <w:rPr>
            <w:lang w:val="es-ES"/>
          </w:rPr>
          <w:t>2</w:t>
        </w:r>
        <w:r>
          <w:fldChar w:fldCharType="end"/>
        </w:r>
        <w:r>
          <w:t>/</w:t>
        </w:r>
        <w:r w:rsidR="0043623A">
          <w:t>7</w:t>
        </w:r>
      </w:p>
    </w:sdtContent>
  </w:sdt>
  <w:p w14:paraId="54870F3D" w14:textId="0C20E6EE" w:rsidR="00801201" w:rsidRDefault="0080120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520140"/>
      <w:docPartObj>
        <w:docPartGallery w:val="Page Numbers (Bottom of Page)"/>
        <w:docPartUnique/>
      </w:docPartObj>
    </w:sdtPr>
    <w:sdtEndPr/>
    <w:sdtContent>
      <w:p w14:paraId="351FDEE5" w14:textId="41DFE8C3" w:rsidR="004353E7" w:rsidRPr="004353E7" w:rsidRDefault="004353E7" w:rsidP="004353E7">
        <w:pPr>
          <w:pStyle w:val="Piedepgina"/>
          <w:tabs>
            <w:tab w:val="clear" w:pos="9071"/>
            <w:tab w:val="right" w:pos="9072"/>
          </w:tabs>
          <w:jc w:val="right"/>
        </w:pPr>
        <w:r w:rsidRPr="004353E7">
          <w:fldChar w:fldCharType="begin"/>
        </w:r>
        <w:r w:rsidRPr="004353E7">
          <w:instrText xml:space="preserve"> PAGE </w:instrText>
        </w:r>
        <w:r w:rsidRPr="004353E7">
          <w:fldChar w:fldCharType="separate"/>
        </w:r>
        <w:r w:rsidRPr="004353E7">
          <w:t>1</w:t>
        </w:r>
        <w:r w:rsidRPr="004353E7">
          <w:fldChar w:fldCharType="end"/>
        </w:r>
        <w:r w:rsidRPr="004353E7">
          <w:t>/</w:t>
        </w:r>
        <w:r w:rsidRPr="004353E7">
          <w:fldChar w:fldCharType="begin"/>
        </w:r>
        <w:r w:rsidRPr="004353E7">
          <w:instrText xml:space="preserve"> NUMPAGES </w:instrText>
        </w:r>
        <w:r w:rsidRPr="004353E7">
          <w:fldChar w:fldCharType="separate"/>
        </w:r>
        <w:r w:rsidRPr="004353E7">
          <w:t>3</w:t>
        </w:r>
        <w:r w:rsidRPr="004353E7">
          <w:fldChar w:fldCharType="end"/>
        </w:r>
      </w:p>
      <w:p w14:paraId="138B63EC" w14:textId="22B6CC89" w:rsidR="00801201" w:rsidRDefault="000446AD">
        <w:pPr>
          <w:pStyle w:val="Piedepgina"/>
          <w:jc w:val="right"/>
        </w:pPr>
      </w:p>
    </w:sdtContent>
  </w:sdt>
  <w:p w14:paraId="4EA753CB" w14:textId="6B30325D" w:rsidR="00A53A91" w:rsidRDefault="00A53A91">
    <w:pPr>
      <w:pStyle w:val="Piedepgina"/>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F717" w14:textId="77777777" w:rsidR="00A07392" w:rsidRDefault="00A07392">
      <w:r>
        <w:separator/>
      </w:r>
    </w:p>
  </w:footnote>
  <w:footnote w:type="continuationSeparator" w:id="0">
    <w:p w14:paraId="17549128" w14:textId="77777777" w:rsidR="00A07392" w:rsidRDefault="00A0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44548ADA" w14:textId="77777777" w:rsidTr="002234FA">
      <w:tc>
        <w:tcPr>
          <w:tcW w:w="6804" w:type="dxa"/>
        </w:tcPr>
        <w:p w14:paraId="0691F4CF"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782BD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86880199" r:id="rId2"/>
            </w:object>
          </w:r>
        </w:p>
      </w:tc>
      <w:tc>
        <w:tcPr>
          <w:tcW w:w="3686" w:type="dxa"/>
        </w:tcPr>
        <w:p w14:paraId="286962BF" w14:textId="77777777" w:rsidR="007672DC" w:rsidRPr="00A84247" w:rsidRDefault="007672DC" w:rsidP="007672DC">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6DFE000B" w14:textId="77777777" w:rsidR="00E8028A" w:rsidRPr="001B2F39" w:rsidRDefault="007672DC" w:rsidP="007672DC">
          <w:pPr>
            <w:tabs>
              <w:tab w:val="right" w:pos="8504"/>
            </w:tabs>
            <w:spacing w:after="240" w:line="240" w:lineRule="exact"/>
            <w:ind w:left="-68"/>
            <w:jc w:val="both"/>
            <w:rPr>
              <w:rFonts w:ascii="Arial" w:hAnsi="Arial"/>
              <w:b/>
              <w:caps/>
              <w:noProof/>
              <w:sz w:val="18"/>
              <w:szCs w:val="18"/>
            </w:rPr>
          </w:pPr>
          <w:r w:rsidRPr="00A84247">
            <w:rPr>
              <w:b/>
              <w:sz w:val="24"/>
              <w:szCs w:val="24"/>
            </w:rPr>
            <w:t>Consejo Foral de Transparencia</w:t>
          </w:r>
        </w:p>
      </w:tc>
    </w:tr>
  </w:tbl>
  <w:p w14:paraId="7A5F938D"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366EE112" w14:textId="77777777" w:rsidTr="002234FA">
      <w:tc>
        <w:tcPr>
          <w:tcW w:w="6804" w:type="dxa"/>
        </w:tcPr>
        <w:p w14:paraId="5673CC84"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440AF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786880200" r:id="rId2"/>
            </w:object>
          </w:r>
        </w:p>
      </w:tc>
      <w:tc>
        <w:tcPr>
          <w:tcW w:w="3686" w:type="dxa"/>
        </w:tcPr>
        <w:p w14:paraId="3379D1CD" w14:textId="77777777" w:rsidR="007A35BB" w:rsidRPr="00A84247" w:rsidRDefault="007A35BB" w:rsidP="007A35BB">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637263E3" w14:textId="77777777" w:rsidR="00E8028A" w:rsidRPr="001B2F39" w:rsidRDefault="007A35BB" w:rsidP="007A35BB">
          <w:pPr>
            <w:tabs>
              <w:tab w:val="right" w:pos="8504"/>
            </w:tabs>
            <w:spacing w:after="240" w:line="240" w:lineRule="exact"/>
            <w:ind w:left="-68"/>
            <w:jc w:val="both"/>
            <w:rPr>
              <w:rFonts w:ascii="Arial" w:hAnsi="Arial"/>
              <w:b/>
              <w:caps/>
              <w:noProof/>
              <w:sz w:val="18"/>
              <w:szCs w:val="18"/>
            </w:rPr>
          </w:pPr>
          <w:r w:rsidRPr="00A84247">
            <w:rPr>
              <w:b/>
              <w:sz w:val="24"/>
              <w:szCs w:val="24"/>
            </w:rPr>
            <w:t>Consejo Foral de Transparencia</w:t>
          </w:r>
        </w:p>
      </w:tc>
    </w:tr>
  </w:tbl>
  <w:p w14:paraId="56BD2EB4"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1B2F39" w:rsidRPr="001B2F39" w14:paraId="118C1246" w14:textId="77777777" w:rsidTr="00EA7E02">
      <w:tc>
        <w:tcPr>
          <w:tcW w:w="6804" w:type="dxa"/>
        </w:tcPr>
        <w:bookmarkStart w:id="1" w:name="_MON_1284444778"/>
        <w:bookmarkEnd w:id="1"/>
        <w:p w14:paraId="7F35151C" w14:textId="77777777" w:rsidR="001B2F39" w:rsidRPr="001B2F39" w:rsidRDefault="001B2F39" w:rsidP="001B2F39">
          <w:pPr>
            <w:spacing w:after="1200"/>
            <w:ind w:left="74"/>
            <w:rPr>
              <w:rFonts w:ascii="Arial" w:hAnsi="Arial"/>
              <w:noProof/>
              <w:sz w:val="16"/>
            </w:rPr>
          </w:pPr>
          <w:r w:rsidRPr="001B2F39">
            <w:rPr>
              <w:rFonts w:ascii="Arial" w:hAnsi="Arial"/>
              <w:noProof/>
              <w:sz w:val="16"/>
            </w:rPr>
            <w:object w:dxaOrig="3301" w:dyaOrig="1126" w14:anchorId="73D37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786880201" r:id="rId2"/>
            </w:object>
          </w:r>
        </w:p>
      </w:tc>
      <w:tc>
        <w:tcPr>
          <w:tcW w:w="3686" w:type="dxa"/>
        </w:tcPr>
        <w:p w14:paraId="3277CBBC" w14:textId="77777777" w:rsidR="001B2F39" w:rsidRPr="00A84247" w:rsidRDefault="00903823" w:rsidP="00903823">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38CFA8D0" w14:textId="77777777" w:rsidR="001B2F39" w:rsidRPr="00A84247" w:rsidRDefault="001B2F39" w:rsidP="00A84247">
          <w:pPr>
            <w:tabs>
              <w:tab w:val="right" w:pos="8504"/>
            </w:tabs>
            <w:spacing w:before="100" w:after="240" w:line="240" w:lineRule="exact"/>
            <w:ind w:left="-68"/>
            <w:jc w:val="both"/>
            <w:rPr>
              <w:rFonts w:ascii="Arial" w:hAnsi="Arial"/>
              <w:b/>
              <w:caps/>
              <w:noProof/>
              <w:sz w:val="24"/>
              <w:szCs w:val="24"/>
            </w:rPr>
          </w:pPr>
          <w:r w:rsidRPr="00A84247">
            <w:rPr>
              <w:b/>
              <w:sz w:val="24"/>
              <w:szCs w:val="24"/>
            </w:rPr>
            <w:t>Co</w:t>
          </w:r>
          <w:r w:rsidR="00903823" w:rsidRPr="00A84247">
            <w:rPr>
              <w:b/>
              <w:sz w:val="24"/>
              <w:szCs w:val="24"/>
            </w:rPr>
            <w:t>nsejo Foral de Transparencia</w:t>
          </w:r>
        </w:p>
      </w:tc>
    </w:tr>
  </w:tbl>
  <w:p w14:paraId="45A5D1AF"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ED"/>
    <w:multiLevelType w:val="singleLevel"/>
    <w:tmpl w:val="666E141A"/>
    <w:lvl w:ilvl="0">
      <w:start w:val="11"/>
      <w:numFmt w:val="bullet"/>
      <w:lvlText w:val="-"/>
      <w:lvlJc w:val="left"/>
      <w:pPr>
        <w:tabs>
          <w:tab w:val="num" w:pos="927"/>
        </w:tabs>
        <w:ind w:left="927" w:hanging="360"/>
      </w:pPr>
      <w:rPr>
        <w:rFonts w:ascii="Times New Roman" w:hAnsi="Times New Roman" w:hint="default"/>
      </w:rPr>
    </w:lvl>
  </w:abstractNum>
  <w:abstractNum w:abstractNumId="1" w15:restartNumberingAfterBreak="0">
    <w:nsid w:val="020E71A7"/>
    <w:multiLevelType w:val="hybridMultilevel"/>
    <w:tmpl w:val="9E9AF534"/>
    <w:lvl w:ilvl="0" w:tplc="75A4B4C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240C59"/>
    <w:multiLevelType w:val="hybridMultilevel"/>
    <w:tmpl w:val="561E3DA6"/>
    <w:lvl w:ilvl="0" w:tplc="3D72B7BC">
      <w:start w:val="1"/>
      <w:numFmt w:val="decimal"/>
      <w:lvlText w:val="%1."/>
      <w:lvlJc w:val="left"/>
      <w:pPr>
        <w:ind w:left="360" w:hanging="360"/>
      </w:pPr>
    </w:lvl>
    <w:lvl w:ilvl="1" w:tplc="3494730E" w:tentative="1">
      <w:start w:val="1"/>
      <w:numFmt w:val="lowerLetter"/>
      <w:lvlText w:val="%2."/>
      <w:lvlJc w:val="left"/>
      <w:pPr>
        <w:ind w:left="1080" w:hanging="360"/>
      </w:pPr>
    </w:lvl>
    <w:lvl w:ilvl="2" w:tplc="5074FE8A" w:tentative="1">
      <w:start w:val="1"/>
      <w:numFmt w:val="lowerRoman"/>
      <w:lvlText w:val="%3."/>
      <w:lvlJc w:val="right"/>
      <w:pPr>
        <w:ind w:left="1800" w:hanging="180"/>
      </w:pPr>
    </w:lvl>
    <w:lvl w:ilvl="3" w:tplc="995A7932" w:tentative="1">
      <w:start w:val="1"/>
      <w:numFmt w:val="decimal"/>
      <w:lvlText w:val="%4."/>
      <w:lvlJc w:val="left"/>
      <w:pPr>
        <w:ind w:left="2520" w:hanging="360"/>
      </w:pPr>
    </w:lvl>
    <w:lvl w:ilvl="4" w:tplc="DCB240E0" w:tentative="1">
      <w:start w:val="1"/>
      <w:numFmt w:val="lowerLetter"/>
      <w:lvlText w:val="%5."/>
      <w:lvlJc w:val="left"/>
      <w:pPr>
        <w:ind w:left="3240" w:hanging="360"/>
      </w:pPr>
    </w:lvl>
    <w:lvl w:ilvl="5" w:tplc="4FE09516" w:tentative="1">
      <w:start w:val="1"/>
      <w:numFmt w:val="lowerRoman"/>
      <w:lvlText w:val="%6."/>
      <w:lvlJc w:val="right"/>
      <w:pPr>
        <w:ind w:left="3960" w:hanging="180"/>
      </w:pPr>
    </w:lvl>
    <w:lvl w:ilvl="6" w:tplc="ED2A13B0" w:tentative="1">
      <w:start w:val="1"/>
      <w:numFmt w:val="decimal"/>
      <w:lvlText w:val="%7."/>
      <w:lvlJc w:val="left"/>
      <w:pPr>
        <w:ind w:left="4680" w:hanging="360"/>
      </w:pPr>
    </w:lvl>
    <w:lvl w:ilvl="7" w:tplc="8E1063A4" w:tentative="1">
      <w:start w:val="1"/>
      <w:numFmt w:val="lowerLetter"/>
      <w:lvlText w:val="%8."/>
      <w:lvlJc w:val="left"/>
      <w:pPr>
        <w:ind w:left="5400" w:hanging="360"/>
      </w:pPr>
    </w:lvl>
    <w:lvl w:ilvl="8" w:tplc="EAE61586" w:tentative="1">
      <w:start w:val="1"/>
      <w:numFmt w:val="lowerRoman"/>
      <w:lvlText w:val="%9."/>
      <w:lvlJc w:val="right"/>
      <w:pPr>
        <w:ind w:left="6120" w:hanging="180"/>
      </w:pPr>
    </w:lvl>
  </w:abstractNum>
  <w:abstractNum w:abstractNumId="3" w15:restartNumberingAfterBreak="0">
    <w:nsid w:val="0A89539E"/>
    <w:multiLevelType w:val="singleLevel"/>
    <w:tmpl w:val="02142362"/>
    <w:lvl w:ilvl="0">
      <w:start w:val="1"/>
      <w:numFmt w:val="lowerLetter"/>
      <w:lvlText w:val="%1)"/>
      <w:lvlJc w:val="left"/>
      <w:pPr>
        <w:tabs>
          <w:tab w:val="num" w:pos="360"/>
        </w:tabs>
        <w:ind w:left="284" w:hanging="284"/>
      </w:pPr>
    </w:lvl>
  </w:abstractNum>
  <w:abstractNum w:abstractNumId="4" w15:restartNumberingAfterBreak="0">
    <w:nsid w:val="0D4C52C1"/>
    <w:multiLevelType w:val="hybridMultilevel"/>
    <w:tmpl w:val="1604E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9525D1"/>
    <w:multiLevelType w:val="singleLevel"/>
    <w:tmpl w:val="D366A400"/>
    <w:lvl w:ilvl="0">
      <w:start w:val="1"/>
      <w:numFmt w:val="decimal"/>
      <w:lvlText w:val="%1.-"/>
      <w:lvlJc w:val="left"/>
      <w:pPr>
        <w:tabs>
          <w:tab w:val="num" w:pos="360"/>
        </w:tabs>
        <w:ind w:left="360" w:hanging="360"/>
      </w:pPr>
      <w:rPr>
        <w:b/>
        <w:i w:val="0"/>
      </w:rPr>
    </w:lvl>
  </w:abstractNum>
  <w:abstractNum w:abstractNumId="6" w15:restartNumberingAfterBreak="0">
    <w:nsid w:val="0EAE5F05"/>
    <w:multiLevelType w:val="hybridMultilevel"/>
    <w:tmpl w:val="17A2E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CA1DAE"/>
    <w:multiLevelType w:val="singleLevel"/>
    <w:tmpl w:val="DCCE708A"/>
    <w:lvl w:ilvl="0">
      <w:numFmt w:val="bullet"/>
      <w:lvlText w:val="-"/>
      <w:lvlJc w:val="left"/>
      <w:pPr>
        <w:tabs>
          <w:tab w:val="num" w:pos="643"/>
        </w:tabs>
        <w:ind w:left="643" w:hanging="360"/>
      </w:pPr>
      <w:rPr>
        <w:rFonts w:hint="default"/>
      </w:rPr>
    </w:lvl>
  </w:abstractNum>
  <w:abstractNum w:abstractNumId="8" w15:restartNumberingAfterBreak="0">
    <w:nsid w:val="130727BA"/>
    <w:multiLevelType w:val="hybridMultilevel"/>
    <w:tmpl w:val="A0149A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366F7E"/>
    <w:multiLevelType w:val="hybridMultilevel"/>
    <w:tmpl w:val="EC0638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79037A"/>
    <w:multiLevelType w:val="multilevel"/>
    <w:tmpl w:val="F71EC17E"/>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11" w15:restartNumberingAfterBreak="0">
    <w:nsid w:val="19935F83"/>
    <w:multiLevelType w:val="multilevel"/>
    <w:tmpl w:val="F99ED4A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2" w15:restartNumberingAfterBreak="0">
    <w:nsid w:val="1B0D06A5"/>
    <w:multiLevelType w:val="singleLevel"/>
    <w:tmpl w:val="95BE05DC"/>
    <w:lvl w:ilvl="0">
      <w:start w:val="2"/>
      <w:numFmt w:val="decimal"/>
      <w:lvlText w:val="%1.-"/>
      <w:lvlJc w:val="left"/>
      <w:pPr>
        <w:tabs>
          <w:tab w:val="num" w:pos="360"/>
        </w:tabs>
        <w:ind w:left="360" w:hanging="360"/>
      </w:pPr>
      <w:rPr>
        <w:b/>
        <w:i w:val="0"/>
      </w:rPr>
    </w:lvl>
  </w:abstractNum>
  <w:abstractNum w:abstractNumId="13" w15:restartNumberingAfterBreak="0">
    <w:nsid w:val="21B54F1F"/>
    <w:multiLevelType w:val="singleLevel"/>
    <w:tmpl w:val="42927118"/>
    <w:lvl w:ilvl="0">
      <w:start w:val="1"/>
      <w:numFmt w:val="decimal"/>
      <w:lvlText w:val="%1."/>
      <w:lvlJc w:val="left"/>
      <w:pPr>
        <w:tabs>
          <w:tab w:val="num" w:pos="360"/>
        </w:tabs>
        <w:ind w:left="360" w:hanging="360"/>
      </w:pPr>
      <w:rPr>
        <w:b/>
        <w:i w:val="0"/>
      </w:rPr>
    </w:lvl>
  </w:abstractNum>
  <w:abstractNum w:abstractNumId="14" w15:restartNumberingAfterBreak="0">
    <w:nsid w:val="236811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632D5C"/>
    <w:multiLevelType w:val="hybridMultilevel"/>
    <w:tmpl w:val="B3FAEF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B1728D"/>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CD6065"/>
    <w:multiLevelType w:val="singleLevel"/>
    <w:tmpl w:val="0C0A0017"/>
    <w:lvl w:ilvl="0">
      <w:start w:val="1"/>
      <w:numFmt w:val="lowerLetter"/>
      <w:lvlText w:val="%1)"/>
      <w:lvlJc w:val="left"/>
      <w:pPr>
        <w:tabs>
          <w:tab w:val="num" w:pos="360"/>
        </w:tabs>
        <w:ind w:left="360" w:hanging="360"/>
      </w:pPr>
    </w:lvl>
  </w:abstractNum>
  <w:abstractNum w:abstractNumId="18" w15:restartNumberingAfterBreak="0">
    <w:nsid w:val="2F2976A9"/>
    <w:multiLevelType w:val="hybridMultilevel"/>
    <w:tmpl w:val="186AEAFE"/>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23C6FF1"/>
    <w:multiLevelType w:val="hybridMultilevel"/>
    <w:tmpl w:val="450C3B1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33E0215"/>
    <w:multiLevelType w:val="multilevel"/>
    <w:tmpl w:val="F998F3C2"/>
    <w:lvl w:ilvl="0">
      <w:start w:val="1"/>
      <w:numFmt w:val="decimal"/>
      <w:lvlText w:val="%1."/>
      <w:lvlJc w:val="left"/>
      <w:pPr>
        <w:tabs>
          <w:tab w:val="num" w:pos="360"/>
        </w:tabs>
        <w:ind w:left="360" w:hanging="360"/>
      </w:pPr>
    </w:lvl>
    <w:lvl w:ilvl="1">
      <w:start w:val="2"/>
      <w:numFmt w:val="decimal"/>
      <w:isLgl/>
      <w:lvlText w:val="%1.%2."/>
      <w:lvlJc w:val="left"/>
      <w:pPr>
        <w:tabs>
          <w:tab w:val="num" w:pos="740"/>
        </w:tabs>
        <w:ind w:left="740" w:hanging="720"/>
      </w:pPr>
      <w:rPr>
        <w:rFonts w:hint="default"/>
      </w:rPr>
    </w:lvl>
    <w:lvl w:ilvl="2">
      <w:start w:val="1"/>
      <w:numFmt w:val="decimal"/>
      <w:isLgl/>
      <w:lvlText w:val="%1.%2.%3."/>
      <w:lvlJc w:val="left"/>
      <w:pPr>
        <w:tabs>
          <w:tab w:val="num" w:pos="760"/>
        </w:tabs>
        <w:ind w:left="76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60"/>
        </w:tabs>
        <w:ind w:left="116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940"/>
        </w:tabs>
        <w:ind w:left="1940" w:hanging="1800"/>
      </w:pPr>
      <w:rPr>
        <w:rFonts w:hint="default"/>
      </w:rPr>
    </w:lvl>
    <w:lvl w:ilvl="8">
      <w:start w:val="1"/>
      <w:numFmt w:val="decimal"/>
      <w:isLgl/>
      <w:lvlText w:val="%1.%2.%3.%4.%5.%6.%7.%8.%9."/>
      <w:lvlJc w:val="left"/>
      <w:pPr>
        <w:tabs>
          <w:tab w:val="num" w:pos="1960"/>
        </w:tabs>
        <w:ind w:left="1960" w:hanging="1800"/>
      </w:pPr>
      <w:rPr>
        <w:rFonts w:hint="default"/>
      </w:rPr>
    </w:lvl>
  </w:abstractNum>
  <w:abstractNum w:abstractNumId="21" w15:restartNumberingAfterBreak="0">
    <w:nsid w:val="372F55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40271E"/>
    <w:multiLevelType w:val="multilevel"/>
    <w:tmpl w:val="D180C19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3" w15:restartNumberingAfterBreak="0">
    <w:nsid w:val="3BC82912"/>
    <w:multiLevelType w:val="hybridMultilevel"/>
    <w:tmpl w:val="FF5891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22509C"/>
    <w:multiLevelType w:val="hybridMultilevel"/>
    <w:tmpl w:val="8AE294E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3EF45C62"/>
    <w:multiLevelType w:val="multilevel"/>
    <w:tmpl w:val="E71CCDA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6" w15:restartNumberingAfterBreak="0">
    <w:nsid w:val="3FFF65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2C7FFD"/>
    <w:multiLevelType w:val="singleLevel"/>
    <w:tmpl w:val="02142362"/>
    <w:lvl w:ilvl="0">
      <w:start w:val="1"/>
      <w:numFmt w:val="lowerLetter"/>
      <w:lvlText w:val="%1)"/>
      <w:lvlJc w:val="left"/>
      <w:pPr>
        <w:tabs>
          <w:tab w:val="num" w:pos="360"/>
        </w:tabs>
        <w:ind w:left="284" w:hanging="284"/>
      </w:pPr>
    </w:lvl>
  </w:abstractNum>
  <w:abstractNum w:abstractNumId="28" w15:restartNumberingAfterBreak="0">
    <w:nsid w:val="4485636B"/>
    <w:multiLevelType w:val="hybridMultilevel"/>
    <w:tmpl w:val="0FDA6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58242A4"/>
    <w:multiLevelType w:val="singleLevel"/>
    <w:tmpl w:val="F8D2358C"/>
    <w:lvl w:ilvl="0">
      <w:start w:val="1"/>
      <w:numFmt w:val="decimal"/>
      <w:lvlText w:val="%1.-"/>
      <w:lvlJc w:val="left"/>
      <w:pPr>
        <w:tabs>
          <w:tab w:val="num" w:pos="360"/>
        </w:tabs>
        <w:ind w:left="360" w:hanging="360"/>
      </w:pPr>
      <w:rPr>
        <w:b/>
        <w:i w:val="0"/>
      </w:rPr>
    </w:lvl>
  </w:abstractNum>
  <w:abstractNum w:abstractNumId="30" w15:restartNumberingAfterBreak="0">
    <w:nsid w:val="46DD5EBA"/>
    <w:multiLevelType w:val="multilevel"/>
    <w:tmpl w:val="AB4ADE2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31" w15:restartNumberingAfterBreak="0">
    <w:nsid w:val="486E60D4"/>
    <w:multiLevelType w:val="singleLevel"/>
    <w:tmpl w:val="D366A400"/>
    <w:lvl w:ilvl="0">
      <w:start w:val="1"/>
      <w:numFmt w:val="decimal"/>
      <w:lvlText w:val="%1.-"/>
      <w:lvlJc w:val="left"/>
      <w:pPr>
        <w:tabs>
          <w:tab w:val="num" w:pos="360"/>
        </w:tabs>
        <w:ind w:left="360" w:hanging="360"/>
      </w:pPr>
      <w:rPr>
        <w:b/>
        <w:i w:val="0"/>
      </w:rPr>
    </w:lvl>
  </w:abstractNum>
  <w:abstractNum w:abstractNumId="32" w15:restartNumberingAfterBreak="0">
    <w:nsid w:val="4902199A"/>
    <w:multiLevelType w:val="multilevel"/>
    <w:tmpl w:val="98A449F2"/>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852"/>
        </w:tabs>
        <w:ind w:left="852" w:hanging="495"/>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3" w15:restartNumberingAfterBreak="0">
    <w:nsid w:val="497F5198"/>
    <w:multiLevelType w:val="hybridMultilevel"/>
    <w:tmpl w:val="0C265E82"/>
    <w:lvl w:ilvl="0" w:tplc="745ED6E4">
      <w:start w:val="1"/>
      <w:numFmt w:val="decimal"/>
      <w:lvlText w:val="%1."/>
      <w:lvlJc w:val="left"/>
      <w:pPr>
        <w:ind w:left="1429" w:hanging="360"/>
      </w:pPr>
      <w:rPr>
        <w:rFonts w:hint="default"/>
      </w:rPr>
    </w:lvl>
    <w:lvl w:ilvl="1" w:tplc="8014FC66" w:tentative="1">
      <w:start w:val="1"/>
      <w:numFmt w:val="lowerLetter"/>
      <w:lvlText w:val="%2."/>
      <w:lvlJc w:val="left"/>
      <w:pPr>
        <w:ind w:left="2149" w:hanging="360"/>
      </w:pPr>
    </w:lvl>
    <w:lvl w:ilvl="2" w:tplc="58E80E56" w:tentative="1">
      <w:start w:val="1"/>
      <w:numFmt w:val="lowerRoman"/>
      <w:lvlText w:val="%3."/>
      <w:lvlJc w:val="right"/>
      <w:pPr>
        <w:ind w:left="2869" w:hanging="180"/>
      </w:pPr>
    </w:lvl>
    <w:lvl w:ilvl="3" w:tplc="69288F6A" w:tentative="1">
      <w:start w:val="1"/>
      <w:numFmt w:val="decimal"/>
      <w:lvlText w:val="%4."/>
      <w:lvlJc w:val="left"/>
      <w:pPr>
        <w:ind w:left="3589" w:hanging="360"/>
      </w:pPr>
    </w:lvl>
    <w:lvl w:ilvl="4" w:tplc="3E72F560" w:tentative="1">
      <w:start w:val="1"/>
      <w:numFmt w:val="lowerLetter"/>
      <w:lvlText w:val="%5."/>
      <w:lvlJc w:val="left"/>
      <w:pPr>
        <w:ind w:left="4309" w:hanging="360"/>
      </w:pPr>
    </w:lvl>
    <w:lvl w:ilvl="5" w:tplc="F0A0EDC4" w:tentative="1">
      <w:start w:val="1"/>
      <w:numFmt w:val="lowerRoman"/>
      <w:lvlText w:val="%6."/>
      <w:lvlJc w:val="right"/>
      <w:pPr>
        <w:ind w:left="5029" w:hanging="180"/>
      </w:pPr>
    </w:lvl>
    <w:lvl w:ilvl="6" w:tplc="247899E8" w:tentative="1">
      <w:start w:val="1"/>
      <w:numFmt w:val="decimal"/>
      <w:lvlText w:val="%7."/>
      <w:lvlJc w:val="left"/>
      <w:pPr>
        <w:ind w:left="5749" w:hanging="360"/>
      </w:pPr>
    </w:lvl>
    <w:lvl w:ilvl="7" w:tplc="057E0B94" w:tentative="1">
      <w:start w:val="1"/>
      <w:numFmt w:val="lowerLetter"/>
      <w:lvlText w:val="%8."/>
      <w:lvlJc w:val="left"/>
      <w:pPr>
        <w:ind w:left="6469" w:hanging="360"/>
      </w:pPr>
    </w:lvl>
    <w:lvl w:ilvl="8" w:tplc="A4D62924" w:tentative="1">
      <w:start w:val="1"/>
      <w:numFmt w:val="lowerRoman"/>
      <w:lvlText w:val="%9."/>
      <w:lvlJc w:val="right"/>
      <w:pPr>
        <w:ind w:left="7189" w:hanging="180"/>
      </w:pPr>
    </w:lvl>
  </w:abstractNum>
  <w:abstractNum w:abstractNumId="34" w15:restartNumberingAfterBreak="0">
    <w:nsid w:val="540E6E62"/>
    <w:multiLevelType w:val="hybridMultilevel"/>
    <w:tmpl w:val="D53AD4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4A92C4C"/>
    <w:multiLevelType w:val="singleLevel"/>
    <w:tmpl w:val="D366A400"/>
    <w:lvl w:ilvl="0">
      <w:start w:val="1"/>
      <w:numFmt w:val="decimal"/>
      <w:lvlText w:val="%1.-"/>
      <w:lvlJc w:val="left"/>
      <w:pPr>
        <w:tabs>
          <w:tab w:val="num" w:pos="360"/>
        </w:tabs>
        <w:ind w:left="360" w:hanging="360"/>
      </w:pPr>
      <w:rPr>
        <w:b/>
        <w:i w:val="0"/>
      </w:rPr>
    </w:lvl>
  </w:abstractNum>
  <w:abstractNum w:abstractNumId="36" w15:restartNumberingAfterBreak="0">
    <w:nsid w:val="575343A0"/>
    <w:multiLevelType w:val="multilevel"/>
    <w:tmpl w:val="21BC7D56"/>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7" w15:restartNumberingAfterBreak="0">
    <w:nsid w:val="58DE0EE8"/>
    <w:multiLevelType w:val="hybridMultilevel"/>
    <w:tmpl w:val="0890F3A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5A6D5382"/>
    <w:multiLevelType w:val="singleLevel"/>
    <w:tmpl w:val="02142362"/>
    <w:lvl w:ilvl="0">
      <w:start w:val="1"/>
      <w:numFmt w:val="lowerLetter"/>
      <w:lvlText w:val="%1)"/>
      <w:lvlJc w:val="left"/>
      <w:pPr>
        <w:tabs>
          <w:tab w:val="num" w:pos="360"/>
        </w:tabs>
        <w:ind w:left="284" w:hanging="284"/>
      </w:pPr>
    </w:lvl>
  </w:abstractNum>
  <w:abstractNum w:abstractNumId="39" w15:restartNumberingAfterBreak="0">
    <w:nsid w:val="5BD957A9"/>
    <w:multiLevelType w:val="singleLevel"/>
    <w:tmpl w:val="61B869A0"/>
    <w:lvl w:ilvl="0">
      <w:start w:val="7"/>
      <w:numFmt w:val="bullet"/>
      <w:lvlText w:val="-"/>
      <w:lvlJc w:val="left"/>
      <w:pPr>
        <w:tabs>
          <w:tab w:val="num" w:pos="1352"/>
        </w:tabs>
        <w:ind w:left="1352" w:hanging="360"/>
      </w:pPr>
      <w:rPr>
        <w:rFonts w:ascii="Times New Roman" w:hAnsi="Times New Roman" w:hint="default"/>
      </w:rPr>
    </w:lvl>
  </w:abstractNum>
  <w:abstractNum w:abstractNumId="40" w15:restartNumberingAfterBreak="0">
    <w:nsid w:val="5E9665D5"/>
    <w:multiLevelType w:val="hybridMultilevel"/>
    <w:tmpl w:val="BD085D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15:restartNumberingAfterBreak="0">
    <w:nsid w:val="674E5D0D"/>
    <w:multiLevelType w:val="multilevel"/>
    <w:tmpl w:val="EB5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2624DF"/>
    <w:multiLevelType w:val="singleLevel"/>
    <w:tmpl w:val="75A4B4C2"/>
    <w:lvl w:ilvl="0">
      <w:numFmt w:val="bullet"/>
      <w:lvlText w:val="-"/>
      <w:lvlJc w:val="left"/>
      <w:pPr>
        <w:tabs>
          <w:tab w:val="num" w:pos="987"/>
        </w:tabs>
        <w:ind w:left="987" w:hanging="360"/>
      </w:pPr>
      <w:rPr>
        <w:rFonts w:ascii="Times New Roman" w:hAnsi="Times New Roman" w:hint="default"/>
      </w:rPr>
    </w:lvl>
  </w:abstractNum>
  <w:abstractNum w:abstractNumId="43" w15:restartNumberingAfterBreak="0">
    <w:nsid w:val="76A03765"/>
    <w:multiLevelType w:val="singleLevel"/>
    <w:tmpl w:val="4CF82E42"/>
    <w:lvl w:ilvl="0">
      <w:start w:val="1"/>
      <w:numFmt w:val="ordinal"/>
      <w:lvlText w:val="%1."/>
      <w:lvlJc w:val="left"/>
      <w:pPr>
        <w:tabs>
          <w:tab w:val="num" w:pos="1080"/>
        </w:tabs>
        <w:ind w:left="360" w:hanging="360"/>
      </w:pPr>
    </w:lvl>
  </w:abstractNum>
  <w:abstractNum w:abstractNumId="44" w15:restartNumberingAfterBreak="0">
    <w:nsid w:val="7775194C"/>
    <w:multiLevelType w:val="multilevel"/>
    <w:tmpl w:val="3F56308E"/>
    <w:lvl w:ilvl="0">
      <w:start w:val="2"/>
      <w:numFmt w:val="decimal"/>
      <w:lvlText w:val="%1"/>
      <w:lvlJc w:val="left"/>
      <w:pPr>
        <w:tabs>
          <w:tab w:val="num" w:pos="495"/>
        </w:tabs>
        <w:ind w:left="495" w:hanging="495"/>
      </w:pPr>
      <w:rPr>
        <w:rFonts w:hint="default"/>
      </w:rPr>
    </w:lvl>
    <w:lvl w:ilvl="1">
      <w:start w:val="6"/>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45" w15:restartNumberingAfterBreak="0">
    <w:nsid w:val="7B0E1724"/>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9776652">
    <w:abstractNumId w:val="12"/>
  </w:num>
  <w:num w:numId="2" w16cid:durableId="1722367335">
    <w:abstractNumId w:val="13"/>
  </w:num>
  <w:num w:numId="3" w16cid:durableId="842940627">
    <w:abstractNumId w:val="20"/>
  </w:num>
  <w:num w:numId="4" w16cid:durableId="936719152">
    <w:abstractNumId w:val="45"/>
  </w:num>
  <w:num w:numId="5" w16cid:durableId="921447658">
    <w:abstractNumId w:val="16"/>
  </w:num>
  <w:num w:numId="6" w16cid:durableId="1616062552">
    <w:abstractNumId w:val="11"/>
  </w:num>
  <w:num w:numId="7" w16cid:durableId="1888758476">
    <w:abstractNumId w:val="22"/>
  </w:num>
  <w:num w:numId="8" w16cid:durableId="1091313458">
    <w:abstractNumId w:val="36"/>
  </w:num>
  <w:num w:numId="9" w16cid:durableId="1533762152">
    <w:abstractNumId w:val="44"/>
  </w:num>
  <w:num w:numId="10" w16cid:durableId="891964055">
    <w:abstractNumId w:val="30"/>
  </w:num>
  <w:num w:numId="11" w16cid:durableId="289826228">
    <w:abstractNumId w:val="10"/>
  </w:num>
  <w:num w:numId="12" w16cid:durableId="2031762223">
    <w:abstractNumId w:val="25"/>
  </w:num>
  <w:num w:numId="13" w16cid:durableId="928545648">
    <w:abstractNumId w:val="29"/>
  </w:num>
  <w:num w:numId="14" w16cid:durableId="407071879">
    <w:abstractNumId w:val="32"/>
  </w:num>
  <w:num w:numId="15" w16cid:durableId="1028723154">
    <w:abstractNumId w:val="7"/>
  </w:num>
  <w:num w:numId="16" w16cid:durableId="164977087">
    <w:abstractNumId w:val="43"/>
  </w:num>
  <w:num w:numId="17" w16cid:durableId="136804767">
    <w:abstractNumId w:val="39"/>
  </w:num>
  <w:num w:numId="18" w16cid:durableId="2014258567">
    <w:abstractNumId w:val="14"/>
  </w:num>
  <w:num w:numId="19" w16cid:durableId="1915359336">
    <w:abstractNumId w:val="17"/>
  </w:num>
  <w:num w:numId="20" w16cid:durableId="1341853682">
    <w:abstractNumId w:val="21"/>
  </w:num>
  <w:num w:numId="21" w16cid:durableId="879391408">
    <w:abstractNumId w:val="26"/>
  </w:num>
  <w:num w:numId="22" w16cid:durableId="1848136542">
    <w:abstractNumId w:val="42"/>
  </w:num>
  <w:num w:numId="23" w16cid:durableId="1012955569">
    <w:abstractNumId w:val="5"/>
  </w:num>
  <w:num w:numId="24" w16cid:durableId="1328943520">
    <w:abstractNumId w:val="31"/>
  </w:num>
  <w:num w:numId="25" w16cid:durableId="470055814">
    <w:abstractNumId w:val="35"/>
  </w:num>
  <w:num w:numId="26" w16cid:durableId="1832912981">
    <w:abstractNumId w:val="27"/>
  </w:num>
  <w:num w:numId="27" w16cid:durableId="182283815">
    <w:abstractNumId w:val="38"/>
  </w:num>
  <w:num w:numId="28" w16cid:durableId="228615179">
    <w:abstractNumId w:val="3"/>
  </w:num>
  <w:num w:numId="29" w16cid:durableId="918291314">
    <w:abstractNumId w:val="1"/>
  </w:num>
  <w:num w:numId="30" w16cid:durableId="1811511008">
    <w:abstractNumId w:val="19"/>
  </w:num>
  <w:num w:numId="31" w16cid:durableId="441464837">
    <w:abstractNumId w:val="8"/>
  </w:num>
  <w:num w:numId="32" w16cid:durableId="1966039573">
    <w:abstractNumId w:val="0"/>
  </w:num>
  <w:num w:numId="33" w16cid:durableId="1460565749">
    <w:abstractNumId w:val="15"/>
  </w:num>
  <w:num w:numId="34" w16cid:durableId="1337921410">
    <w:abstractNumId w:val="18"/>
  </w:num>
  <w:num w:numId="35" w16cid:durableId="869150576">
    <w:abstractNumId w:val="6"/>
  </w:num>
  <w:num w:numId="36" w16cid:durableId="77606040">
    <w:abstractNumId w:val="34"/>
  </w:num>
  <w:num w:numId="37" w16cid:durableId="1775242464">
    <w:abstractNumId w:val="24"/>
  </w:num>
  <w:num w:numId="38" w16cid:durableId="1247492656">
    <w:abstractNumId w:val="28"/>
  </w:num>
  <w:num w:numId="39" w16cid:durableId="1882010242">
    <w:abstractNumId w:val="23"/>
  </w:num>
  <w:num w:numId="40" w16cid:durableId="1752695751">
    <w:abstractNumId w:val="37"/>
  </w:num>
  <w:num w:numId="41" w16cid:durableId="260381852">
    <w:abstractNumId w:val="4"/>
  </w:num>
  <w:num w:numId="42" w16cid:durableId="1491023040">
    <w:abstractNumId w:val="40"/>
  </w:num>
  <w:num w:numId="43" w16cid:durableId="1669556737">
    <w:abstractNumId w:val="41"/>
  </w:num>
  <w:num w:numId="44" w16cid:durableId="327758249">
    <w:abstractNumId w:val="37"/>
  </w:num>
  <w:num w:numId="45" w16cid:durableId="736904690">
    <w:abstractNumId w:val="9"/>
  </w:num>
  <w:num w:numId="46" w16cid:durableId="345906999">
    <w:abstractNumId w:val="2"/>
  </w:num>
  <w:num w:numId="47" w16cid:durableId="11332502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06AEF"/>
    <w:rsid w:val="000253AC"/>
    <w:rsid w:val="00025EF5"/>
    <w:rsid w:val="00055D17"/>
    <w:rsid w:val="00091646"/>
    <w:rsid w:val="00092084"/>
    <w:rsid w:val="00094214"/>
    <w:rsid w:val="000956AD"/>
    <w:rsid w:val="000C7EA1"/>
    <w:rsid w:val="000E09C1"/>
    <w:rsid w:val="000E61FD"/>
    <w:rsid w:val="000F381A"/>
    <w:rsid w:val="000F397C"/>
    <w:rsid w:val="000F3B4D"/>
    <w:rsid w:val="000F76EF"/>
    <w:rsid w:val="00104E57"/>
    <w:rsid w:val="00114347"/>
    <w:rsid w:val="00126408"/>
    <w:rsid w:val="00137431"/>
    <w:rsid w:val="00154ABB"/>
    <w:rsid w:val="00155E65"/>
    <w:rsid w:val="001614E9"/>
    <w:rsid w:val="001640F2"/>
    <w:rsid w:val="00182E18"/>
    <w:rsid w:val="001852AB"/>
    <w:rsid w:val="00191468"/>
    <w:rsid w:val="001A0C37"/>
    <w:rsid w:val="001A43ED"/>
    <w:rsid w:val="001A7C67"/>
    <w:rsid w:val="001B2F39"/>
    <w:rsid w:val="001C0AC3"/>
    <w:rsid w:val="001C3B86"/>
    <w:rsid w:val="001C3EE2"/>
    <w:rsid w:val="001C7B19"/>
    <w:rsid w:val="001E4DD8"/>
    <w:rsid w:val="001F7B1A"/>
    <w:rsid w:val="0021727F"/>
    <w:rsid w:val="00223D73"/>
    <w:rsid w:val="00225796"/>
    <w:rsid w:val="00260193"/>
    <w:rsid w:val="00285435"/>
    <w:rsid w:val="00291AAE"/>
    <w:rsid w:val="002B4B8E"/>
    <w:rsid w:val="002B5429"/>
    <w:rsid w:val="002B7950"/>
    <w:rsid w:val="002D0911"/>
    <w:rsid w:val="002D1139"/>
    <w:rsid w:val="002D39E7"/>
    <w:rsid w:val="002E6E6E"/>
    <w:rsid w:val="002F31BA"/>
    <w:rsid w:val="00301F3C"/>
    <w:rsid w:val="00311D00"/>
    <w:rsid w:val="00314173"/>
    <w:rsid w:val="00326F72"/>
    <w:rsid w:val="00350448"/>
    <w:rsid w:val="00366B60"/>
    <w:rsid w:val="00370B52"/>
    <w:rsid w:val="003724A4"/>
    <w:rsid w:val="00373750"/>
    <w:rsid w:val="0038783A"/>
    <w:rsid w:val="0039407B"/>
    <w:rsid w:val="003B27EB"/>
    <w:rsid w:val="003D1CBE"/>
    <w:rsid w:val="003D1DC6"/>
    <w:rsid w:val="003E37BB"/>
    <w:rsid w:val="00402B46"/>
    <w:rsid w:val="00416EB3"/>
    <w:rsid w:val="004353E7"/>
    <w:rsid w:val="0043623A"/>
    <w:rsid w:val="004568B7"/>
    <w:rsid w:val="00470535"/>
    <w:rsid w:val="0047585F"/>
    <w:rsid w:val="0047592A"/>
    <w:rsid w:val="00487A13"/>
    <w:rsid w:val="004C0005"/>
    <w:rsid w:val="004C5545"/>
    <w:rsid w:val="004D5793"/>
    <w:rsid w:val="004F1ED8"/>
    <w:rsid w:val="004F29B4"/>
    <w:rsid w:val="00503935"/>
    <w:rsid w:val="00504C69"/>
    <w:rsid w:val="00515D72"/>
    <w:rsid w:val="0053339C"/>
    <w:rsid w:val="005441B3"/>
    <w:rsid w:val="00547717"/>
    <w:rsid w:val="00556FD4"/>
    <w:rsid w:val="00563771"/>
    <w:rsid w:val="00566490"/>
    <w:rsid w:val="005805D1"/>
    <w:rsid w:val="00587E8D"/>
    <w:rsid w:val="00593DBC"/>
    <w:rsid w:val="005973AB"/>
    <w:rsid w:val="005B28DE"/>
    <w:rsid w:val="005E21EE"/>
    <w:rsid w:val="005F4669"/>
    <w:rsid w:val="0062535A"/>
    <w:rsid w:val="00626128"/>
    <w:rsid w:val="00641480"/>
    <w:rsid w:val="006426B7"/>
    <w:rsid w:val="006521EC"/>
    <w:rsid w:val="006535C2"/>
    <w:rsid w:val="00667A3A"/>
    <w:rsid w:val="00676EAD"/>
    <w:rsid w:val="006824B7"/>
    <w:rsid w:val="00691ADA"/>
    <w:rsid w:val="00696007"/>
    <w:rsid w:val="006A30FD"/>
    <w:rsid w:val="006B265C"/>
    <w:rsid w:val="006E3456"/>
    <w:rsid w:val="006E4143"/>
    <w:rsid w:val="006E765D"/>
    <w:rsid w:val="007037F8"/>
    <w:rsid w:val="00705BB6"/>
    <w:rsid w:val="00716153"/>
    <w:rsid w:val="00740346"/>
    <w:rsid w:val="00741F07"/>
    <w:rsid w:val="0074338A"/>
    <w:rsid w:val="00746F2A"/>
    <w:rsid w:val="00756329"/>
    <w:rsid w:val="00760847"/>
    <w:rsid w:val="00760F98"/>
    <w:rsid w:val="007672DC"/>
    <w:rsid w:val="0077410D"/>
    <w:rsid w:val="00776D81"/>
    <w:rsid w:val="007913F9"/>
    <w:rsid w:val="007A13A5"/>
    <w:rsid w:val="007A35BB"/>
    <w:rsid w:val="007B41B6"/>
    <w:rsid w:val="00800527"/>
    <w:rsid w:val="00801201"/>
    <w:rsid w:val="00803066"/>
    <w:rsid w:val="00806859"/>
    <w:rsid w:val="00821BAD"/>
    <w:rsid w:val="008369B9"/>
    <w:rsid w:val="00853643"/>
    <w:rsid w:val="008724C1"/>
    <w:rsid w:val="00876045"/>
    <w:rsid w:val="00886679"/>
    <w:rsid w:val="00893189"/>
    <w:rsid w:val="008A21BF"/>
    <w:rsid w:val="008A544B"/>
    <w:rsid w:val="008A5CB6"/>
    <w:rsid w:val="008B017E"/>
    <w:rsid w:val="008B3715"/>
    <w:rsid w:val="008C256E"/>
    <w:rsid w:val="008D1CB4"/>
    <w:rsid w:val="008F3372"/>
    <w:rsid w:val="008F5658"/>
    <w:rsid w:val="00903823"/>
    <w:rsid w:val="00904C0E"/>
    <w:rsid w:val="00905BF2"/>
    <w:rsid w:val="00917B01"/>
    <w:rsid w:val="00926FF0"/>
    <w:rsid w:val="00930506"/>
    <w:rsid w:val="0093108B"/>
    <w:rsid w:val="009430E7"/>
    <w:rsid w:val="00950371"/>
    <w:rsid w:val="00950E0F"/>
    <w:rsid w:val="00966EA2"/>
    <w:rsid w:val="00970E0D"/>
    <w:rsid w:val="009732EF"/>
    <w:rsid w:val="00983A68"/>
    <w:rsid w:val="009A78C7"/>
    <w:rsid w:val="009C7C14"/>
    <w:rsid w:val="009D4CE1"/>
    <w:rsid w:val="009D7D43"/>
    <w:rsid w:val="009E0A63"/>
    <w:rsid w:val="009E7D7F"/>
    <w:rsid w:val="009F1FC4"/>
    <w:rsid w:val="00A00173"/>
    <w:rsid w:val="00A01806"/>
    <w:rsid w:val="00A0552F"/>
    <w:rsid w:val="00A07392"/>
    <w:rsid w:val="00A1637B"/>
    <w:rsid w:val="00A211C7"/>
    <w:rsid w:val="00A2399C"/>
    <w:rsid w:val="00A23CF0"/>
    <w:rsid w:val="00A30311"/>
    <w:rsid w:val="00A465FD"/>
    <w:rsid w:val="00A53A91"/>
    <w:rsid w:val="00A6067F"/>
    <w:rsid w:val="00A61B73"/>
    <w:rsid w:val="00A8038A"/>
    <w:rsid w:val="00A84247"/>
    <w:rsid w:val="00AA1A44"/>
    <w:rsid w:val="00AA1A63"/>
    <w:rsid w:val="00AA776B"/>
    <w:rsid w:val="00AC3A52"/>
    <w:rsid w:val="00B200DF"/>
    <w:rsid w:val="00B37348"/>
    <w:rsid w:val="00B45527"/>
    <w:rsid w:val="00B45B3D"/>
    <w:rsid w:val="00B511B1"/>
    <w:rsid w:val="00B55176"/>
    <w:rsid w:val="00B7226F"/>
    <w:rsid w:val="00B84867"/>
    <w:rsid w:val="00B93D45"/>
    <w:rsid w:val="00BA71A8"/>
    <w:rsid w:val="00BB5FEA"/>
    <w:rsid w:val="00BC4F2C"/>
    <w:rsid w:val="00BF32FD"/>
    <w:rsid w:val="00BF684B"/>
    <w:rsid w:val="00C07734"/>
    <w:rsid w:val="00C07E7F"/>
    <w:rsid w:val="00C142E6"/>
    <w:rsid w:val="00C32290"/>
    <w:rsid w:val="00C35D84"/>
    <w:rsid w:val="00C46602"/>
    <w:rsid w:val="00C60188"/>
    <w:rsid w:val="00C70708"/>
    <w:rsid w:val="00C76D51"/>
    <w:rsid w:val="00C82F02"/>
    <w:rsid w:val="00C86654"/>
    <w:rsid w:val="00C938F0"/>
    <w:rsid w:val="00CE6F22"/>
    <w:rsid w:val="00D050C5"/>
    <w:rsid w:val="00D32FF0"/>
    <w:rsid w:val="00D52D85"/>
    <w:rsid w:val="00D65B4E"/>
    <w:rsid w:val="00D76028"/>
    <w:rsid w:val="00D900F9"/>
    <w:rsid w:val="00DD037D"/>
    <w:rsid w:val="00DE1E56"/>
    <w:rsid w:val="00DE7044"/>
    <w:rsid w:val="00E040FE"/>
    <w:rsid w:val="00E22EFC"/>
    <w:rsid w:val="00E24E38"/>
    <w:rsid w:val="00E30F67"/>
    <w:rsid w:val="00E36E0D"/>
    <w:rsid w:val="00E57131"/>
    <w:rsid w:val="00E61EF4"/>
    <w:rsid w:val="00E65C29"/>
    <w:rsid w:val="00E8028A"/>
    <w:rsid w:val="00E82F56"/>
    <w:rsid w:val="00E84222"/>
    <w:rsid w:val="00EB4F0C"/>
    <w:rsid w:val="00EC0AFE"/>
    <w:rsid w:val="00EC6977"/>
    <w:rsid w:val="00ED37BC"/>
    <w:rsid w:val="00EE5D0C"/>
    <w:rsid w:val="00EF5370"/>
    <w:rsid w:val="00F0449C"/>
    <w:rsid w:val="00F13674"/>
    <w:rsid w:val="00F1593E"/>
    <w:rsid w:val="00F171C1"/>
    <w:rsid w:val="00F2639D"/>
    <w:rsid w:val="00F54818"/>
    <w:rsid w:val="00F672EA"/>
    <w:rsid w:val="00F70120"/>
    <w:rsid w:val="00F739CF"/>
    <w:rsid w:val="00F8380C"/>
    <w:rsid w:val="00F84C7D"/>
    <w:rsid w:val="00F86699"/>
    <w:rsid w:val="00FC5AB6"/>
    <w:rsid w:val="00FD187F"/>
    <w:rsid w:val="00FF1560"/>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CF6DA"/>
  <w15:docId w15:val="{F0DDE936-8A4D-4605-979C-61EEE54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Refdecomentario">
    <w:name w:val="annotation reference"/>
    <w:basedOn w:val="Fuentedeprrafopredeter"/>
    <w:uiPriority w:val="99"/>
    <w:semiHidden/>
    <w:unhideWhenUsed/>
    <w:rsid w:val="00E22EFC"/>
    <w:rPr>
      <w:sz w:val="16"/>
      <w:szCs w:val="16"/>
    </w:rPr>
  </w:style>
  <w:style w:type="paragraph" w:styleId="Textocomentario">
    <w:name w:val="annotation text"/>
    <w:basedOn w:val="Normal"/>
    <w:link w:val="TextocomentarioCar"/>
    <w:uiPriority w:val="99"/>
    <w:semiHidden/>
    <w:unhideWhenUsed/>
    <w:rsid w:val="00E22EFC"/>
  </w:style>
  <w:style w:type="character" w:customStyle="1" w:styleId="TextocomentarioCar">
    <w:name w:val="Texto comentario Car"/>
    <w:basedOn w:val="Fuentedeprrafopredeter"/>
    <w:link w:val="Textocomentario"/>
    <w:uiPriority w:val="99"/>
    <w:semiHidden/>
    <w:rsid w:val="00E22EFC"/>
  </w:style>
  <w:style w:type="paragraph" w:styleId="Asuntodelcomentario">
    <w:name w:val="annotation subject"/>
    <w:basedOn w:val="Textocomentario"/>
    <w:next w:val="Textocomentario"/>
    <w:link w:val="AsuntodelcomentarioCar"/>
    <w:uiPriority w:val="99"/>
    <w:semiHidden/>
    <w:unhideWhenUsed/>
    <w:rsid w:val="00E22EFC"/>
    <w:rPr>
      <w:b/>
      <w:bCs/>
    </w:rPr>
  </w:style>
  <w:style w:type="character" w:customStyle="1" w:styleId="AsuntodelcomentarioCar">
    <w:name w:val="Asunto del comentario Car"/>
    <w:basedOn w:val="TextocomentarioCar"/>
    <w:link w:val="Asuntodelcomentario"/>
    <w:uiPriority w:val="99"/>
    <w:semiHidden/>
    <w:rsid w:val="00E22EFC"/>
    <w:rPr>
      <w:b/>
      <w:bCs/>
    </w:rPr>
  </w:style>
  <w:style w:type="paragraph" w:customStyle="1" w:styleId="Default">
    <w:name w:val="Default"/>
    <w:rsid w:val="00126408"/>
    <w:pPr>
      <w:autoSpaceDE w:val="0"/>
      <w:autoSpaceDN w:val="0"/>
      <w:adjustRightInd w:val="0"/>
    </w:pPr>
    <w:rPr>
      <w:color w:val="000000"/>
      <w:sz w:val="24"/>
      <w:szCs w:val="24"/>
    </w:rPr>
  </w:style>
  <w:style w:type="character" w:customStyle="1" w:styleId="PiedepginaCar">
    <w:name w:val="Pie de página Car"/>
    <w:basedOn w:val="Fuentedeprrafopredeter"/>
    <w:link w:val="Piedepgina"/>
    <w:uiPriority w:val="99"/>
    <w:rsid w:val="00801201"/>
    <w:rPr>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9226">
      <w:bodyDiv w:val="1"/>
      <w:marLeft w:val="0"/>
      <w:marRight w:val="0"/>
      <w:marTop w:val="0"/>
      <w:marBottom w:val="0"/>
      <w:divBdr>
        <w:top w:val="none" w:sz="0" w:space="0" w:color="auto"/>
        <w:left w:val="none" w:sz="0" w:space="0" w:color="auto"/>
        <w:bottom w:val="none" w:sz="0" w:space="0" w:color="auto"/>
        <w:right w:val="none" w:sz="0" w:space="0" w:color="auto"/>
      </w:divBdr>
    </w:div>
    <w:div w:id="290406858">
      <w:bodyDiv w:val="1"/>
      <w:marLeft w:val="0"/>
      <w:marRight w:val="0"/>
      <w:marTop w:val="0"/>
      <w:marBottom w:val="0"/>
      <w:divBdr>
        <w:top w:val="none" w:sz="0" w:space="0" w:color="auto"/>
        <w:left w:val="none" w:sz="0" w:space="0" w:color="auto"/>
        <w:bottom w:val="none" w:sz="0" w:space="0" w:color="auto"/>
        <w:right w:val="none" w:sz="0" w:space="0" w:color="auto"/>
      </w:divBdr>
      <w:divsChild>
        <w:div w:id="247084520">
          <w:marLeft w:val="0"/>
          <w:marRight w:val="0"/>
          <w:marTop w:val="0"/>
          <w:marBottom w:val="0"/>
          <w:divBdr>
            <w:top w:val="none" w:sz="0" w:space="0" w:color="auto"/>
            <w:left w:val="none" w:sz="0" w:space="0" w:color="auto"/>
            <w:bottom w:val="none" w:sz="0" w:space="0" w:color="auto"/>
            <w:right w:val="none" w:sz="0" w:space="0" w:color="auto"/>
          </w:divBdr>
          <w:divsChild>
            <w:div w:id="1246646695">
              <w:marLeft w:val="0"/>
              <w:marRight w:val="0"/>
              <w:marTop w:val="0"/>
              <w:marBottom w:val="0"/>
              <w:divBdr>
                <w:top w:val="none" w:sz="0" w:space="0" w:color="auto"/>
                <w:left w:val="none" w:sz="0" w:space="0" w:color="auto"/>
                <w:bottom w:val="none" w:sz="0" w:space="0" w:color="auto"/>
                <w:right w:val="none" w:sz="0" w:space="0" w:color="auto"/>
              </w:divBdr>
              <w:divsChild>
                <w:div w:id="972372154">
                  <w:marLeft w:val="0"/>
                  <w:marRight w:val="0"/>
                  <w:marTop w:val="0"/>
                  <w:marBottom w:val="0"/>
                  <w:divBdr>
                    <w:top w:val="none" w:sz="0" w:space="0" w:color="auto"/>
                    <w:left w:val="none" w:sz="0" w:space="0" w:color="auto"/>
                    <w:bottom w:val="none" w:sz="0" w:space="0" w:color="auto"/>
                    <w:right w:val="none" w:sz="0" w:space="0" w:color="auto"/>
                  </w:divBdr>
                  <w:divsChild>
                    <w:div w:id="896401896">
                      <w:marLeft w:val="0"/>
                      <w:marRight w:val="0"/>
                      <w:marTop w:val="0"/>
                      <w:marBottom w:val="0"/>
                      <w:divBdr>
                        <w:top w:val="none" w:sz="0" w:space="0" w:color="auto"/>
                        <w:left w:val="none" w:sz="0" w:space="0" w:color="auto"/>
                        <w:bottom w:val="none" w:sz="0" w:space="0" w:color="auto"/>
                        <w:right w:val="none" w:sz="0" w:space="0" w:color="auto"/>
                      </w:divBdr>
                      <w:divsChild>
                        <w:div w:id="19570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312284">
      <w:bodyDiv w:val="1"/>
      <w:marLeft w:val="0"/>
      <w:marRight w:val="0"/>
      <w:marTop w:val="0"/>
      <w:marBottom w:val="0"/>
      <w:divBdr>
        <w:top w:val="none" w:sz="0" w:space="0" w:color="auto"/>
        <w:left w:val="none" w:sz="0" w:space="0" w:color="auto"/>
        <w:bottom w:val="none" w:sz="0" w:space="0" w:color="auto"/>
        <w:right w:val="none" w:sz="0" w:space="0" w:color="auto"/>
      </w:divBdr>
    </w:div>
    <w:div w:id="607470767">
      <w:bodyDiv w:val="1"/>
      <w:marLeft w:val="0"/>
      <w:marRight w:val="0"/>
      <w:marTop w:val="0"/>
      <w:marBottom w:val="0"/>
      <w:divBdr>
        <w:top w:val="none" w:sz="0" w:space="0" w:color="auto"/>
        <w:left w:val="none" w:sz="0" w:space="0" w:color="auto"/>
        <w:bottom w:val="none" w:sz="0" w:space="0" w:color="auto"/>
        <w:right w:val="none" w:sz="0" w:space="0" w:color="auto"/>
      </w:divBdr>
    </w:div>
    <w:div w:id="902449385">
      <w:bodyDiv w:val="1"/>
      <w:marLeft w:val="0"/>
      <w:marRight w:val="0"/>
      <w:marTop w:val="0"/>
      <w:marBottom w:val="0"/>
      <w:divBdr>
        <w:top w:val="none" w:sz="0" w:space="0" w:color="auto"/>
        <w:left w:val="none" w:sz="0" w:space="0" w:color="auto"/>
        <w:bottom w:val="none" w:sz="0" w:space="0" w:color="auto"/>
        <w:right w:val="none" w:sz="0" w:space="0" w:color="auto"/>
      </w:divBdr>
    </w:div>
    <w:div w:id="1034815751">
      <w:bodyDiv w:val="1"/>
      <w:marLeft w:val="0"/>
      <w:marRight w:val="0"/>
      <w:marTop w:val="0"/>
      <w:marBottom w:val="0"/>
      <w:divBdr>
        <w:top w:val="none" w:sz="0" w:space="0" w:color="auto"/>
        <w:left w:val="none" w:sz="0" w:space="0" w:color="auto"/>
        <w:bottom w:val="none" w:sz="0" w:space="0" w:color="auto"/>
        <w:right w:val="none" w:sz="0" w:space="0" w:color="auto"/>
      </w:divBdr>
      <w:divsChild>
        <w:div w:id="656105744">
          <w:marLeft w:val="0"/>
          <w:marRight w:val="0"/>
          <w:marTop w:val="720"/>
          <w:marBottom w:val="720"/>
          <w:divBdr>
            <w:top w:val="none" w:sz="0" w:space="0" w:color="auto"/>
            <w:left w:val="none" w:sz="0" w:space="0" w:color="auto"/>
            <w:bottom w:val="none" w:sz="0" w:space="0" w:color="auto"/>
            <w:right w:val="none" w:sz="0" w:space="0" w:color="auto"/>
          </w:divBdr>
          <w:divsChild>
            <w:div w:id="905993800">
              <w:marLeft w:val="0"/>
              <w:marRight w:val="0"/>
              <w:marTop w:val="0"/>
              <w:marBottom w:val="0"/>
              <w:divBdr>
                <w:top w:val="none" w:sz="0" w:space="0" w:color="auto"/>
                <w:left w:val="none" w:sz="0" w:space="0" w:color="auto"/>
                <w:bottom w:val="none" w:sz="0" w:space="0" w:color="auto"/>
                <w:right w:val="none" w:sz="0" w:space="0" w:color="auto"/>
              </w:divBdr>
              <w:divsChild>
                <w:div w:id="401026399">
                  <w:marLeft w:val="0"/>
                  <w:marRight w:val="0"/>
                  <w:marTop w:val="0"/>
                  <w:marBottom w:val="0"/>
                  <w:divBdr>
                    <w:top w:val="none" w:sz="0" w:space="0" w:color="auto"/>
                    <w:left w:val="none" w:sz="0" w:space="0" w:color="auto"/>
                    <w:bottom w:val="none" w:sz="0" w:space="0" w:color="auto"/>
                    <w:right w:val="none" w:sz="0" w:space="0" w:color="auto"/>
                  </w:divBdr>
                  <w:divsChild>
                    <w:div w:id="194385959">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150902753">
      <w:bodyDiv w:val="1"/>
      <w:marLeft w:val="0"/>
      <w:marRight w:val="0"/>
      <w:marTop w:val="0"/>
      <w:marBottom w:val="0"/>
      <w:divBdr>
        <w:top w:val="none" w:sz="0" w:space="0" w:color="auto"/>
        <w:left w:val="none" w:sz="0" w:space="0" w:color="auto"/>
        <w:bottom w:val="none" w:sz="0" w:space="0" w:color="auto"/>
        <w:right w:val="none" w:sz="0" w:space="0" w:color="auto"/>
      </w:divBdr>
      <w:divsChild>
        <w:div w:id="1151671980">
          <w:marLeft w:val="0"/>
          <w:marRight w:val="0"/>
          <w:marTop w:val="720"/>
          <w:marBottom w:val="720"/>
          <w:divBdr>
            <w:top w:val="none" w:sz="0" w:space="0" w:color="auto"/>
            <w:left w:val="none" w:sz="0" w:space="0" w:color="auto"/>
            <w:bottom w:val="none" w:sz="0" w:space="0" w:color="auto"/>
            <w:right w:val="none" w:sz="0" w:space="0" w:color="auto"/>
          </w:divBdr>
          <w:divsChild>
            <w:div w:id="1460681097">
              <w:marLeft w:val="0"/>
              <w:marRight w:val="0"/>
              <w:marTop w:val="0"/>
              <w:marBottom w:val="0"/>
              <w:divBdr>
                <w:top w:val="none" w:sz="0" w:space="0" w:color="auto"/>
                <w:left w:val="none" w:sz="0" w:space="0" w:color="auto"/>
                <w:bottom w:val="none" w:sz="0" w:space="0" w:color="auto"/>
                <w:right w:val="none" w:sz="0" w:space="0" w:color="auto"/>
              </w:divBdr>
              <w:divsChild>
                <w:div w:id="783772775">
                  <w:marLeft w:val="0"/>
                  <w:marRight w:val="0"/>
                  <w:marTop w:val="0"/>
                  <w:marBottom w:val="0"/>
                  <w:divBdr>
                    <w:top w:val="none" w:sz="0" w:space="0" w:color="auto"/>
                    <w:left w:val="none" w:sz="0" w:space="0" w:color="auto"/>
                    <w:bottom w:val="none" w:sz="0" w:space="0" w:color="auto"/>
                    <w:right w:val="none" w:sz="0" w:space="0" w:color="auto"/>
                  </w:divBdr>
                  <w:divsChild>
                    <w:div w:id="47073433">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490830743">
      <w:bodyDiv w:val="1"/>
      <w:marLeft w:val="0"/>
      <w:marRight w:val="0"/>
      <w:marTop w:val="0"/>
      <w:marBottom w:val="0"/>
      <w:divBdr>
        <w:top w:val="none" w:sz="0" w:space="0" w:color="auto"/>
        <w:left w:val="none" w:sz="0" w:space="0" w:color="auto"/>
        <w:bottom w:val="none" w:sz="0" w:space="0" w:color="auto"/>
        <w:right w:val="none" w:sz="0" w:space="0" w:color="auto"/>
      </w:divBdr>
    </w:div>
    <w:div w:id="1574196816">
      <w:bodyDiv w:val="1"/>
      <w:marLeft w:val="0"/>
      <w:marRight w:val="0"/>
      <w:marTop w:val="0"/>
      <w:marBottom w:val="0"/>
      <w:divBdr>
        <w:top w:val="none" w:sz="0" w:space="0" w:color="auto"/>
        <w:left w:val="none" w:sz="0" w:space="0" w:color="auto"/>
        <w:bottom w:val="none" w:sz="0" w:space="0" w:color="auto"/>
        <w:right w:val="none" w:sz="0" w:space="0" w:color="auto"/>
      </w:divBdr>
    </w:div>
    <w:div w:id="1675569684">
      <w:bodyDiv w:val="1"/>
      <w:marLeft w:val="0"/>
      <w:marRight w:val="0"/>
      <w:marTop w:val="0"/>
      <w:marBottom w:val="0"/>
      <w:divBdr>
        <w:top w:val="none" w:sz="0" w:space="0" w:color="auto"/>
        <w:left w:val="none" w:sz="0" w:space="0" w:color="auto"/>
        <w:bottom w:val="none" w:sz="0" w:space="0" w:color="auto"/>
        <w:right w:val="none" w:sz="0" w:space="0" w:color="auto"/>
      </w:divBdr>
      <w:divsChild>
        <w:div w:id="2092652836">
          <w:marLeft w:val="0"/>
          <w:marRight w:val="0"/>
          <w:marTop w:val="0"/>
          <w:marBottom w:val="0"/>
          <w:divBdr>
            <w:top w:val="none" w:sz="0" w:space="0" w:color="auto"/>
            <w:left w:val="none" w:sz="0" w:space="0" w:color="auto"/>
            <w:bottom w:val="none" w:sz="0" w:space="0" w:color="auto"/>
            <w:right w:val="none" w:sz="0" w:space="0" w:color="auto"/>
          </w:divBdr>
          <w:divsChild>
            <w:div w:id="912853533">
              <w:marLeft w:val="0"/>
              <w:marRight w:val="0"/>
              <w:marTop w:val="0"/>
              <w:marBottom w:val="0"/>
              <w:divBdr>
                <w:top w:val="none" w:sz="0" w:space="0" w:color="auto"/>
                <w:left w:val="none" w:sz="0" w:space="0" w:color="auto"/>
                <w:bottom w:val="none" w:sz="0" w:space="0" w:color="auto"/>
                <w:right w:val="none" w:sz="0" w:space="0" w:color="auto"/>
              </w:divBdr>
              <w:divsChild>
                <w:div w:id="1845704696">
                  <w:marLeft w:val="0"/>
                  <w:marRight w:val="0"/>
                  <w:marTop w:val="0"/>
                  <w:marBottom w:val="0"/>
                  <w:divBdr>
                    <w:top w:val="none" w:sz="0" w:space="0" w:color="auto"/>
                    <w:left w:val="none" w:sz="0" w:space="0" w:color="auto"/>
                    <w:bottom w:val="none" w:sz="0" w:space="0" w:color="auto"/>
                    <w:right w:val="none" w:sz="0" w:space="0" w:color="auto"/>
                  </w:divBdr>
                  <w:divsChild>
                    <w:div w:id="1112825536">
                      <w:marLeft w:val="0"/>
                      <w:marRight w:val="0"/>
                      <w:marTop w:val="0"/>
                      <w:marBottom w:val="0"/>
                      <w:divBdr>
                        <w:top w:val="none" w:sz="0" w:space="0" w:color="auto"/>
                        <w:left w:val="none" w:sz="0" w:space="0" w:color="auto"/>
                        <w:bottom w:val="none" w:sz="0" w:space="0" w:color="auto"/>
                        <w:right w:val="none" w:sz="0" w:space="0" w:color="auto"/>
                      </w:divBdr>
                      <w:divsChild>
                        <w:div w:id="646592798">
                          <w:marLeft w:val="0"/>
                          <w:marRight w:val="0"/>
                          <w:marTop w:val="0"/>
                          <w:marBottom w:val="0"/>
                          <w:divBdr>
                            <w:top w:val="none" w:sz="0" w:space="0" w:color="auto"/>
                            <w:left w:val="none" w:sz="0" w:space="0" w:color="auto"/>
                            <w:bottom w:val="none" w:sz="0" w:space="0" w:color="auto"/>
                            <w:right w:val="none" w:sz="0" w:space="0" w:color="auto"/>
                          </w:divBdr>
                          <w:divsChild>
                            <w:div w:id="1664896470">
                              <w:marLeft w:val="0"/>
                              <w:marRight w:val="0"/>
                              <w:marTop w:val="0"/>
                              <w:marBottom w:val="0"/>
                              <w:divBdr>
                                <w:top w:val="none" w:sz="0" w:space="0" w:color="auto"/>
                                <w:left w:val="none" w:sz="0" w:space="0" w:color="auto"/>
                                <w:bottom w:val="none" w:sz="0" w:space="0" w:color="auto"/>
                                <w:right w:val="none" w:sz="0" w:space="0" w:color="auto"/>
                              </w:divBdr>
                              <w:divsChild>
                                <w:div w:id="1381243778">
                                  <w:marLeft w:val="0"/>
                                  <w:marRight w:val="0"/>
                                  <w:marTop w:val="240"/>
                                  <w:marBottom w:val="0"/>
                                  <w:divBdr>
                                    <w:top w:val="none" w:sz="0" w:space="0" w:color="auto"/>
                                    <w:left w:val="none" w:sz="0" w:space="0" w:color="auto"/>
                                    <w:bottom w:val="none" w:sz="0" w:space="0" w:color="auto"/>
                                    <w:right w:val="none" w:sz="0" w:space="0" w:color="auto"/>
                                  </w:divBdr>
                                  <w:divsChild>
                                    <w:div w:id="1989481919">
                                      <w:marLeft w:val="0"/>
                                      <w:marRight w:val="0"/>
                                      <w:marTop w:val="0"/>
                                      <w:marBottom w:val="0"/>
                                      <w:divBdr>
                                        <w:top w:val="none" w:sz="0" w:space="0" w:color="auto"/>
                                        <w:left w:val="none" w:sz="0" w:space="0" w:color="auto"/>
                                        <w:bottom w:val="none" w:sz="0" w:space="0" w:color="auto"/>
                                        <w:right w:val="none" w:sz="0" w:space="0" w:color="auto"/>
                                      </w:divBdr>
                                      <w:divsChild>
                                        <w:div w:id="13171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177476">
      <w:bodyDiv w:val="1"/>
      <w:marLeft w:val="0"/>
      <w:marRight w:val="0"/>
      <w:marTop w:val="0"/>
      <w:marBottom w:val="0"/>
      <w:divBdr>
        <w:top w:val="none" w:sz="0" w:space="0" w:color="auto"/>
        <w:left w:val="none" w:sz="0" w:space="0" w:color="auto"/>
        <w:bottom w:val="none" w:sz="0" w:space="0" w:color="auto"/>
        <w:right w:val="none" w:sz="0" w:space="0" w:color="auto"/>
      </w:divBdr>
    </w:div>
    <w:div w:id="1964383029">
      <w:bodyDiv w:val="1"/>
      <w:marLeft w:val="0"/>
      <w:marRight w:val="0"/>
      <w:marTop w:val="0"/>
      <w:marBottom w:val="0"/>
      <w:divBdr>
        <w:top w:val="none" w:sz="0" w:space="0" w:color="auto"/>
        <w:left w:val="none" w:sz="0" w:space="0" w:color="auto"/>
        <w:bottom w:val="none" w:sz="0" w:space="0" w:color="auto"/>
        <w:right w:val="none" w:sz="0" w:space="0" w:color="auto"/>
      </w:divBdr>
    </w:div>
    <w:div w:id="1972831308">
      <w:bodyDiv w:val="1"/>
      <w:marLeft w:val="0"/>
      <w:marRight w:val="0"/>
      <w:marTop w:val="0"/>
      <w:marBottom w:val="0"/>
      <w:divBdr>
        <w:top w:val="none" w:sz="0" w:space="0" w:color="auto"/>
        <w:left w:val="none" w:sz="0" w:space="0" w:color="auto"/>
        <w:bottom w:val="none" w:sz="0" w:space="0" w:color="auto"/>
        <w:right w:val="none" w:sz="0" w:space="0" w:color="auto"/>
      </w:divBdr>
      <w:divsChild>
        <w:div w:id="863133259">
          <w:marLeft w:val="0"/>
          <w:marRight w:val="0"/>
          <w:marTop w:val="720"/>
          <w:marBottom w:val="720"/>
          <w:divBdr>
            <w:top w:val="none" w:sz="0" w:space="0" w:color="auto"/>
            <w:left w:val="none" w:sz="0" w:space="0" w:color="auto"/>
            <w:bottom w:val="none" w:sz="0" w:space="0" w:color="auto"/>
            <w:right w:val="none" w:sz="0" w:space="0" w:color="auto"/>
          </w:divBdr>
          <w:divsChild>
            <w:div w:id="1407413313">
              <w:marLeft w:val="0"/>
              <w:marRight w:val="0"/>
              <w:marTop w:val="0"/>
              <w:marBottom w:val="0"/>
              <w:divBdr>
                <w:top w:val="none" w:sz="0" w:space="0" w:color="auto"/>
                <w:left w:val="none" w:sz="0" w:space="0" w:color="auto"/>
                <w:bottom w:val="none" w:sz="0" w:space="0" w:color="auto"/>
                <w:right w:val="none" w:sz="0" w:space="0" w:color="auto"/>
              </w:divBdr>
              <w:divsChild>
                <w:div w:id="2065106249">
                  <w:marLeft w:val="0"/>
                  <w:marRight w:val="0"/>
                  <w:marTop w:val="0"/>
                  <w:marBottom w:val="0"/>
                  <w:divBdr>
                    <w:top w:val="none" w:sz="0" w:space="0" w:color="auto"/>
                    <w:left w:val="none" w:sz="0" w:space="0" w:color="auto"/>
                    <w:bottom w:val="none" w:sz="0" w:space="0" w:color="auto"/>
                    <w:right w:val="none" w:sz="0" w:space="0" w:color="auto"/>
                  </w:divBdr>
                  <w:divsChild>
                    <w:div w:id="199000985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986666786">
      <w:bodyDiv w:val="1"/>
      <w:marLeft w:val="0"/>
      <w:marRight w:val="0"/>
      <w:marTop w:val="0"/>
      <w:marBottom w:val="0"/>
      <w:divBdr>
        <w:top w:val="none" w:sz="0" w:space="0" w:color="auto"/>
        <w:left w:val="none" w:sz="0" w:space="0" w:color="auto"/>
        <w:bottom w:val="none" w:sz="0" w:space="0" w:color="auto"/>
        <w:right w:val="none" w:sz="0" w:space="0" w:color="auto"/>
      </w:divBdr>
    </w:div>
    <w:div w:id="2072461005">
      <w:bodyDiv w:val="1"/>
      <w:marLeft w:val="0"/>
      <w:marRight w:val="0"/>
      <w:marTop w:val="0"/>
      <w:marBottom w:val="0"/>
      <w:divBdr>
        <w:top w:val="none" w:sz="0" w:space="0" w:color="auto"/>
        <w:left w:val="none" w:sz="0" w:space="0" w:color="auto"/>
        <w:bottom w:val="none" w:sz="0" w:space="0" w:color="auto"/>
        <w:right w:val="none" w:sz="0" w:space="0" w:color="auto"/>
      </w:divBdr>
      <w:divsChild>
        <w:div w:id="1424496194">
          <w:marLeft w:val="0"/>
          <w:marRight w:val="0"/>
          <w:marTop w:val="0"/>
          <w:marBottom w:val="0"/>
          <w:divBdr>
            <w:top w:val="none" w:sz="0" w:space="0" w:color="auto"/>
            <w:left w:val="none" w:sz="0" w:space="0" w:color="auto"/>
            <w:bottom w:val="none" w:sz="0" w:space="0" w:color="auto"/>
            <w:right w:val="none" w:sz="0" w:space="0" w:color="auto"/>
          </w:divBdr>
          <w:divsChild>
            <w:div w:id="525680353">
              <w:marLeft w:val="0"/>
              <w:marRight w:val="0"/>
              <w:marTop w:val="0"/>
              <w:marBottom w:val="0"/>
              <w:divBdr>
                <w:top w:val="none" w:sz="0" w:space="0" w:color="auto"/>
                <w:left w:val="none" w:sz="0" w:space="0" w:color="auto"/>
                <w:bottom w:val="none" w:sz="0" w:space="0" w:color="auto"/>
                <w:right w:val="none" w:sz="0" w:space="0" w:color="auto"/>
              </w:divBdr>
              <w:divsChild>
                <w:div w:id="1462453731">
                  <w:marLeft w:val="0"/>
                  <w:marRight w:val="0"/>
                  <w:marTop w:val="0"/>
                  <w:marBottom w:val="0"/>
                  <w:divBdr>
                    <w:top w:val="none" w:sz="0" w:space="0" w:color="auto"/>
                    <w:left w:val="none" w:sz="0" w:space="0" w:color="auto"/>
                    <w:bottom w:val="none" w:sz="0" w:space="0" w:color="auto"/>
                    <w:right w:val="none" w:sz="0" w:space="0" w:color="auto"/>
                  </w:divBdr>
                  <w:divsChild>
                    <w:div w:id="497158610">
                      <w:marLeft w:val="0"/>
                      <w:marRight w:val="0"/>
                      <w:marTop w:val="0"/>
                      <w:marBottom w:val="0"/>
                      <w:divBdr>
                        <w:top w:val="none" w:sz="0" w:space="0" w:color="auto"/>
                        <w:left w:val="none" w:sz="0" w:space="0" w:color="auto"/>
                        <w:bottom w:val="none" w:sz="0" w:space="0" w:color="auto"/>
                        <w:right w:val="none" w:sz="0" w:space="0" w:color="auto"/>
                      </w:divBdr>
                      <w:divsChild>
                        <w:div w:id="1296567147">
                          <w:marLeft w:val="0"/>
                          <w:marRight w:val="0"/>
                          <w:marTop w:val="0"/>
                          <w:marBottom w:val="0"/>
                          <w:divBdr>
                            <w:top w:val="none" w:sz="0" w:space="0" w:color="auto"/>
                            <w:left w:val="none" w:sz="0" w:space="0" w:color="auto"/>
                            <w:bottom w:val="none" w:sz="0" w:space="0" w:color="auto"/>
                            <w:right w:val="none" w:sz="0" w:space="0" w:color="auto"/>
                          </w:divBdr>
                          <w:divsChild>
                            <w:div w:id="1268269159">
                              <w:marLeft w:val="0"/>
                              <w:marRight w:val="0"/>
                              <w:marTop w:val="0"/>
                              <w:marBottom w:val="0"/>
                              <w:divBdr>
                                <w:top w:val="none" w:sz="0" w:space="0" w:color="auto"/>
                                <w:left w:val="none" w:sz="0" w:space="0" w:color="auto"/>
                                <w:bottom w:val="none" w:sz="0" w:space="0" w:color="auto"/>
                                <w:right w:val="none" w:sz="0" w:space="0" w:color="auto"/>
                              </w:divBdr>
                              <w:divsChild>
                                <w:div w:id="1806968393">
                                  <w:marLeft w:val="0"/>
                                  <w:marRight w:val="0"/>
                                  <w:marTop w:val="0"/>
                                  <w:marBottom w:val="0"/>
                                  <w:divBdr>
                                    <w:top w:val="none" w:sz="0" w:space="0" w:color="auto"/>
                                    <w:left w:val="none" w:sz="0" w:space="0" w:color="auto"/>
                                    <w:bottom w:val="dashed" w:sz="6" w:space="11" w:color="6DE0FF"/>
                                    <w:right w:val="none" w:sz="0" w:space="0" w:color="auto"/>
                                  </w:divBdr>
                                  <w:divsChild>
                                    <w:div w:id="673724229">
                                      <w:marLeft w:val="0"/>
                                      <w:marRight w:val="0"/>
                                      <w:marTop w:val="0"/>
                                      <w:marBottom w:val="0"/>
                                      <w:divBdr>
                                        <w:top w:val="none" w:sz="0" w:space="0" w:color="auto"/>
                                        <w:left w:val="none" w:sz="0" w:space="0" w:color="auto"/>
                                        <w:bottom w:val="none" w:sz="0" w:space="0" w:color="auto"/>
                                        <w:right w:val="none" w:sz="0" w:space="0" w:color="auto"/>
                                      </w:divBdr>
                                      <w:divsChild>
                                        <w:div w:id="18605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72BF-D6A2-4F2A-A715-1FD44F5C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138</TotalTime>
  <Pages>7</Pages>
  <Words>1924</Words>
  <Characters>13899</Characters>
  <Application>Microsoft Office Word</Application>
  <DocSecurity>0</DocSecurity>
  <Lines>115</Lines>
  <Paragraphs>31</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59</cp:revision>
  <cp:lastPrinted>2024-05-22T08:34:00Z</cp:lastPrinted>
  <dcterms:created xsi:type="dcterms:W3CDTF">2024-05-10T13:21:00Z</dcterms:created>
  <dcterms:modified xsi:type="dcterms:W3CDTF">2024-09-03T12:50:00Z</dcterms:modified>
</cp:coreProperties>
</file>