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610E" w14:textId="77777777" w:rsidR="007708ED" w:rsidRPr="007708ED" w:rsidRDefault="007708ED" w:rsidP="007708ED">
      <w:pPr>
        <w:spacing w:after="0" w:line="240" w:lineRule="auto"/>
        <w:jc w:val="center"/>
        <w:rPr>
          <w:rFonts w:ascii="Times New Roman" w:eastAsia="Times New Roman" w:hAnsi="Times New Roman" w:cs="Times New Roman"/>
          <w:b/>
          <w:bCs/>
          <w:sz w:val="20"/>
          <w:szCs w:val="20"/>
          <w:lang w:eastAsia="es-ES"/>
        </w:rPr>
      </w:pPr>
      <w:r w:rsidRPr="007708ED">
        <w:rPr>
          <w:rFonts w:ascii="Times New Roman" w:eastAsia="Times New Roman" w:hAnsi="Times New Roman" w:cs="Times New Roman"/>
          <w:b/>
          <w:bCs/>
          <w:sz w:val="20"/>
          <w:szCs w:val="20"/>
          <w:lang w:val="eu-ES" w:eastAsia="es-ES"/>
        </w:rPr>
        <w:t>II. ERANSKINA</w:t>
      </w:r>
    </w:p>
    <w:p w14:paraId="2ADD23F0" w14:textId="77777777" w:rsidR="007708ED" w:rsidRPr="007708ED" w:rsidRDefault="007708ED" w:rsidP="007708ED">
      <w:pPr>
        <w:spacing w:after="0" w:line="240" w:lineRule="auto"/>
        <w:jc w:val="both"/>
        <w:rPr>
          <w:rFonts w:ascii="Times New Roman" w:eastAsia="Times New Roman" w:hAnsi="Times New Roman" w:cs="Times New Roman"/>
          <w:b/>
          <w:bCs/>
          <w:sz w:val="20"/>
          <w:szCs w:val="20"/>
          <w:lang w:eastAsia="es-ES"/>
        </w:rPr>
      </w:pPr>
    </w:p>
    <w:p w14:paraId="00B87D77" w14:textId="77777777" w:rsidR="007708ED" w:rsidRPr="007708ED" w:rsidRDefault="007708ED" w:rsidP="007708ED">
      <w:pPr>
        <w:spacing w:after="0" w:line="240" w:lineRule="auto"/>
        <w:jc w:val="both"/>
        <w:rPr>
          <w:rFonts w:ascii="Times New Roman" w:eastAsia="Times New Roman" w:hAnsi="Times New Roman" w:cs="Times New Roman"/>
          <w:b/>
          <w:bCs/>
          <w:sz w:val="20"/>
          <w:szCs w:val="20"/>
          <w:lang w:eastAsia="es-ES"/>
        </w:rPr>
      </w:pPr>
    </w:p>
    <w:p w14:paraId="40B1F873" w14:textId="77777777" w:rsidR="007708ED" w:rsidRPr="007708ED" w:rsidRDefault="007708ED" w:rsidP="007708ED">
      <w:pPr>
        <w:spacing w:after="0" w:line="240" w:lineRule="auto"/>
        <w:jc w:val="both"/>
        <w:rPr>
          <w:rFonts w:ascii="Times New Roman" w:eastAsia="Times New Roman" w:hAnsi="Times New Roman" w:cs="Times New Roman"/>
          <w:b/>
          <w:bCs/>
          <w:sz w:val="20"/>
          <w:szCs w:val="20"/>
          <w:lang w:eastAsia="es-ES"/>
        </w:rPr>
      </w:pPr>
    </w:p>
    <w:p w14:paraId="069532CB" w14:textId="77777777" w:rsidR="007708ED" w:rsidRPr="007708ED" w:rsidRDefault="007708ED" w:rsidP="007708ED">
      <w:pPr>
        <w:spacing w:after="0" w:line="240" w:lineRule="auto"/>
        <w:jc w:val="both"/>
        <w:rPr>
          <w:rFonts w:ascii="Times New Roman" w:eastAsia="Times New Roman" w:hAnsi="Times New Roman" w:cs="Times New Roman"/>
          <w:b/>
          <w:bCs/>
          <w:sz w:val="20"/>
          <w:szCs w:val="20"/>
          <w:lang w:eastAsia="es-ES"/>
        </w:rPr>
      </w:pPr>
    </w:p>
    <w:p w14:paraId="24CA3A9D" w14:textId="77777777" w:rsidR="007708ED" w:rsidRPr="007708ED" w:rsidRDefault="007708ED" w:rsidP="007708ED">
      <w:pPr>
        <w:spacing w:after="0" w:line="240" w:lineRule="auto"/>
        <w:jc w:val="both"/>
        <w:rPr>
          <w:rFonts w:ascii="Times New Roman" w:eastAsia="Times New Roman" w:hAnsi="Times New Roman" w:cs="Times New Roman"/>
          <w:b/>
          <w:bCs/>
          <w:sz w:val="20"/>
          <w:szCs w:val="20"/>
          <w:lang w:eastAsia="es-ES"/>
        </w:rPr>
      </w:pPr>
      <w:r w:rsidRPr="007708ED">
        <w:rPr>
          <w:rFonts w:ascii="Times New Roman" w:eastAsia="Times New Roman" w:hAnsi="Times New Roman" w:cs="Times New Roman"/>
          <w:b/>
          <w:bCs/>
          <w:sz w:val="20"/>
          <w:szCs w:val="20"/>
          <w:lang w:val="eu-ES" w:eastAsia="es-ES"/>
        </w:rPr>
        <w:t xml:space="preserve">FORU ARAUAREN PROIEKTUA, EUSKAL AUTONOMIA ERKIDEGOKO ADMINISTRAZIO OROKORRAREN ETA ARABA, BIZKAIA ETA GIPUZKOAKO FORU ALDUNDIEN ARTEKO LANKIDETZA HITZARMENA BERRESTEKOA, SUTEAK ITZALTZEKO HELIKOPTERO BAT ELKARREKIN FINANTZATZEKO. </w:t>
      </w:r>
    </w:p>
    <w:p w14:paraId="7D375A98"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color w:val="000000"/>
          <w:highlight w:val="lightGray"/>
          <w:lang w:eastAsia="es-ES"/>
        </w:rPr>
      </w:pPr>
    </w:p>
    <w:p w14:paraId="4F9B76F3"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 New Roman" w:eastAsia="Times New Roman" w:hAnsi="Times New Roman" w:cs="Times New Roman"/>
          <w:sz w:val="20"/>
          <w:szCs w:val="20"/>
          <w:lang w:val="eu-ES" w:eastAsia="es-ES"/>
        </w:rPr>
        <w:t xml:space="preserve">Klima aldaketa gero eta sarriago eta intentsitate handiagoarekin eragiten ari da muturreko fenomeno meteorologikoen gertakariak, horien artean tenperatura oso altuak eta denboran mantentzen direnak, eta horrek baso suteak izateko arriskua dakar. </w:t>
      </w:r>
    </w:p>
    <w:p w14:paraId="1A2F1A54"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p>
    <w:p w14:paraId="1C11B806"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 New Roman" w:eastAsia="Times New Roman" w:hAnsi="Times New Roman" w:cs="Times New Roman"/>
          <w:sz w:val="20"/>
          <w:szCs w:val="20"/>
          <w:lang w:val="eu-ES" w:eastAsia="es-ES"/>
        </w:rPr>
        <w:t>Suteak itzaltzeko baliabide ugari izan arren, EAEko hiru lurralde historikoetan ez dago aireko baliabiderik. Aldi berean, Eusko Jaurlaritzako Segurtasun Sailak dituen aireko baliabideen parkeko aparatuak salbamendu operazioetarako egokiak dira, baina ez baso suteak itzaltzeko operazioetarako.</w:t>
      </w:r>
    </w:p>
    <w:p w14:paraId="6ECD77CC"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trike/>
          <w:sz w:val="20"/>
          <w:szCs w:val="20"/>
          <w:lang w:eastAsia="es-ES"/>
        </w:rPr>
      </w:pPr>
    </w:p>
    <w:p w14:paraId="5B79C119"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 New Roman" w:eastAsia="Times New Roman" w:hAnsi="Times New Roman" w:cs="Times New Roman"/>
          <w:sz w:val="20"/>
          <w:szCs w:val="20"/>
          <w:lang w:val="eu-ES" w:eastAsia="es-ES"/>
        </w:rPr>
        <w:t xml:space="preserve">Egoera hori hiru foru aldundiek eta Eusko Jaurlaritzak batera aztertu ondoren, helburu horretarako beharrezkotzat jo da berariaz diseinatutako aireko baliabide bat izatea, lehendik dauden ekipoak osatzeko. </w:t>
      </w:r>
    </w:p>
    <w:p w14:paraId="68F1BCD0"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p>
    <w:p w14:paraId="1CE56483" w14:textId="77777777" w:rsidR="007708ED" w:rsidRPr="007708ED" w:rsidRDefault="007708ED" w:rsidP="007708ED">
      <w:pPr>
        <w:spacing w:after="0" w:line="240" w:lineRule="auto"/>
        <w:jc w:val="both"/>
        <w:rPr>
          <w:rFonts w:ascii="TimesNewRomanPSMT" w:eastAsia="Times New Roman" w:hAnsi="TimesNewRomanPSMT" w:cs="TimesNewRomanPSMT"/>
          <w:sz w:val="20"/>
          <w:szCs w:val="20"/>
          <w:lang w:eastAsia="es-ES"/>
        </w:rPr>
      </w:pPr>
      <w:r w:rsidRPr="007708ED">
        <w:rPr>
          <w:rFonts w:ascii="Times New Roman" w:eastAsia="Times New Roman" w:hAnsi="Times New Roman" w:cs="Times New Roman"/>
          <w:sz w:val="20"/>
          <w:szCs w:val="20"/>
          <w:lang w:val="eu-ES" w:eastAsia="es-ES"/>
        </w:rPr>
        <w:t>Horretarako tresna egokia administrazioen arteko lankidetza hitzarmen bat da, Sektore Publikoaren Araubide Juridikoaren urriaren 1eko 40/2015 Legearen (aurrerantzean, 40/2015 Legea) 47.2.a) artikuluan aurreikusia.</w:t>
      </w:r>
    </w:p>
    <w:p w14:paraId="274DAD1D" w14:textId="77777777" w:rsidR="007708ED" w:rsidRPr="007708ED" w:rsidRDefault="007708ED" w:rsidP="007708ED">
      <w:pPr>
        <w:spacing w:after="0" w:line="240" w:lineRule="auto"/>
        <w:jc w:val="both"/>
        <w:rPr>
          <w:rFonts w:ascii="Times New Roman" w:eastAsia="Times New Roman" w:hAnsi="Times New Roman" w:cs="Times New Roman"/>
          <w:i/>
          <w:iCs/>
          <w:sz w:val="20"/>
          <w:szCs w:val="20"/>
          <w:lang w:eastAsia="es-ES"/>
        </w:rPr>
      </w:pPr>
    </w:p>
    <w:p w14:paraId="69F6FBDD" w14:textId="77777777" w:rsidR="007708ED" w:rsidRPr="007708ED" w:rsidRDefault="007708ED" w:rsidP="007708ED">
      <w:pPr>
        <w:autoSpaceDE w:val="0"/>
        <w:autoSpaceDN w:val="0"/>
        <w:adjustRightInd w:val="0"/>
        <w:spacing w:after="0" w:line="240" w:lineRule="auto"/>
        <w:jc w:val="both"/>
        <w:rPr>
          <w:rFonts w:ascii="TimesNewRomanPSMT" w:eastAsia="Times New Roman" w:hAnsi="TimesNewRomanPSMT" w:cs="TimesNewRomanPSMT"/>
          <w:sz w:val="20"/>
          <w:szCs w:val="20"/>
          <w:lang w:eastAsia="es-ES"/>
        </w:rPr>
      </w:pPr>
      <w:r w:rsidRPr="007708ED">
        <w:rPr>
          <w:rFonts w:ascii="Times New Roman" w:eastAsia="Times New Roman" w:hAnsi="Times New Roman" w:cs="Times New Roman"/>
          <w:sz w:val="20"/>
          <w:szCs w:val="20"/>
          <w:lang w:val="eu-ES" w:eastAsia="es-ES"/>
        </w:rPr>
        <w:t>Lege horren 48. artikuluan xedatzen denez, administrazio publikoek, bakoitzak bere eskumenen esparruan, hitzarmenak sinatu ahal izango dituzte zuzenbide publiko eta pribatuko subjektuekin, baina horrek ezin izango du eskumenaren titulartasuna lagatzea ekarri, eta hitzarmenak sinatzeak, besteak beste, kudeaketa publikoaren eraginkortasuna hobetu, baliabide eta zerbitzu publikoak batera erabiltzea erraztu, eta onura publikoko jarduerak egiten lagundu beharko du.</w:t>
      </w:r>
    </w:p>
    <w:p w14:paraId="43292E51" w14:textId="77777777" w:rsidR="007708ED" w:rsidRPr="007708ED" w:rsidRDefault="007708ED" w:rsidP="007708ED">
      <w:pPr>
        <w:autoSpaceDE w:val="0"/>
        <w:autoSpaceDN w:val="0"/>
        <w:adjustRightInd w:val="0"/>
        <w:spacing w:after="0" w:line="240" w:lineRule="auto"/>
        <w:jc w:val="both"/>
        <w:rPr>
          <w:rFonts w:ascii="TimesNewRomanPSMT" w:eastAsia="Times New Roman" w:hAnsi="TimesNewRomanPSMT" w:cs="TimesNewRomanPSMT"/>
          <w:sz w:val="20"/>
          <w:szCs w:val="20"/>
          <w:lang w:eastAsia="es-ES"/>
        </w:rPr>
      </w:pPr>
    </w:p>
    <w:p w14:paraId="1DE2BBE2"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 New Roman" w:eastAsia="Times New Roman" w:hAnsi="Times New Roman" w:cs="Times New Roman"/>
          <w:sz w:val="20"/>
          <w:szCs w:val="20"/>
          <w:lang w:val="eu-ES" w:eastAsia="es-ES"/>
        </w:rPr>
        <w:t xml:space="preserve">Era berean,  Arabako Foru Aldundiaren gobernuari, antolaketari eta araubide juridikoari buruzko martxoaren 15eko 10/2023 Foru Arauaren 51. artikuluan xedatzen denez, Foru Aldundiak hitzarmenak sinatu ahal izango ditu gainerako administrazio publikoekin. </w:t>
      </w:r>
    </w:p>
    <w:p w14:paraId="1E4E9A81"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p>
    <w:p w14:paraId="488A12B1"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NewRomanPSMT" w:eastAsia="TimesNewRomanPSMT" w:hAnsi="TimesNewRomanPSMT" w:cs="TimesNewRomanPSMT"/>
          <w:sz w:val="20"/>
          <w:szCs w:val="20"/>
          <w:lang w:val="eu-ES" w:eastAsia="es-ES"/>
        </w:rPr>
        <w:t>Hitzarmen honen bidez, aldeek elkarren betebeharren araubide bat hartzen dute beren gain, suteak itzaltzeko helikoptero baten erabilera batera finantzatzeko, horrek herritarrentzako prestazioak hobetzea ekar dezan.</w:t>
      </w:r>
    </w:p>
    <w:p w14:paraId="73FBE33E" w14:textId="77777777" w:rsidR="007708ED" w:rsidRPr="007708ED" w:rsidRDefault="007708ED" w:rsidP="007708ED">
      <w:pPr>
        <w:spacing w:after="0" w:line="240" w:lineRule="auto"/>
        <w:jc w:val="both"/>
        <w:rPr>
          <w:rFonts w:ascii="Times New Roman" w:eastAsia="Times New Roman" w:hAnsi="Times New Roman" w:cs="Times New Roman"/>
          <w:sz w:val="20"/>
          <w:szCs w:val="20"/>
          <w:lang w:eastAsia="es-ES"/>
        </w:rPr>
      </w:pPr>
    </w:p>
    <w:p w14:paraId="2149C4A6"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7708ED">
        <w:rPr>
          <w:rFonts w:ascii="TimesNewRomanPSMT" w:eastAsia="TimesNewRomanPSMT" w:hAnsi="TimesNewRomanPSMT" w:cs="TimesNewRomanPSMT"/>
          <w:sz w:val="20"/>
          <w:szCs w:val="20"/>
          <w:lang w:val="eu-ES" w:eastAsia="es-ES"/>
        </w:rPr>
        <w:t>Foru Gobernu Kontseiluak hitzarmen hori sinatzea onetsi du, bat etorriz Arabako Foru Aldundiaren Gobernu, Antolaketa eta Araubide Juridikoari buruzko martxoaren 15eko 10/2023 Foru Arauaren 6. artikuluko 2. zenbakiko b) letran xedatutakoarekin, eta Arabako Lurralde Historikoaren Erakunde Antolaketari buruzko 1983ko martxoaren 7ko Foru Arauaren 6.2.b)3. artikuluarekin. Arabako Batzar Nagusiek berretsi egin behar dute erabaki hori. Arabako Foru Aldundiaren xedapen orokorrak egiteko prozedura onesten duen otsailaren 28ko Foru Gobernu Kontseiluaren 6/2023 Foru Dekretuan ezarritakoaren arabera izapidetu da.</w:t>
      </w:r>
    </w:p>
    <w:p w14:paraId="2609E95A"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6549DB63"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5D725FEC"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07D6BD59"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542AC64A"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0805DF40"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64524FF9"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44D2E65D" w14:textId="77777777" w:rsidR="007708ED" w:rsidRPr="007708ED" w:rsidRDefault="007708ED" w:rsidP="007708ED">
      <w:pPr>
        <w:autoSpaceDE w:val="0"/>
        <w:autoSpaceDN w:val="0"/>
        <w:adjustRightInd w:val="0"/>
        <w:spacing w:after="0" w:line="240" w:lineRule="auto"/>
        <w:jc w:val="both"/>
        <w:rPr>
          <w:rFonts w:ascii="Times New Roman" w:eastAsia="Times New Roman" w:hAnsi="Times New Roman" w:cs="Times New Roman"/>
          <w:b/>
          <w:bCs/>
          <w:sz w:val="20"/>
          <w:szCs w:val="20"/>
          <w:lang w:eastAsia="es-ES"/>
        </w:rPr>
      </w:pPr>
    </w:p>
    <w:p w14:paraId="69DC4EA1" w14:textId="77777777" w:rsidR="007708ED" w:rsidRPr="007708ED" w:rsidRDefault="007708ED" w:rsidP="007708ED">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r w:rsidRPr="007708ED">
        <w:rPr>
          <w:rFonts w:ascii="Times New Roman" w:eastAsia="Times New Roman" w:hAnsi="Times New Roman" w:cs="Times New Roman"/>
          <w:b/>
          <w:bCs/>
          <w:sz w:val="20"/>
          <w:szCs w:val="20"/>
          <w:lang w:val="eu-ES" w:eastAsia="es-ES"/>
        </w:rPr>
        <w:t>ARTIKULU BAKARRA</w:t>
      </w:r>
    </w:p>
    <w:p w14:paraId="43C17651" w14:textId="77777777" w:rsidR="007708ED" w:rsidRPr="007708ED" w:rsidRDefault="007708ED" w:rsidP="007708ED">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6FE4D69E" w14:textId="77777777" w:rsidR="007708ED" w:rsidRPr="007708ED" w:rsidRDefault="007708ED" w:rsidP="007708ED">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390A5965" w14:textId="77777777" w:rsidR="007708ED" w:rsidRPr="007708ED" w:rsidRDefault="007708ED" w:rsidP="007708ED">
      <w:pPr>
        <w:autoSpaceDE w:val="0"/>
        <w:autoSpaceDN w:val="0"/>
        <w:adjustRightInd w:val="0"/>
        <w:spacing w:after="0" w:line="240" w:lineRule="auto"/>
        <w:jc w:val="both"/>
        <w:rPr>
          <w:rFonts w:ascii="TimesNewRomanPSMT" w:eastAsia="Times New Roman" w:hAnsi="TimesNewRomanPSMT" w:cs="TimesNewRomanPSMT"/>
          <w:sz w:val="20"/>
          <w:szCs w:val="20"/>
          <w:lang w:eastAsia="es-ES"/>
        </w:rPr>
      </w:pPr>
      <w:r w:rsidRPr="007708ED">
        <w:rPr>
          <w:rFonts w:ascii="TimesNewRomanPSMT" w:eastAsia="TimesNewRomanPSMT" w:hAnsi="TimesNewRomanPSMT" w:cs="TimesNewRomanPSMT"/>
          <w:sz w:val="20"/>
          <w:szCs w:val="20"/>
          <w:lang w:val="eu-ES" w:eastAsia="es-ES"/>
        </w:rPr>
        <w:lastRenderedPageBreak/>
        <w:t>Berretsi egiten da Euskal Autonomia Erkidegoko Administrazio Orokorraren eta Arabako, Bizkaiko eta Gipuzkoako foru aldundien arteko lankidetza hitzarmena, suteak itzaltzeko helikoptero baten erabilera elkarrekin finantzatzeko.</w:t>
      </w:r>
    </w:p>
    <w:p w14:paraId="5D14440B" w14:textId="77777777" w:rsidR="007708ED" w:rsidRPr="007708ED" w:rsidRDefault="007708ED" w:rsidP="007708ED">
      <w:pPr>
        <w:autoSpaceDE w:val="0"/>
        <w:autoSpaceDN w:val="0"/>
        <w:adjustRightInd w:val="0"/>
        <w:spacing w:after="0" w:line="240" w:lineRule="auto"/>
        <w:jc w:val="both"/>
        <w:rPr>
          <w:rFonts w:ascii="TimesNewRomanPSMT" w:eastAsia="Times New Roman" w:hAnsi="TimesNewRomanPSMT" w:cs="TimesNewRomanPSMT"/>
          <w:sz w:val="20"/>
          <w:szCs w:val="20"/>
          <w:lang w:eastAsia="es-ES"/>
        </w:rPr>
      </w:pPr>
    </w:p>
    <w:p w14:paraId="6D83375B" w14:textId="77777777" w:rsidR="007708ED" w:rsidRPr="007708ED" w:rsidRDefault="007708ED" w:rsidP="007708ED">
      <w:pPr>
        <w:tabs>
          <w:tab w:val="right" w:pos="8789"/>
        </w:tabs>
        <w:spacing w:before="120" w:after="240" w:line="240" w:lineRule="auto"/>
        <w:jc w:val="both"/>
        <w:rPr>
          <w:rFonts w:ascii="Times New Roman" w:eastAsia="Times New Roman" w:hAnsi="Times New Roman" w:cs="Times New Roman"/>
          <w:lang w:eastAsia="es-ES"/>
        </w:rPr>
      </w:pPr>
    </w:p>
    <w:p w14:paraId="27B68CA5" w14:textId="77777777" w:rsidR="003470F2" w:rsidRPr="007708ED" w:rsidRDefault="003470F2" w:rsidP="007708ED"/>
    <w:sectPr w:rsidR="003470F2" w:rsidRPr="007708E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A580" w14:textId="77777777" w:rsidR="00E85BD3" w:rsidRDefault="00E85BD3" w:rsidP="00917B37">
      <w:pPr>
        <w:spacing w:after="0" w:line="240" w:lineRule="auto"/>
      </w:pPr>
      <w:r>
        <w:separator/>
      </w:r>
    </w:p>
  </w:endnote>
  <w:endnote w:type="continuationSeparator" w:id="0">
    <w:p w14:paraId="4C669BEB" w14:textId="77777777" w:rsidR="00E85BD3" w:rsidRDefault="00E85BD3" w:rsidP="0091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76DD" w14:textId="77777777" w:rsidR="00E85BD3" w:rsidRDefault="00E85BD3" w:rsidP="00917B37">
      <w:pPr>
        <w:spacing w:after="0" w:line="240" w:lineRule="auto"/>
      </w:pPr>
      <w:r>
        <w:separator/>
      </w:r>
    </w:p>
  </w:footnote>
  <w:footnote w:type="continuationSeparator" w:id="0">
    <w:p w14:paraId="6E8E903F" w14:textId="77777777" w:rsidR="00E85BD3" w:rsidRDefault="00E85BD3" w:rsidP="0091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917B37" w14:paraId="39439160" w14:textId="77777777" w:rsidTr="00346324">
      <w:trPr>
        <w:cantSplit/>
        <w:trHeight w:val="338"/>
      </w:trPr>
      <w:tc>
        <w:tcPr>
          <w:tcW w:w="3997" w:type="dxa"/>
          <w:tcBorders>
            <w:bottom w:val="single" w:sz="4" w:space="0" w:color="auto"/>
          </w:tcBorders>
        </w:tcPr>
        <w:p w14:paraId="17F8F9BB" w14:textId="77777777" w:rsidR="00917B37" w:rsidRDefault="00917B37" w:rsidP="00917B37">
          <w:pPr>
            <w:pStyle w:val="Encabezado"/>
          </w:pPr>
        </w:p>
      </w:tc>
      <w:tc>
        <w:tcPr>
          <w:tcW w:w="1361" w:type="dxa"/>
          <w:vMerge w:val="restart"/>
          <w:tcBorders>
            <w:bottom w:val="single" w:sz="4" w:space="0" w:color="auto"/>
          </w:tcBorders>
        </w:tcPr>
        <w:p w14:paraId="4591439D" w14:textId="35C48D27" w:rsidR="00917B37" w:rsidRDefault="00917B37" w:rsidP="00917B37">
          <w:pPr>
            <w:pStyle w:val="Encabezado"/>
            <w:jc w:val="center"/>
          </w:pPr>
          <w:r>
            <w:rPr>
              <w:noProof/>
            </w:rPr>
            <w:drawing>
              <wp:inline distT="0" distB="0" distL="0" distR="0" wp14:anchorId="5D3D692E" wp14:editId="652ACB42">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bottom w:val="single" w:sz="4" w:space="0" w:color="auto"/>
          </w:tcBorders>
        </w:tcPr>
        <w:p w14:paraId="70DBBF37" w14:textId="77777777" w:rsidR="00917B37" w:rsidRDefault="00917B37" w:rsidP="00917B37">
          <w:pPr>
            <w:pStyle w:val="Encabezado"/>
          </w:pPr>
        </w:p>
      </w:tc>
    </w:tr>
    <w:tr w:rsidR="00917B37" w14:paraId="45390BF4" w14:textId="77777777" w:rsidTr="00346324">
      <w:trPr>
        <w:cantSplit/>
        <w:trHeight w:val="337"/>
      </w:trPr>
      <w:tc>
        <w:tcPr>
          <w:tcW w:w="3997" w:type="dxa"/>
          <w:tcBorders>
            <w:top w:val="single" w:sz="4" w:space="0" w:color="auto"/>
          </w:tcBorders>
        </w:tcPr>
        <w:p w14:paraId="702CD508" w14:textId="77777777" w:rsidR="00917B37" w:rsidRDefault="00917B37" w:rsidP="00917B37">
          <w:pPr>
            <w:pStyle w:val="Encabezado"/>
          </w:pPr>
        </w:p>
      </w:tc>
      <w:tc>
        <w:tcPr>
          <w:tcW w:w="1361" w:type="dxa"/>
          <w:vMerge/>
          <w:tcBorders>
            <w:top w:val="single" w:sz="4" w:space="0" w:color="auto"/>
          </w:tcBorders>
        </w:tcPr>
        <w:p w14:paraId="02F586DA" w14:textId="77777777" w:rsidR="00917B37" w:rsidRDefault="00917B37" w:rsidP="00917B37">
          <w:pPr>
            <w:pStyle w:val="Encabezado"/>
            <w:jc w:val="center"/>
          </w:pPr>
        </w:p>
      </w:tc>
      <w:tc>
        <w:tcPr>
          <w:tcW w:w="3997" w:type="dxa"/>
          <w:tcBorders>
            <w:top w:val="single" w:sz="4" w:space="0" w:color="auto"/>
          </w:tcBorders>
        </w:tcPr>
        <w:p w14:paraId="2042FEE3" w14:textId="77777777" w:rsidR="00917B37" w:rsidRDefault="00917B37" w:rsidP="00917B37">
          <w:pPr>
            <w:pStyle w:val="Encabezado"/>
          </w:pPr>
        </w:p>
      </w:tc>
    </w:tr>
  </w:tbl>
  <w:p w14:paraId="388C770B" w14:textId="77777777" w:rsidR="00917B37" w:rsidRDefault="00917B37" w:rsidP="00917B37">
    <w:pPr>
      <w:pStyle w:val="Encabezado"/>
    </w:pPr>
  </w:p>
  <w:p w14:paraId="7FBFADF2" w14:textId="77777777" w:rsidR="00917B37" w:rsidRDefault="00917B37" w:rsidP="00917B37">
    <w:pPr>
      <w:pStyle w:val="Encabezado"/>
    </w:pPr>
  </w:p>
  <w:p w14:paraId="7E97A757" w14:textId="77777777" w:rsidR="00917B37" w:rsidRDefault="00917B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37"/>
    <w:rsid w:val="000005E7"/>
    <w:rsid w:val="000D7F89"/>
    <w:rsid w:val="000F2351"/>
    <w:rsid w:val="00314CA8"/>
    <w:rsid w:val="003470F2"/>
    <w:rsid w:val="00355223"/>
    <w:rsid w:val="00421029"/>
    <w:rsid w:val="00426ACE"/>
    <w:rsid w:val="00740958"/>
    <w:rsid w:val="007708ED"/>
    <w:rsid w:val="008613B8"/>
    <w:rsid w:val="008C7D5B"/>
    <w:rsid w:val="00917B37"/>
    <w:rsid w:val="00AD2589"/>
    <w:rsid w:val="00AE1337"/>
    <w:rsid w:val="00B00BAD"/>
    <w:rsid w:val="00BC5E64"/>
    <w:rsid w:val="00C333E7"/>
    <w:rsid w:val="00CC6459"/>
    <w:rsid w:val="00D70257"/>
    <w:rsid w:val="00DA5ECE"/>
    <w:rsid w:val="00E85BD3"/>
    <w:rsid w:val="00E93D91"/>
    <w:rsid w:val="00EB376C"/>
    <w:rsid w:val="00ED55D8"/>
    <w:rsid w:val="00F0536C"/>
    <w:rsid w:val="00F27E7A"/>
    <w:rsid w:val="00FC2F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8E5D"/>
  <w15:chartTrackingRefBased/>
  <w15:docId w15:val="{21DAF588-2C6E-4C6C-BD78-7A044780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917B37"/>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917B37"/>
  </w:style>
  <w:style w:type="paragraph" w:styleId="Piedepgina">
    <w:name w:val="footer"/>
    <w:basedOn w:val="Normal"/>
    <w:link w:val="PiedepginaCar"/>
    <w:uiPriority w:val="99"/>
    <w:unhideWhenUsed/>
    <w:rsid w:val="00917B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7B37"/>
  </w:style>
  <w:style w:type="paragraph" w:customStyle="1" w:styleId="Default">
    <w:name w:val="Default"/>
    <w:rsid w:val="00AD2589"/>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Refdecomentario">
    <w:name w:val="annotation reference"/>
    <w:basedOn w:val="Fuentedeprrafopredeter"/>
    <w:uiPriority w:val="99"/>
    <w:semiHidden/>
    <w:unhideWhenUsed/>
    <w:rsid w:val="00EB376C"/>
    <w:rPr>
      <w:sz w:val="16"/>
      <w:szCs w:val="16"/>
    </w:rPr>
  </w:style>
  <w:style w:type="paragraph" w:styleId="Textocomentario">
    <w:name w:val="annotation text"/>
    <w:basedOn w:val="Normal"/>
    <w:link w:val="TextocomentarioCar"/>
    <w:uiPriority w:val="99"/>
    <w:unhideWhenUsed/>
    <w:rsid w:val="00EB376C"/>
    <w:pPr>
      <w:spacing w:line="240" w:lineRule="auto"/>
    </w:pPr>
    <w:rPr>
      <w:sz w:val="20"/>
      <w:szCs w:val="20"/>
    </w:rPr>
  </w:style>
  <w:style w:type="character" w:customStyle="1" w:styleId="TextocomentarioCar">
    <w:name w:val="Texto comentario Car"/>
    <w:basedOn w:val="Fuentedeprrafopredeter"/>
    <w:link w:val="Textocomentario"/>
    <w:uiPriority w:val="99"/>
    <w:rsid w:val="00EB376C"/>
    <w:rPr>
      <w:sz w:val="20"/>
      <w:szCs w:val="20"/>
    </w:rPr>
  </w:style>
  <w:style w:type="paragraph" w:styleId="Asuntodelcomentario">
    <w:name w:val="annotation subject"/>
    <w:basedOn w:val="Textocomentario"/>
    <w:next w:val="Textocomentario"/>
    <w:link w:val="AsuntodelcomentarioCar"/>
    <w:uiPriority w:val="99"/>
    <w:semiHidden/>
    <w:unhideWhenUsed/>
    <w:rsid w:val="00EB376C"/>
    <w:rPr>
      <w:b/>
      <w:bCs/>
    </w:rPr>
  </w:style>
  <w:style w:type="character" w:customStyle="1" w:styleId="AsuntodelcomentarioCar">
    <w:name w:val="Asunto del comentario Car"/>
    <w:basedOn w:val="TextocomentarioCar"/>
    <w:link w:val="Asuntodelcomentario"/>
    <w:uiPriority w:val="99"/>
    <w:semiHidden/>
    <w:rsid w:val="00EB37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464</Words>
  <Characters>2556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Alangua Durán, Talia</dc:creator>
  <cp:keywords/>
  <dc:description/>
  <cp:lastModifiedBy>Puente Rodriguez, Monica</cp:lastModifiedBy>
  <cp:revision>6</cp:revision>
  <dcterms:created xsi:type="dcterms:W3CDTF">2024-06-20T13:20:00Z</dcterms:created>
  <dcterms:modified xsi:type="dcterms:W3CDTF">2024-06-26T09:04:00Z</dcterms:modified>
</cp:coreProperties>
</file>