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B530" w14:textId="1F93352E" w:rsidR="00B00BAD" w:rsidRPr="00C333E7" w:rsidRDefault="00917B37" w:rsidP="00917B37">
      <w:pPr>
        <w:jc w:val="center"/>
        <w:rPr>
          <w:rFonts w:ascii="Times New Roman" w:hAnsi="Times New Roman" w:cs="Times New Roman"/>
          <w:b/>
          <w:bCs/>
        </w:rPr>
      </w:pPr>
      <w:r w:rsidRPr="00C333E7">
        <w:rPr>
          <w:rFonts w:ascii="Times New Roman" w:hAnsi="Times New Roman" w:cs="Times New Roman"/>
          <w:b/>
          <w:bCs/>
        </w:rPr>
        <w:t>ANEXO II</w:t>
      </w:r>
    </w:p>
    <w:p w14:paraId="6D6BF6B5" w14:textId="61E46527" w:rsidR="00917B37" w:rsidRDefault="00917B37" w:rsidP="00917B37">
      <w:pPr>
        <w:jc w:val="both"/>
        <w:rPr>
          <w:rFonts w:ascii="Times New Roman" w:hAnsi="Times New Roman" w:cs="Times New Roman"/>
          <w:b/>
          <w:bCs/>
        </w:rPr>
      </w:pPr>
    </w:p>
    <w:p w14:paraId="072F38F7" w14:textId="77777777" w:rsidR="008613B8" w:rsidRPr="008C7D5B" w:rsidRDefault="008613B8" w:rsidP="00917B37">
      <w:pPr>
        <w:jc w:val="both"/>
        <w:rPr>
          <w:rFonts w:ascii="Times New Roman" w:hAnsi="Times New Roman" w:cs="Times New Roman"/>
          <w:b/>
          <w:bCs/>
        </w:rPr>
      </w:pPr>
    </w:p>
    <w:p w14:paraId="63BCBC10" w14:textId="6A225666" w:rsidR="008C7D5B" w:rsidRPr="008C7D5B" w:rsidRDefault="00917B37" w:rsidP="00917B37">
      <w:pPr>
        <w:jc w:val="both"/>
        <w:rPr>
          <w:rFonts w:ascii="Times New Roman" w:hAnsi="Times New Roman" w:cs="Times New Roman"/>
          <w:b/>
          <w:bCs/>
        </w:rPr>
      </w:pPr>
      <w:r w:rsidRPr="008C7D5B">
        <w:rPr>
          <w:rFonts w:ascii="Times New Roman" w:hAnsi="Times New Roman" w:cs="Times New Roman"/>
          <w:b/>
          <w:bCs/>
        </w:rPr>
        <w:t>PROYECTO DE NORMA FORAL DE RATIFICACIÓN DEL CONVENIO DE COLABORACIÓN ENTRE LA</w:t>
      </w:r>
      <w:r w:rsidR="008C7D5B" w:rsidRPr="008C7D5B">
        <w:rPr>
          <w:rFonts w:ascii="Times New Roman" w:hAnsi="Times New Roman" w:cs="Times New Roman"/>
          <w:b/>
          <w:bCs/>
        </w:rPr>
        <w:t xml:space="preserve"> ADMINISTRACIÓN GENERAL DE LA COMUNIDAD AUTÓNOMA DE EUSKADI Y LAS DIPUTACIONES FORALES DE ÁLAVA, BIZKAIA Y GIPUZKOA PARA LA FINANCIACIÓN CONJUNTA DE LA UTILIZACIÓN DE UN HELICÓPTERO PARA LA EXTINCIÓN DE INCENDIOS. </w:t>
      </w:r>
    </w:p>
    <w:p w14:paraId="5AE16C07" w14:textId="77777777" w:rsidR="00BC5E64" w:rsidRDefault="00BC5E64" w:rsidP="00AD2589">
      <w:pPr>
        <w:pStyle w:val="Default"/>
        <w:jc w:val="both"/>
        <w:rPr>
          <w:rFonts w:ascii="Times New Roman" w:hAnsi="Times New Roman" w:cs="Times New Roman"/>
          <w:sz w:val="22"/>
          <w:szCs w:val="22"/>
          <w:highlight w:val="lightGray"/>
        </w:rPr>
      </w:pPr>
    </w:p>
    <w:p w14:paraId="22F19236"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r w:rsidRPr="00BC5E64">
        <w:rPr>
          <w:rFonts w:ascii="Times New Roman" w:eastAsia="Times New Roman" w:hAnsi="Times New Roman" w:cs="Times New Roman"/>
          <w:lang w:eastAsia="es-ES"/>
        </w:rPr>
        <w:t xml:space="preserve">El cambio climático está provocando con una frecuencia e intensidad crecientes episodios de fenómenos meteorológicos extremos, entre ellos temperaturas muy elevadas y mantenidas en el tiempo, con el consiguiente riesgo de incendios forestales. </w:t>
      </w:r>
    </w:p>
    <w:p w14:paraId="2882D40C"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p>
    <w:p w14:paraId="3E0D8D34"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r w:rsidRPr="00BC5E64">
        <w:rPr>
          <w:rFonts w:ascii="Times New Roman" w:eastAsia="Times New Roman" w:hAnsi="Times New Roman" w:cs="Times New Roman"/>
          <w:lang w:eastAsia="es-ES"/>
        </w:rPr>
        <w:t>A pesar de contar con múltiples recursos para las tareas de extinción de incendios, en ninguno de los tres Territorios Históricos de Euskadi se dispone de un medio aéreo. De manera paralela, los aparatos del parque de medios aéreos de los que dispone el Departamento de Seguridad del Gobierno Vasco son aptos para operaciones de salvamento, pero no para operaciones de extinción de incendios forestales.</w:t>
      </w:r>
    </w:p>
    <w:p w14:paraId="28EECA40"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strike/>
          <w:lang w:eastAsia="es-ES"/>
        </w:rPr>
      </w:pPr>
    </w:p>
    <w:p w14:paraId="6BD1C23A"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r w:rsidRPr="00BC5E64">
        <w:rPr>
          <w:rFonts w:ascii="Times New Roman" w:eastAsia="Times New Roman" w:hAnsi="Times New Roman" w:cs="Times New Roman"/>
          <w:lang w:eastAsia="es-ES"/>
        </w:rPr>
        <w:t xml:space="preserve">Analizada esta situación conjuntamente entre las tres Diputaciones Forales y el Gobierno Vasco, se ha estimado necesario disponer de un medio aéreo específicamente diseñado para esta finalidad y así completar los equipos ya existentes. </w:t>
      </w:r>
    </w:p>
    <w:p w14:paraId="69152820"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p>
    <w:p w14:paraId="6BB1339B" w14:textId="77777777" w:rsidR="00BC5E64" w:rsidRPr="00BC5E64" w:rsidRDefault="00BC5E64" w:rsidP="00BC5E64">
      <w:pPr>
        <w:spacing w:after="0" w:line="240" w:lineRule="auto"/>
        <w:jc w:val="both"/>
        <w:rPr>
          <w:rFonts w:ascii="TimesNewRomanPSMT" w:eastAsia="Times New Roman" w:hAnsi="TimesNewRomanPSMT" w:cs="TimesNewRomanPSMT"/>
          <w:lang w:eastAsia="es-ES"/>
        </w:rPr>
      </w:pPr>
      <w:r w:rsidRPr="00BC5E64">
        <w:rPr>
          <w:rFonts w:ascii="Times New Roman" w:eastAsia="Times New Roman" w:hAnsi="Times New Roman" w:cs="Times New Roman"/>
          <w:lang w:eastAsia="es-ES"/>
        </w:rPr>
        <w:t xml:space="preserve">El instrumento adecuado para ello es un convenio de colaboración interadministrativo, previsto en el artículo 47.2.a) de la Ley </w:t>
      </w:r>
      <w:r w:rsidRPr="00BC5E64">
        <w:rPr>
          <w:rFonts w:ascii="TimesNewRomanPSMT" w:eastAsia="Times New Roman" w:hAnsi="TimesNewRomanPSMT" w:cs="TimesNewRomanPSMT"/>
          <w:lang w:eastAsia="es-ES"/>
        </w:rPr>
        <w:t>40/2015, de 1 de octubre, de Régimen Jurídico del Sector Público (en adelante, Ley 40/2015).</w:t>
      </w:r>
    </w:p>
    <w:p w14:paraId="0815B54D" w14:textId="77777777" w:rsidR="00BC5E64" w:rsidRPr="00BC5E64" w:rsidRDefault="00BC5E64" w:rsidP="00BC5E64">
      <w:pPr>
        <w:spacing w:after="0" w:line="240" w:lineRule="auto"/>
        <w:jc w:val="both"/>
        <w:rPr>
          <w:rFonts w:ascii="Times New Roman" w:eastAsia="Times New Roman" w:hAnsi="Times New Roman" w:cs="Times New Roman"/>
          <w:i/>
          <w:iCs/>
          <w:lang w:eastAsia="es-ES"/>
        </w:rPr>
      </w:pPr>
    </w:p>
    <w:p w14:paraId="43D90558" w14:textId="77777777" w:rsidR="00BC5E64" w:rsidRPr="00BC5E64" w:rsidRDefault="00BC5E64" w:rsidP="00BC5E64">
      <w:pPr>
        <w:autoSpaceDE w:val="0"/>
        <w:autoSpaceDN w:val="0"/>
        <w:adjustRightInd w:val="0"/>
        <w:spacing w:after="0" w:line="240" w:lineRule="auto"/>
        <w:jc w:val="both"/>
        <w:rPr>
          <w:rFonts w:ascii="TimesNewRomanPSMT" w:eastAsia="Times New Roman" w:hAnsi="TimesNewRomanPSMT" w:cs="TimesNewRomanPSMT"/>
          <w:lang w:eastAsia="es-ES"/>
        </w:rPr>
      </w:pPr>
      <w:r w:rsidRPr="00BC5E64">
        <w:rPr>
          <w:rFonts w:ascii="Times New Roman" w:eastAsia="Times New Roman" w:hAnsi="Times New Roman" w:cs="Times New Roman"/>
          <w:lang w:eastAsia="es-ES"/>
        </w:rPr>
        <w:t>En el artículo</w:t>
      </w:r>
      <w:r w:rsidRPr="00BC5E64">
        <w:rPr>
          <w:rFonts w:ascii="TimesNewRomanPSMT" w:eastAsia="Times New Roman" w:hAnsi="TimesNewRomanPSMT" w:cs="TimesNewRomanPSMT"/>
          <w:lang w:eastAsia="es-ES"/>
        </w:rPr>
        <w:t xml:space="preserve"> 48 de esta ley se establece que las Administraciones Públicas, en el ámbito de sus respectivas competencias, podrán suscribir convenios con sujetos de derecho público y privado, sin que ello pueda suponer cesión de la titularidad de la competencia y que la suscripción de convenios deberá, entre otras cosas, mejorar la eficiencia de la gestión pública, facilitar la utilización conjunta de medios y servicios públicos, y contribuir a la realización de actividades de utilidad pública.</w:t>
      </w:r>
    </w:p>
    <w:p w14:paraId="77AEC78C" w14:textId="77777777" w:rsidR="00BC5E64" w:rsidRPr="00BC5E64" w:rsidRDefault="00BC5E64" w:rsidP="00BC5E64">
      <w:pPr>
        <w:autoSpaceDE w:val="0"/>
        <w:autoSpaceDN w:val="0"/>
        <w:adjustRightInd w:val="0"/>
        <w:spacing w:after="0" w:line="240" w:lineRule="auto"/>
        <w:jc w:val="both"/>
        <w:rPr>
          <w:rFonts w:ascii="TimesNewRomanPSMT" w:eastAsia="Times New Roman" w:hAnsi="TimesNewRomanPSMT" w:cs="TimesNewRomanPSMT"/>
          <w:lang w:eastAsia="es-ES"/>
        </w:rPr>
      </w:pPr>
    </w:p>
    <w:p w14:paraId="072A4A1D"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r w:rsidRPr="00BC5E64">
        <w:rPr>
          <w:rFonts w:ascii="Times New Roman" w:eastAsia="Times New Roman" w:hAnsi="Times New Roman" w:cs="Times New Roman"/>
          <w:lang w:eastAsia="es-ES"/>
        </w:rPr>
        <w:t xml:space="preserve">Del mismo modo, en el artículo 51 de la Norma Foral 10/2023, de 15 de marzo, de gobierno, organización y régimen jurídico de la Diputación Foral de Álava se dispone que la Diputación Foral podrá suscribir convenios con las demás administraciones públicas. </w:t>
      </w:r>
    </w:p>
    <w:p w14:paraId="7C69DE93"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p>
    <w:p w14:paraId="048C9568" w14:textId="77777777" w:rsidR="00BC5E64" w:rsidRPr="00BC5E64" w:rsidRDefault="00BC5E64" w:rsidP="00BC5E64">
      <w:pPr>
        <w:autoSpaceDE w:val="0"/>
        <w:autoSpaceDN w:val="0"/>
        <w:adjustRightInd w:val="0"/>
        <w:spacing w:after="0" w:line="240" w:lineRule="auto"/>
        <w:jc w:val="both"/>
        <w:rPr>
          <w:rFonts w:ascii="Times New Roman" w:eastAsia="Times New Roman" w:hAnsi="Times New Roman" w:cs="Times New Roman"/>
          <w:lang w:eastAsia="es-ES"/>
        </w:rPr>
      </w:pPr>
      <w:r w:rsidRPr="00BC5E64">
        <w:rPr>
          <w:rFonts w:ascii="TimesNewRomanPSMT" w:eastAsia="Times New Roman" w:hAnsi="TimesNewRomanPSMT" w:cs="TimesNewRomanPSMT"/>
          <w:lang w:eastAsia="es-ES"/>
        </w:rPr>
        <w:t>P</w:t>
      </w:r>
      <w:r w:rsidRPr="00BC5E64">
        <w:rPr>
          <w:rFonts w:ascii="Times New Roman" w:eastAsia="Times New Roman" w:hAnsi="Times New Roman" w:cs="Times New Roman"/>
          <w:lang w:eastAsia="es-ES"/>
        </w:rPr>
        <w:t>or medio de este Convenio, las partes asumen un régimen recíproco de obligaciones para la financiación conjunta de la utilización de un helicóptero para la extinción de incendios que redunde en una mejora de prestaciones hacia la ciudadanía.</w:t>
      </w:r>
    </w:p>
    <w:p w14:paraId="204C6EC1" w14:textId="77777777" w:rsidR="00BC5E64" w:rsidRPr="00BC5E64" w:rsidRDefault="00BC5E64" w:rsidP="00BC5E64">
      <w:pPr>
        <w:spacing w:after="0" w:line="240" w:lineRule="auto"/>
        <w:jc w:val="both"/>
        <w:rPr>
          <w:rFonts w:ascii="Times New Roman" w:eastAsia="Times New Roman" w:hAnsi="Times New Roman" w:cs="Times New Roman"/>
          <w:lang w:eastAsia="es-ES"/>
        </w:rPr>
      </w:pPr>
    </w:p>
    <w:p w14:paraId="19C3721D" w14:textId="0931996A" w:rsidR="00421029" w:rsidRDefault="00421029" w:rsidP="00421029">
      <w:pPr>
        <w:autoSpaceDE w:val="0"/>
        <w:autoSpaceDN w:val="0"/>
        <w:adjustRightInd w:val="0"/>
        <w:spacing w:after="0" w:line="240" w:lineRule="auto"/>
        <w:jc w:val="both"/>
        <w:rPr>
          <w:rFonts w:ascii="Times New Roman" w:eastAsia="Times New Roman" w:hAnsi="Times New Roman" w:cs="Times New Roman"/>
          <w:lang w:eastAsia="es-ES"/>
        </w:rPr>
      </w:pPr>
      <w:r>
        <w:rPr>
          <w:rFonts w:ascii="TimesNewRomanPSMT" w:hAnsi="TimesNewRomanPSMT" w:cs="TimesNewRomanPSMT"/>
        </w:rPr>
        <w:t xml:space="preserve">El Consejo de Gobierno Foral ha aprobado la suscripción del citado Convenio conforme a lo dispuesto en el artículo 6, apartado 2, letra b) de la Norma Foral 10/2023, de 15 de marzo, de gobierno, organización y régimen jurídico de la Diputación Foral de Álava, y conforme al artículo 6.2.b).3. de la Norma Foral de 7 de marzo de 1983 sobre Organización Institucional del Territorio Histórico de Álava, procede la ratificación de dicho Acuerdo por las Juntas Generales de Álava. Asimismo, se ha tramitado según lo establecido en el Decreto Foral 6/2023, del Consejo de </w:t>
      </w:r>
      <w:r>
        <w:rPr>
          <w:rFonts w:ascii="TimesNewRomanPSMT" w:hAnsi="TimesNewRomanPSMT" w:cs="TimesNewRomanPSMT"/>
        </w:rPr>
        <w:lastRenderedPageBreak/>
        <w:t>Gobierno</w:t>
      </w:r>
      <w:r w:rsidR="00426ACE">
        <w:rPr>
          <w:rFonts w:ascii="TimesNewRomanPSMT" w:hAnsi="TimesNewRomanPSMT" w:cs="TimesNewRomanPSMT"/>
        </w:rPr>
        <w:t xml:space="preserve"> </w:t>
      </w:r>
      <w:r>
        <w:rPr>
          <w:rFonts w:ascii="TimesNewRomanPSMT" w:hAnsi="TimesNewRomanPSMT" w:cs="TimesNewRomanPSMT"/>
        </w:rPr>
        <w:t>Foral de 28 de febrero por el que se aprueba el procedimiento de elaboración de disposiciones de carácter general de la Diputación Foral de Álava.</w:t>
      </w:r>
    </w:p>
    <w:p w14:paraId="0F203AAD" w14:textId="77777777" w:rsidR="00421029" w:rsidRDefault="00421029" w:rsidP="00421029">
      <w:pPr>
        <w:autoSpaceDE w:val="0"/>
        <w:autoSpaceDN w:val="0"/>
        <w:adjustRightInd w:val="0"/>
        <w:spacing w:after="0" w:line="240" w:lineRule="auto"/>
        <w:jc w:val="both"/>
        <w:rPr>
          <w:rFonts w:ascii="Times New Roman" w:eastAsia="Times New Roman" w:hAnsi="Times New Roman" w:cs="Times New Roman"/>
          <w:b/>
          <w:bCs/>
          <w:lang w:eastAsia="es-ES"/>
        </w:rPr>
      </w:pPr>
    </w:p>
    <w:p w14:paraId="4BBBECAA" w14:textId="77777777" w:rsidR="003470F2" w:rsidRDefault="003470F2" w:rsidP="00421029">
      <w:pPr>
        <w:autoSpaceDE w:val="0"/>
        <w:autoSpaceDN w:val="0"/>
        <w:adjustRightInd w:val="0"/>
        <w:spacing w:after="0" w:line="240" w:lineRule="auto"/>
        <w:jc w:val="both"/>
        <w:rPr>
          <w:rFonts w:ascii="Times New Roman" w:eastAsia="Times New Roman" w:hAnsi="Times New Roman" w:cs="Times New Roman"/>
          <w:b/>
          <w:bCs/>
          <w:lang w:eastAsia="es-ES"/>
        </w:rPr>
      </w:pPr>
    </w:p>
    <w:p w14:paraId="2B6A5110" w14:textId="77777777" w:rsidR="003470F2" w:rsidRDefault="003470F2" w:rsidP="00421029">
      <w:pPr>
        <w:autoSpaceDE w:val="0"/>
        <w:autoSpaceDN w:val="0"/>
        <w:adjustRightInd w:val="0"/>
        <w:spacing w:after="0" w:line="240" w:lineRule="auto"/>
        <w:jc w:val="both"/>
        <w:rPr>
          <w:rFonts w:ascii="Times New Roman" w:eastAsia="Times New Roman" w:hAnsi="Times New Roman" w:cs="Times New Roman"/>
          <w:b/>
          <w:bCs/>
          <w:lang w:eastAsia="es-ES"/>
        </w:rPr>
      </w:pPr>
    </w:p>
    <w:p w14:paraId="3242B16A" w14:textId="77777777" w:rsidR="003470F2" w:rsidRPr="00ED55D8" w:rsidRDefault="003470F2" w:rsidP="00421029">
      <w:pPr>
        <w:autoSpaceDE w:val="0"/>
        <w:autoSpaceDN w:val="0"/>
        <w:adjustRightInd w:val="0"/>
        <w:spacing w:after="0" w:line="240" w:lineRule="auto"/>
        <w:jc w:val="both"/>
        <w:rPr>
          <w:rFonts w:ascii="Times New Roman" w:eastAsia="Times New Roman" w:hAnsi="Times New Roman" w:cs="Times New Roman"/>
          <w:b/>
          <w:bCs/>
          <w:lang w:eastAsia="es-ES"/>
        </w:rPr>
      </w:pPr>
    </w:p>
    <w:p w14:paraId="23350085" w14:textId="1C2C266E" w:rsidR="00421029" w:rsidRDefault="00ED55D8" w:rsidP="00ED55D8">
      <w:pPr>
        <w:autoSpaceDE w:val="0"/>
        <w:autoSpaceDN w:val="0"/>
        <w:adjustRightInd w:val="0"/>
        <w:spacing w:after="0" w:line="240" w:lineRule="auto"/>
        <w:jc w:val="center"/>
        <w:rPr>
          <w:rFonts w:ascii="Times New Roman" w:eastAsia="Times New Roman" w:hAnsi="Times New Roman" w:cs="Times New Roman"/>
          <w:b/>
          <w:bCs/>
          <w:lang w:eastAsia="es-ES"/>
        </w:rPr>
      </w:pPr>
      <w:r w:rsidRPr="00ED55D8">
        <w:rPr>
          <w:rFonts w:ascii="Times New Roman" w:eastAsia="Times New Roman" w:hAnsi="Times New Roman" w:cs="Times New Roman"/>
          <w:b/>
          <w:bCs/>
          <w:lang w:eastAsia="es-ES"/>
        </w:rPr>
        <w:t>ARTÍCULO ÚNICO</w:t>
      </w:r>
    </w:p>
    <w:p w14:paraId="6592A4A4" w14:textId="77777777" w:rsidR="003470F2" w:rsidRDefault="003470F2" w:rsidP="00ED55D8">
      <w:pPr>
        <w:autoSpaceDE w:val="0"/>
        <w:autoSpaceDN w:val="0"/>
        <w:adjustRightInd w:val="0"/>
        <w:spacing w:after="0" w:line="240" w:lineRule="auto"/>
        <w:jc w:val="center"/>
        <w:rPr>
          <w:rFonts w:ascii="Times New Roman" w:eastAsia="Times New Roman" w:hAnsi="Times New Roman" w:cs="Times New Roman"/>
          <w:b/>
          <w:bCs/>
          <w:lang w:eastAsia="es-ES"/>
        </w:rPr>
      </w:pPr>
    </w:p>
    <w:p w14:paraId="651FF748" w14:textId="77777777" w:rsidR="003470F2" w:rsidRPr="00ED55D8" w:rsidRDefault="003470F2" w:rsidP="00ED55D8">
      <w:pPr>
        <w:autoSpaceDE w:val="0"/>
        <w:autoSpaceDN w:val="0"/>
        <w:adjustRightInd w:val="0"/>
        <w:spacing w:after="0" w:line="240" w:lineRule="auto"/>
        <w:jc w:val="center"/>
        <w:rPr>
          <w:rFonts w:ascii="Times New Roman" w:eastAsia="Times New Roman" w:hAnsi="Times New Roman" w:cs="Times New Roman"/>
          <w:b/>
          <w:bCs/>
          <w:lang w:eastAsia="es-ES"/>
        </w:rPr>
      </w:pPr>
    </w:p>
    <w:p w14:paraId="30668AF5" w14:textId="2FC18627" w:rsidR="00AE1337" w:rsidRDefault="003470F2" w:rsidP="003470F2">
      <w:pPr>
        <w:autoSpaceDE w:val="0"/>
        <w:autoSpaceDN w:val="0"/>
        <w:adjustRightInd w:val="0"/>
        <w:spacing w:after="0" w:line="240" w:lineRule="auto"/>
        <w:jc w:val="both"/>
        <w:rPr>
          <w:rFonts w:ascii="TimesNewRomanPSMT" w:hAnsi="TimesNewRomanPSMT" w:cs="TimesNewRomanPSMT"/>
        </w:rPr>
      </w:pPr>
      <w:r w:rsidRPr="003470F2">
        <w:rPr>
          <w:rFonts w:ascii="TimesNewRomanPSMT" w:hAnsi="TimesNewRomanPSMT" w:cs="TimesNewRomanPSMT"/>
        </w:rPr>
        <w:t>S</w:t>
      </w:r>
      <w:r>
        <w:rPr>
          <w:rFonts w:ascii="TimesNewRomanPSMT" w:hAnsi="TimesNewRomanPSMT" w:cs="TimesNewRomanPSMT"/>
        </w:rPr>
        <w:t>e</w:t>
      </w:r>
      <w:r w:rsidR="00EB376C" w:rsidRPr="003470F2">
        <w:rPr>
          <w:rFonts w:ascii="TimesNewRomanPSMT" w:hAnsi="TimesNewRomanPSMT" w:cs="TimesNewRomanPSMT"/>
        </w:rPr>
        <w:t xml:space="preserve"> </w:t>
      </w:r>
      <w:r w:rsidR="00355223" w:rsidRPr="003470F2">
        <w:rPr>
          <w:rFonts w:ascii="TimesNewRomanPSMT" w:hAnsi="TimesNewRomanPSMT" w:cs="TimesNewRomanPSMT"/>
        </w:rPr>
        <w:t>r</w:t>
      </w:r>
      <w:r w:rsidR="000005E7" w:rsidRPr="003470F2">
        <w:rPr>
          <w:rFonts w:ascii="TimesNewRomanPSMT" w:hAnsi="TimesNewRomanPSMT" w:cs="TimesNewRomanPSMT"/>
        </w:rPr>
        <w:t xml:space="preserve">atifica el </w:t>
      </w:r>
      <w:r w:rsidR="00355223" w:rsidRPr="003470F2">
        <w:rPr>
          <w:rFonts w:ascii="TimesNewRomanPSMT" w:hAnsi="TimesNewRomanPSMT" w:cs="TimesNewRomanPSMT"/>
        </w:rPr>
        <w:t>c</w:t>
      </w:r>
      <w:r w:rsidR="000005E7" w:rsidRPr="003470F2">
        <w:rPr>
          <w:rFonts w:ascii="TimesNewRomanPSMT" w:hAnsi="TimesNewRomanPSMT" w:cs="TimesNewRomanPSMT"/>
        </w:rPr>
        <w:t xml:space="preserve">onvenio </w:t>
      </w:r>
      <w:bookmarkStart w:id="0" w:name="_Hlk151712149"/>
      <w:r w:rsidR="000005E7" w:rsidRPr="003470F2">
        <w:rPr>
          <w:rFonts w:ascii="TimesNewRomanPSMT" w:hAnsi="TimesNewRomanPSMT" w:cs="TimesNewRomanPSMT"/>
        </w:rPr>
        <w:t xml:space="preserve">de </w:t>
      </w:r>
      <w:r w:rsidR="00355223" w:rsidRPr="003470F2">
        <w:rPr>
          <w:rFonts w:ascii="TimesNewRomanPSMT" w:hAnsi="TimesNewRomanPSMT" w:cs="TimesNewRomanPSMT"/>
        </w:rPr>
        <w:t>c</w:t>
      </w:r>
      <w:r w:rsidR="000005E7" w:rsidRPr="003470F2">
        <w:rPr>
          <w:rFonts w:ascii="TimesNewRomanPSMT" w:hAnsi="TimesNewRomanPSMT" w:cs="TimesNewRomanPSMT"/>
        </w:rPr>
        <w:t xml:space="preserve">olaboración </w:t>
      </w:r>
      <w:r>
        <w:rPr>
          <w:rFonts w:ascii="TimesNewRomanPSMT" w:hAnsi="TimesNewRomanPSMT" w:cs="TimesNewRomanPSMT"/>
        </w:rPr>
        <w:t>entre</w:t>
      </w:r>
      <w:r w:rsidR="000005E7" w:rsidRPr="003470F2">
        <w:rPr>
          <w:rFonts w:ascii="TimesNewRomanPSMT" w:hAnsi="TimesNewRomanPSMT" w:cs="TimesNewRomanPSMT"/>
        </w:rPr>
        <w:t xml:space="preserve"> </w:t>
      </w:r>
      <w:bookmarkEnd w:id="0"/>
      <w:r w:rsidR="008C7D5B" w:rsidRPr="003470F2">
        <w:rPr>
          <w:rFonts w:ascii="TimesNewRomanPSMT" w:hAnsi="TimesNewRomanPSMT" w:cs="TimesNewRomanPSMT"/>
        </w:rPr>
        <w:t>la Administración General de la Comunidad Autónoma de Euskadi y las Diputaciones Forales</w:t>
      </w:r>
      <w:r w:rsidR="00F27E7A" w:rsidRPr="003470F2">
        <w:rPr>
          <w:rFonts w:ascii="TimesNewRomanPSMT" w:hAnsi="TimesNewRomanPSMT" w:cs="TimesNewRomanPSMT"/>
        </w:rPr>
        <w:t xml:space="preserve"> de</w:t>
      </w:r>
      <w:r w:rsidR="008C7D5B" w:rsidRPr="003470F2">
        <w:rPr>
          <w:rFonts w:ascii="TimesNewRomanPSMT" w:hAnsi="TimesNewRomanPSMT" w:cs="TimesNewRomanPSMT"/>
        </w:rPr>
        <w:t xml:space="preserve"> </w:t>
      </w:r>
      <w:r>
        <w:rPr>
          <w:rFonts w:ascii="TimesNewRomanPSMT" w:hAnsi="TimesNewRomanPSMT" w:cs="TimesNewRomanPSMT"/>
        </w:rPr>
        <w:t xml:space="preserve">Álava, </w:t>
      </w:r>
      <w:r w:rsidR="008C7D5B" w:rsidRPr="003470F2">
        <w:rPr>
          <w:rFonts w:ascii="TimesNewRomanPSMT" w:hAnsi="TimesNewRomanPSMT" w:cs="TimesNewRomanPSMT"/>
        </w:rPr>
        <w:t>Bizkaia y Gipuzkoa, para la financiación conjunta de la utilización de un helicóptero para la extinción de incendios</w:t>
      </w:r>
      <w:r w:rsidR="000005E7" w:rsidRPr="003470F2">
        <w:rPr>
          <w:rFonts w:ascii="TimesNewRomanPSMT" w:hAnsi="TimesNewRomanPSMT" w:cs="TimesNewRomanPSMT"/>
        </w:rPr>
        <w:t>.</w:t>
      </w:r>
    </w:p>
    <w:p w14:paraId="27B68CA5" w14:textId="77777777" w:rsidR="003470F2" w:rsidRDefault="003470F2" w:rsidP="003470F2">
      <w:pPr>
        <w:autoSpaceDE w:val="0"/>
        <w:autoSpaceDN w:val="0"/>
        <w:adjustRightInd w:val="0"/>
        <w:spacing w:after="0" w:line="240" w:lineRule="auto"/>
        <w:jc w:val="both"/>
        <w:rPr>
          <w:rFonts w:ascii="TimesNewRomanPSMT" w:hAnsi="TimesNewRomanPSMT" w:cs="TimesNewRomanPSMT"/>
        </w:rPr>
      </w:pPr>
    </w:p>
    <w:sectPr w:rsidR="003470F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A580" w14:textId="77777777" w:rsidR="00E85BD3" w:rsidRDefault="00E85BD3" w:rsidP="00917B37">
      <w:pPr>
        <w:spacing w:after="0" w:line="240" w:lineRule="auto"/>
      </w:pPr>
      <w:r>
        <w:separator/>
      </w:r>
    </w:p>
  </w:endnote>
  <w:endnote w:type="continuationSeparator" w:id="0">
    <w:p w14:paraId="4C669BEB" w14:textId="77777777" w:rsidR="00E85BD3" w:rsidRDefault="00E85BD3" w:rsidP="0091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76DD" w14:textId="77777777" w:rsidR="00E85BD3" w:rsidRDefault="00E85BD3" w:rsidP="00917B37">
      <w:pPr>
        <w:spacing w:after="0" w:line="240" w:lineRule="auto"/>
      </w:pPr>
      <w:r>
        <w:separator/>
      </w:r>
    </w:p>
  </w:footnote>
  <w:footnote w:type="continuationSeparator" w:id="0">
    <w:p w14:paraId="6E8E903F" w14:textId="77777777" w:rsidR="00E85BD3" w:rsidRDefault="00E85BD3" w:rsidP="00917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917B37" w14:paraId="39439160" w14:textId="77777777" w:rsidTr="00346324">
      <w:trPr>
        <w:cantSplit/>
        <w:trHeight w:val="338"/>
      </w:trPr>
      <w:tc>
        <w:tcPr>
          <w:tcW w:w="3997" w:type="dxa"/>
          <w:tcBorders>
            <w:bottom w:val="single" w:sz="4" w:space="0" w:color="auto"/>
          </w:tcBorders>
        </w:tcPr>
        <w:p w14:paraId="17F8F9BB" w14:textId="77777777" w:rsidR="00917B37" w:rsidRDefault="00917B37" w:rsidP="00917B37">
          <w:pPr>
            <w:pStyle w:val="Encabezado"/>
          </w:pPr>
        </w:p>
      </w:tc>
      <w:tc>
        <w:tcPr>
          <w:tcW w:w="1361" w:type="dxa"/>
          <w:vMerge w:val="restart"/>
          <w:tcBorders>
            <w:bottom w:val="single" w:sz="4" w:space="0" w:color="auto"/>
          </w:tcBorders>
        </w:tcPr>
        <w:p w14:paraId="4591439D" w14:textId="35C48D27" w:rsidR="00917B37" w:rsidRDefault="00917B37" w:rsidP="00917B37">
          <w:pPr>
            <w:pStyle w:val="Encabezado"/>
            <w:jc w:val="center"/>
          </w:pPr>
          <w:r>
            <w:rPr>
              <w:noProof/>
            </w:rPr>
            <w:drawing>
              <wp:inline distT="0" distB="0" distL="0" distR="0" wp14:anchorId="5D3D692E" wp14:editId="652ACB42">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bottom w:val="single" w:sz="4" w:space="0" w:color="auto"/>
          </w:tcBorders>
        </w:tcPr>
        <w:p w14:paraId="70DBBF37" w14:textId="77777777" w:rsidR="00917B37" w:rsidRDefault="00917B37" w:rsidP="00917B37">
          <w:pPr>
            <w:pStyle w:val="Encabezado"/>
          </w:pPr>
        </w:p>
      </w:tc>
    </w:tr>
    <w:tr w:rsidR="00917B37" w14:paraId="45390BF4" w14:textId="77777777" w:rsidTr="00346324">
      <w:trPr>
        <w:cantSplit/>
        <w:trHeight w:val="337"/>
      </w:trPr>
      <w:tc>
        <w:tcPr>
          <w:tcW w:w="3997" w:type="dxa"/>
          <w:tcBorders>
            <w:top w:val="single" w:sz="4" w:space="0" w:color="auto"/>
          </w:tcBorders>
        </w:tcPr>
        <w:p w14:paraId="702CD508" w14:textId="77777777" w:rsidR="00917B37" w:rsidRDefault="00917B37" w:rsidP="00917B37">
          <w:pPr>
            <w:pStyle w:val="Encabezado"/>
          </w:pPr>
        </w:p>
      </w:tc>
      <w:tc>
        <w:tcPr>
          <w:tcW w:w="1361" w:type="dxa"/>
          <w:vMerge/>
          <w:tcBorders>
            <w:top w:val="single" w:sz="4" w:space="0" w:color="auto"/>
          </w:tcBorders>
        </w:tcPr>
        <w:p w14:paraId="02F586DA" w14:textId="77777777" w:rsidR="00917B37" w:rsidRDefault="00917B37" w:rsidP="00917B37">
          <w:pPr>
            <w:pStyle w:val="Encabezado"/>
            <w:jc w:val="center"/>
          </w:pPr>
        </w:p>
      </w:tc>
      <w:tc>
        <w:tcPr>
          <w:tcW w:w="3997" w:type="dxa"/>
          <w:tcBorders>
            <w:top w:val="single" w:sz="4" w:space="0" w:color="auto"/>
          </w:tcBorders>
        </w:tcPr>
        <w:p w14:paraId="2042FEE3" w14:textId="77777777" w:rsidR="00917B37" w:rsidRDefault="00917B37" w:rsidP="00917B37">
          <w:pPr>
            <w:pStyle w:val="Encabezado"/>
          </w:pPr>
        </w:p>
      </w:tc>
    </w:tr>
  </w:tbl>
  <w:p w14:paraId="388C770B" w14:textId="77777777" w:rsidR="00917B37" w:rsidRDefault="00917B37" w:rsidP="00917B37">
    <w:pPr>
      <w:pStyle w:val="Encabezado"/>
    </w:pPr>
  </w:p>
  <w:p w14:paraId="7FBFADF2" w14:textId="77777777" w:rsidR="00917B37" w:rsidRDefault="00917B37" w:rsidP="00917B37">
    <w:pPr>
      <w:pStyle w:val="Encabezado"/>
    </w:pPr>
  </w:p>
  <w:p w14:paraId="7E97A757" w14:textId="77777777" w:rsidR="00917B37" w:rsidRDefault="00917B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7"/>
    <w:rsid w:val="000005E7"/>
    <w:rsid w:val="000D7F89"/>
    <w:rsid w:val="000F2351"/>
    <w:rsid w:val="00314CA8"/>
    <w:rsid w:val="003470F2"/>
    <w:rsid w:val="00355223"/>
    <w:rsid w:val="00421029"/>
    <w:rsid w:val="00426ACE"/>
    <w:rsid w:val="00740958"/>
    <w:rsid w:val="008613B8"/>
    <w:rsid w:val="008C7D5B"/>
    <w:rsid w:val="00917B37"/>
    <w:rsid w:val="00AD2589"/>
    <w:rsid w:val="00AE1337"/>
    <w:rsid w:val="00B00BAD"/>
    <w:rsid w:val="00BC5E64"/>
    <w:rsid w:val="00C333E7"/>
    <w:rsid w:val="00CC6459"/>
    <w:rsid w:val="00D70257"/>
    <w:rsid w:val="00DA5ECE"/>
    <w:rsid w:val="00E85BD3"/>
    <w:rsid w:val="00E93D91"/>
    <w:rsid w:val="00EB376C"/>
    <w:rsid w:val="00ED55D8"/>
    <w:rsid w:val="00F0536C"/>
    <w:rsid w:val="00F27E7A"/>
    <w:rsid w:val="00FC2F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8E5D"/>
  <w15:chartTrackingRefBased/>
  <w15:docId w15:val="{21DAF588-2C6E-4C6C-BD78-7A044780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917B37"/>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917B37"/>
  </w:style>
  <w:style w:type="paragraph" w:styleId="Piedepgina">
    <w:name w:val="footer"/>
    <w:basedOn w:val="Normal"/>
    <w:link w:val="PiedepginaCar"/>
    <w:uiPriority w:val="99"/>
    <w:unhideWhenUsed/>
    <w:rsid w:val="00917B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B37"/>
  </w:style>
  <w:style w:type="paragraph" w:customStyle="1" w:styleId="Default">
    <w:name w:val="Default"/>
    <w:rsid w:val="00AD258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EB376C"/>
    <w:rPr>
      <w:sz w:val="16"/>
      <w:szCs w:val="16"/>
    </w:rPr>
  </w:style>
  <w:style w:type="paragraph" w:styleId="Textocomentario">
    <w:name w:val="annotation text"/>
    <w:basedOn w:val="Normal"/>
    <w:link w:val="TextocomentarioCar"/>
    <w:uiPriority w:val="99"/>
    <w:unhideWhenUsed/>
    <w:rsid w:val="00EB376C"/>
    <w:pPr>
      <w:spacing w:line="240" w:lineRule="auto"/>
    </w:pPr>
    <w:rPr>
      <w:sz w:val="20"/>
      <w:szCs w:val="20"/>
    </w:rPr>
  </w:style>
  <w:style w:type="character" w:customStyle="1" w:styleId="TextocomentarioCar">
    <w:name w:val="Texto comentario Car"/>
    <w:basedOn w:val="Fuentedeprrafopredeter"/>
    <w:link w:val="Textocomentario"/>
    <w:uiPriority w:val="99"/>
    <w:rsid w:val="00EB376C"/>
    <w:rPr>
      <w:sz w:val="20"/>
      <w:szCs w:val="20"/>
    </w:rPr>
  </w:style>
  <w:style w:type="paragraph" w:styleId="Asuntodelcomentario">
    <w:name w:val="annotation subject"/>
    <w:basedOn w:val="Textocomentario"/>
    <w:next w:val="Textocomentario"/>
    <w:link w:val="AsuntodelcomentarioCar"/>
    <w:uiPriority w:val="99"/>
    <w:semiHidden/>
    <w:unhideWhenUsed/>
    <w:rsid w:val="00EB376C"/>
    <w:rPr>
      <w:b/>
      <w:bCs/>
    </w:rPr>
  </w:style>
  <w:style w:type="character" w:customStyle="1" w:styleId="AsuntodelcomentarioCar">
    <w:name w:val="Asunto del comentario Car"/>
    <w:basedOn w:val="TextocomentarioCar"/>
    <w:link w:val="Asuntodelcomentario"/>
    <w:uiPriority w:val="99"/>
    <w:semiHidden/>
    <w:rsid w:val="00EB37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Alangua Durán, Talia</dc:creator>
  <cp:keywords/>
  <dc:description/>
  <cp:lastModifiedBy>Puente Rodriguez, Monica</cp:lastModifiedBy>
  <cp:revision>5</cp:revision>
  <dcterms:created xsi:type="dcterms:W3CDTF">2024-06-20T13:20:00Z</dcterms:created>
  <dcterms:modified xsi:type="dcterms:W3CDTF">2024-06-21T07:16:00Z</dcterms:modified>
</cp:coreProperties>
</file>