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4" w:type="dxa"/>
          <w:right w:w="4" w:type="dxa"/>
        </w:tblCellMar>
        <w:tblLook w:val="0000" w:firstRow="0" w:lastRow="0" w:firstColumn="0" w:lastColumn="0" w:noHBand="0" w:noVBand="0"/>
      </w:tblPr>
      <w:tblGrid>
        <w:gridCol w:w="4395"/>
        <w:gridCol w:w="194"/>
        <w:gridCol w:w="4484"/>
        <w:gridCol w:w="11"/>
      </w:tblGrid>
      <w:tr w:rsidR="00012E0E" w14:paraId="08A922A5" w14:textId="77777777" w:rsidTr="00BB431C">
        <w:trPr>
          <w:trHeight w:val="170"/>
          <w:jc w:val="center"/>
        </w:trPr>
        <w:tc>
          <w:tcPr>
            <w:tcW w:w="4395" w:type="dxa"/>
            <w:shd w:val="clear" w:color="C0C0C0" w:fill="FFFFFF"/>
          </w:tcPr>
          <w:p w14:paraId="3F7E1D00" w14:textId="77777777" w:rsidR="00012E0E" w:rsidRDefault="00012E0E" w:rsidP="006B3827">
            <w:pPr>
              <w:tabs>
                <w:tab w:val="left" w:pos="426"/>
              </w:tabs>
              <w:ind w:right="74"/>
              <w:jc w:val="center"/>
              <w:rPr>
                <w:b/>
                <w:color w:val="000000"/>
                <w:sz w:val="22"/>
              </w:rPr>
            </w:pPr>
          </w:p>
        </w:tc>
        <w:tc>
          <w:tcPr>
            <w:tcW w:w="194" w:type="dxa"/>
            <w:tcBorders>
              <w:left w:val="nil"/>
            </w:tcBorders>
          </w:tcPr>
          <w:p w14:paraId="642B6F33" w14:textId="77777777" w:rsidR="00012E0E" w:rsidRDefault="00012E0E" w:rsidP="006B3827">
            <w:pPr>
              <w:tabs>
                <w:tab w:val="left" w:pos="426"/>
              </w:tabs>
              <w:ind w:left="215" w:right="74"/>
              <w:rPr>
                <w:b/>
                <w:sz w:val="22"/>
                <w:u w:val="single"/>
              </w:rPr>
            </w:pPr>
          </w:p>
        </w:tc>
        <w:tc>
          <w:tcPr>
            <w:tcW w:w="4495" w:type="dxa"/>
            <w:gridSpan w:val="2"/>
            <w:shd w:val="clear" w:color="C0C0C0" w:fill="auto"/>
          </w:tcPr>
          <w:p w14:paraId="7155EE70" w14:textId="77777777" w:rsidR="00012E0E" w:rsidRDefault="00012E0E" w:rsidP="006B3827">
            <w:pPr>
              <w:ind w:right="74"/>
              <w:jc w:val="center"/>
              <w:rPr>
                <w:b/>
                <w:color w:val="000000"/>
                <w:sz w:val="22"/>
              </w:rPr>
            </w:pPr>
          </w:p>
        </w:tc>
      </w:tr>
      <w:tr w:rsidR="00012E0E" w14:paraId="3D09D922" w14:textId="77777777" w:rsidTr="00BB431C">
        <w:trPr>
          <w:jc w:val="center"/>
        </w:trPr>
        <w:tc>
          <w:tcPr>
            <w:tcW w:w="4395" w:type="dxa"/>
            <w:tcBorders>
              <w:top w:val="double" w:sz="4" w:space="0" w:color="auto"/>
              <w:bottom w:val="double" w:sz="4" w:space="0" w:color="auto"/>
            </w:tcBorders>
            <w:shd w:val="clear" w:color="C0C0C0" w:fill="FFFFFF"/>
          </w:tcPr>
          <w:p w14:paraId="5BA2D368" w14:textId="0E2F0925" w:rsidR="00012E0E" w:rsidRPr="007B3283" w:rsidRDefault="00FD08B7" w:rsidP="007C6D73">
            <w:pPr>
              <w:tabs>
                <w:tab w:val="left" w:pos="426"/>
              </w:tabs>
              <w:spacing w:before="400" w:after="400"/>
              <w:ind w:right="74"/>
              <w:jc w:val="center"/>
              <w:rPr>
                <w:rFonts w:ascii="Calibri" w:hAnsi="Calibri" w:cs="Calibri"/>
                <w:b/>
                <w:sz w:val="28"/>
                <w:szCs w:val="28"/>
              </w:rPr>
            </w:pPr>
            <w:r w:rsidRPr="00FD08B7">
              <w:rPr>
                <w:rFonts w:ascii="Calibri" w:hAnsi="Calibri" w:cs="Calibri"/>
                <w:b/>
                <w:color w:val="000000"/>
                <w:sz w:val="28"/>
                <w:szCs w:val="28"/>
              </w:rPr>
              <w:t>ARABAKO LURRALDE HISTORIKOAREN 2023ko EKITALDIKO KONTU OROKORRA ONARTZEKO FORU ARAUAREN PROIEKTUA</w:t>
            </w:r>
          </w:p>
        </w:tc>
        <w:tc>
          <w:tcPr>
            <w:tcW w:w="194" w:type="dxa"/>
            <w:tcBorders>
              <w:top w:val="double" w:sz="4" w:space="0" w:color="auto"/>
              <w:left w:val="nil"/>
              <w:bottom w:val="double" w:sz="4" w:space="0" w:color="auto"/>
            </w:tcBorders>
          </w:tcPr>
          <w:p w14:paraId="109510DB" w14:textId="77777777" w:rsidR="00012E0E" w:rsidRPr="007B3283" w:rsidRDefault="00012E0E" w:rsidP="006A1795">
            <w:pPr>
              <w:tabs>
                <w:tab w:val="left" w:pos="426"/>
              </w:tabs>
              <w:spacing w:before="60" w:after="60"/>
              <w:ind w:left="215" w:right="74"/>
              <w:rPr>
                <w:rFonts w:ascii="Calibri" w:hAnsi="Calibri" w:cs="Calibri"/>
                <w:b/>
                <w:sz w:val="28"/>
                <w:szCs w:val="28"/>
                <w:u w:val="single"/>
              </w:rPr>
            </w:pPr>
          </w:p>
        </w:tc>
        <w:tc>
          <w:tcPr>
            <w:tcW w:w="4495" w:type="dxa"/>
            <w:gridSpan w:val="2"/>
            <w:tcBorders>
              <w:top w:val="double" w:sz="4" w:space="0" w:color="auto"/>
              <w:bottom w:val="double" w:sz="4" w:space="0" w:color="auto"/>
            </w:tcBorders>
            <w:shd w:val="clear" w:color="C0C0C0" w:fill="auto"/>
          </w:tcPr>
          <w:p w14:paraId="41B44D64" w14:textId="0AEC5E60" w:rsidR="00012E0E" w:rsidRPr="007B3283" w:rsidRDefault="00012E0E" w:rsidP="007C6D73">
            <w:pPr>
              <w:spacing w:before="360" w:after="360"/>
              <w:ind w:right="74"/>
              <w:jc w:val="center"/>
              <w:rPr>
                <w:rFonts w:ascii="Calibri" w:hAnsi="Calibri" w:cs="Calibri"/>
                <w:b/>
                <w:sz w:val="28"/>
                <w:szCs w:val="28"/>
                <w:u w:val="single"/>
              </w:rPr>
            </w:pPr>
            <w:r w:rsidRPr="007B3283">
              <w:rPr>
                <w:rFonts w:ascii="Calibri" w:hAnsi="Calibri" w:cs="Calibri"/>
                <w:b/>
                <w:color w:val="000000"/>
                <w:sz w:val="28"/>
                <w:szCs w:val="28"/>
              </w:rPr>
              <w:t>PROYECTO DE NORMA FORAL DE APROBACIÓN DE LA CUENTA GENERAL DEL TERRITORIO HISTÓRICO DE ÁLAVA CORRESPONDIENTE AL EJERCICIO 20</w:t>
            </w:r>
            <w:r w:rsidR="00B342AF">
              <w:rPr>
                <w:rFonts w:ascii="Calibri" w:hAnsi="Calibri" w:cs="Calibri"/>
                <w:b/>
                <w:color w:val="000000"/>
                <w:sz w:val="28"/>
                <w:szCs w:val="28"/>
              </w:rPr>
              <w:t>2</w:t>
            </w:r>
            <w:r w:rsidR="00AE2AC4">
              <w:rPr>
                <w:rFonts w:ascii="Calibri" w:hAnsi="Calibri" w:cs="Calibri"/>
                <w:b/>
                <w:color w:val="000000"/>
                <w:sz w:val="28"/>
                <w:szCs w:val="28"/>
              </w:rPr>
              <w:t>3</w:t>
            </w:r>
          </w:p>
        </w:tc>
      </w:tr>
      <w:tr w:rsidR="00012E0E" w14:paraId="255B5DCF" w14:textId="77777777" w:rsidTr="00BB431C">
        <w:tblPrEx>
          <w:tblCellMar>
            <w:left w:w="142" w:type="dxa"/>
            <w:right w:w="142" w:type="dxa"/>
          </w:tblCellMar>
        </w:tblPrEx>
        <w:trPr>
          <w:gridAfter w:val="1"/>
          <w:wAfter w:w="11" w:type="dxa"/>
          <w:jc w:val="center"/>
        </w:trPr>
        <w:tc>
          <w:tcPr>
            <w:tcW w:w="4395" w:type="dxa"/>
          </w:tcPr>
          <w:p w14:paraId="3DDBC518" w14:textId="77777777" w:rsidR="00012E0E" w:rsidRDefault="00012E0E" w:rsidP="003E276C">
            <w:pPr>
              <w:jc w:val="both"/>
              <w:rPr>
                <w:snapToGrid w:val="0"/>
                <w:sz w:val="22"/>
                <w:lang w:val="es-ES"/>
              </w:rPr>
            </w:pPr>
          </w:p>
          <w:p w14:paraId="3324F818" w14:textId="77777777" w:rsidR="00012E0E" w:rsidRDefault="00012E0E" w:rsidP="003E276C">
            <w:pPr>
              <w:jc w:val="both"/>
              <w:rPr>
                <w:snapToGrid w:val="0"/>
                <w:sz w:val="22"/>
                <w:lang w:val="es-ES"/>
              </w:rPr>
            </w:pPr>
          </w:p>
          <w:p w14:paraId="2C4E8A69" w14:textId="77777777" w:rsidR="00012E0E" w:rsidRDefault="00012E0E" w:rsidP="003E276C">
            <w:pPr>
              <w:jc w:val="both"/>
              <w:rPr>
                <w:snapToGrid w:val="0"/>
                <w:sz w:val="22"/>
                <w:lang w:val="es-ES"/>
              </w:rPr>
            </w:pPr>
          </w:p>
          <w:p w14:paraId="5C20A1E1" w14:textId="77777777" w:rsidR="00012E0E" w:rsidRDefault="00012E0E" w:rsidP="003E276C">
            <w:pPr>
              <w:jc w:val="both"/>
              <w:rPr>
                <w:snapToGrid w:val="0"/>
                <w:sz w:val="22"/>
                <w:lang w:val="es-ES"/>
              </w:rPr>
            </w:pPr>
          </w:p>
          <w:p w14:paraId="6AEF165E" w14:textId="77777777" w:rsidR="00012E0E" w:rsidRPr="007B3283" w:rsidRDefault="00012E0E" w:rsidP="003E276C">
            <w:pPr>
              <w:jc w:val="both"/>
              <w:rPr>
                <w:rFonts w:ascii="Calibri" w:hAnsi="Calibri" w:cs="Calibri"/>
                <w:b/>
                <w:snapToGrid w:val="0"/>
                <w:sz w:val="24"/>
                <w:szCs w:val="24"/>
                <w:u w:val="single"/>
                <w:lang w:val="es-ES"/>
              </w:rPr>
            </w:pPr>
            <w:r w:rsidRPr="007B3283">
              <w:rPr>
                <w:rFonts w:ascii="Calibri" w:hAnsi="Calibri" w:cs="Calibri"/>
                <w:b/>
                <w:snapToGrid w:val="0"/>
                <w:sz w:val="24"/>
                <w:szCs w:val="24"/>
                <w:u w:val="single"/>
              </w:rPr>
              <w:t>ZIOEN ADIERAZPENA</w:t>
            </w:r>
          </w:p>
          <w:p w14:paraId="713A07FC" w14:textId="77777777" w:rsidR="00012E0E" w:rsidRPr="007B3283" w:rsidRDefault="00012E0E" w:rsidP="003E276C">
            <w:pPr>
              <w:jc w:val="both"/>
              <w:rPr>
                <w:rFonts w:ascii="Calibri" w:hAnsi="Calibri" w:cs="Calibri"/>
                <w:snapToGrid w:val="0"/>
                <w:sz w:val="24"/>
                <w:szCs w:val="24"/>
                <w:lang w:val="es-ES"/>
              </w:rPr>
            </w:pPr>
          </w:p>
          <w:p w14:paraId="5A5147DB" w14:textId="77777777" w:rsidR="00012E0E" w:rsidRPr="007B3283" w:rsidRDefault="00012E0E" w:rsidP="003E276C">
            <w:pPr>
              <w:jc w:val="both"/>
              <w:rPr>
                <w:rFonts w:ascii="Calibri" w:hAnsi="Calibri" w:cs="Calibri"/>
                <w:snapToGrid w:val="0"/>
                <w:sz w:val="24"/>
                <w:szCs w:val="24"/>
                <w:lang w:val="es-ES"/>
              </w:rPr>
            </w:pPr>
          </w:p>
          <w:p w14:paraId="7B3E7964" w14:textId="77777777" w:rsidR="00012E0E" w:rsidRPr="007B3283" w:rsidRDefault="00012E0E" w:rsidP="003E276C">
            <w:pPr>
              <w:jc w:val="both"/>
              <w:rPr>
                <w:rFonts w:ascii="Calibri" w:hAnsi="Calibri" w:cs="Calibri"/>
                <w:snapToGrid w:val="0"/>
                <w:sz w:val="24"/>
                <w:szCs w:val="24"/>
                <w:lang w:val="es-ES"/>
              </w:rPr>
            </w:pPr>
          </w:p>
          <w:p w14:paraId="46635CBC" w14:textId="05326717" w:rsidR="00012E0E" w:rsidRPr="00012E0E" w:rsidRDefault="00FD08B7" w:rsidP="00901C7D">
            <w:pPr>
              <w:rPr>
                <w:rFonts w:ascii="Calibri" w:hAnsi="Calibri" w:cs="Calibri"/>
                <w:snapToGrid w:val="0"/>
                <w:sz w:val="24"/>
                <w:szCs w:val="24"/>
              </w:rPr>
            </w:pPr>
            <w:r w:rsidRPr="00FD08B7">
              <w:rPr>
                <w:rFonts w:ascii="Calibri" w:hAnsi="Calibri" w:cs="Calibri"/>
                <w:snapToGrid w:val="0"/>
                <w:sz w:val="24"/>
                <w:szCs w:val="24"/>
              </w:rPr>
              <w:t>Foru Gobernuaren Kontseiluak 2023ko ekitaldiari dagokion Arabako Lurralde Historikoaren Likidazio Kontu Orokorra onartu ondoren, Arabako Lurralde Historikoaren Kontuaren espedientea egin da, eta Arabako Batzar Nagusiei dagokie onartzea, Aurrekontuei buruzko urtarrilaren 25eko 3/2023 Foru Arau Orokorraren 115. artikuluan aurreikusitakoarekin bat etorriz.</w:t>
            </w:r>
          </w:p>
          <w:p w14:paraId="6CE98371" w14:textId="77777777" w:rsidR="00012E0E" w:rsidRDefault="00012E0E" w:rsidP="003E276C">
            <w:pPr>
              <w:jc w:val="both"/>
              <w:rPr>
                <w:rFonts w:ascii="Calibri" w:hAnsi="Calibri" w:cs="Calibri"/>
                <w:snapToGrid w:val="0"/>
                <w:sz w:val="24"/>
                <w:szCs w:val="24"/>
              </w:rPr>
            </w:pPr>
          </w:p>
          <w:p w14:paraId="57EA0CB6" w14:textId="77777777" w:rsidR="003E276C" w:rsidRPr="00012E0E" w:rsidRDefault="003E276C" w:rsidP="003E276C">
            <w:pPr>
              <w:jc w:val="both"/>
              <w:rPr>
                <w:rFonts w:ascii="Calibri" w:hAnsi="Calibri" w:cs="Calibri"/>
                <w:snapToGrid w:val="0"/>
                <w:sz w:val="24"/>
                <w:szCs w:val="24"/>
              </w:rPr>
            </w:pPr>
          </w:p>
          <w:p w14:paraId="55647C83" w14:textId="77777777" w:rsidR="00012E0E" w:rsidRPr="00012E0E" w:rsidRDefault="00012E0E" w:rsidP="003E276C">
            <w:pPr>
              <w:jc w:val="both"/>
              <w:rPr>
                <w:rFonts w:ascii="Calibri" w:hAnsi="Calibri" w:cs="Calibri"/>
                <w:snapToGrid w:val="0"/>
                <w:sz w:val="24"/>
                <w:szCs w:val="24"/>
              </w:rPr>
            </w:pPr>
          </w:p>
          <w:p w14:paraId="08A00CFF" w14:textId="64D61C29" w:rsidR="00012E0E" w:rsidRPr="007B3283" w:rsidRDefault="00012E0E" w:rsidP="00901C7D">
            <w:pPr>
              <w:rPr>
                <w:rFonts w:ascii="Calibri" w:hAnsi="Calibri" w:cs="Calibri"/>
                <w:sz w:val="24"/>
                <w:szCs w:val="24"/>
              </w:rPr>
            </w:pPr>
            <w:r w:rsidRPr="00012E0E">
              <w:rPr>
                <w:rFonts w:ascii="Calibri" w:hAnsi="Calibri" w:cs="Calibri"/>
                <w:b/>
                <w:snapToGrid w:val="0"/>
                <w:sz w:val="24"/>
                <w:szCs w:val="24"/>
                <w:u w:val="single"/>
              </w:rPr>
              <w:t>ARTIKULU BAKARRA</w:t>
            </w:r>
            <w:r w:rsidRPr="00012E0E">
              <w:rPr>
                <w:rFonts w:ascii="Calibri" w:hAnsi="Calibri" w:cs="Calibri"/>
                <w:snapToGrid w:val="0"/>
                <w:sz w:val="24"/>
                <w:szCs w:val="24"/>
              </w:rPr>
              <w:t xml:space="preserve">.- </w:t>
            </w:r>
            <w:r w:rsidR="00FD08B7" w:rsidRPr="00FD08B7">
              <w:rPr>
                <w:rFonts w:ascii="Calibri" w:hAnsi="Calibri" w:cs="Calibri"/>
                <w:snapToGrid w:val="0"/>
                <w:sz w:val="24"/>
                <w:szCs w:val="24"/>
              </w:rPr>
              <w:t>Arabako Lurralde Historikoaren 2023ko ekitaldi ekonomikorako Kontu Orokorra onartu da.</w:t>
            </w:r>
          </w:p>
          <w:p w14:paraId="7F1F5266" w14:textId="77777777" w:rsidR="00012E0E" w:rsidRDefault="00012E0E" w:rsidP="003E276C">
            <w:pPr>
              <w:ind w:left="214" w:right="141" w:firstLine="284"/>
              <w:jc w:val="both"/>
              <w:rPr>
                <w:sz w:val="22"/>
              </w:rPr>
            </w:pPr>
          </w:p>
        </w:tc>
        <w:tc>
          <w:tcPr>
            <w:tcW w:w="4678" w:type="dxa"/>
            <w:gridSpan w:val="2"/>
            <w:tcBorders>
              <w:top w:val="double" w:sz="4" w:space="0" w:color="auto"/>
            </w:tcBorders>
          </w:tcPr>
          <w:p w14:paraId="6FA902FF" w14:textId="77777777" w:rsidR="00012E0E" w:rsidRPr="00012E0E" w:rsidRDefault="00012E0E" w:rsidP="003E276C">
            <w:pPr>
              <w:jc w:val="both"/>
              <w:rPr>
                <w:snapToGrid w:val="0"/>
                <w:sz w:val="22"/>
              </w:rPr>
            </w:pPr>
          </w:p>
          <w:p w14:paraId="41E4D8DD" w14:textId="77777777" w:rsidR="00012E0E" w:rsidRPr="00012E0E" w:rsidRDefault="00012E0E" w:rsidP="003E276C">
            <w:pPr>
              <w:jc w:val="both"/>
              <w:rPr>
                <w:snapToGrid w:val="0"/>
                <w:sz w:val="22"/>
              </w:rPr>
            </w:pPr>
          </w:p>
          <w:p w14:paraId="0360633E" w14:textId="77777777" w:rsidR="00012E0E" w:rsidRPr="00012E0E" w:rsidRDefault="00012E0E" w:rsidP="003E276C">
            <w:pPr>
              <w:jc w:val="both"/>
              <w:rPr>
                <w:snapToGrid w:val="0"/>
                <w:sz w:val="22"/>
              </w:rPr>
            </w:pPr>
          </w:p>
          <w:p w14:paraId="23CBE38B" w14:textId="77777777" w:rsidR="00012E0E" w:rsidRPr="00012E0E" w:rsidRDefault="00012E0E" w:rsidP="003E276C">
            <w:pPr>
              <w:jc w:val="both"/>
              <w:rPr>
                <w:snapToGrid w:val="0"/>
                <w:sz w:val="22"/>
              </w:rPr>
            </w:pPr>
          </w:p>
          <w:p w14:paraId="5FE510CE" w14:textId="77777777" w:rsidR="00012E0E" w:rsidRPr="007B3283" w:rsidRDefault="00012E0E" w:rsidP="003E276C">
            <w:pPr>
              <w:jc w:val="both"/>
              <w:rPr>
                <w:rFonts w:ascii="Calibri" w:hAnsi="Calibri" w:cs="Calibri"/>
                <w:b/>
                <w:snapToGrid w:val="0"/>
                <w:sz w:val="24"/>
                <w:szCs w:val="24"/>
                <w:u w:val="single"/>
                <w:lang w:val="es-ES"/>
              </w:rPr>
            </w:pPr>
            <w:r w:rsidRPr="007B3283">
              <w:rPr>
                <w:rFonts w:ascii="Calibri" w:hAnsi="Calibri" w:cs="Calibri"/>
                <w:b/>
                <w:snapToGrid w:val="0"/>
                <w:sz w:val="24"/>
                <w:szCs w:val="24"/>
                <w:u w:val="single"/>
              </w:rPr>
              <w:t>EXPOSICIÓN DE MOTIVOS</w:t>
            </w:r>
          </w:p>
          <w:p w14:paraId="71C28959" w14:textId="77777777" w:rsidR="00012E0E" w:rsidRPr="007B3283" w:rsidRDefault="00012E0E" w:rsidP="003E276C">
            <w:pPr>
              <w:jc w:val="both"/>
              <w:rPr>
                <w:rFonts w:ascii="Calibri" w:hAnsi="Calibri" w:cs="Calibri"/>
                <w:snapToGrid w:val="0"/>
                <w:sz w:val="24"/>
                <w:szCs w:val="24"/>
                <w:lang w:val="es-ES"/>
              </w:rPr>
            </w:pPr>
          </w:p>
          <w:p w14:paraId="4F1C055B" w14:textId="77777777" w:rsidR="00012E0E" w:rsidRPr="007B3283" w:rsidRDefault="00012E0E" w:rsidP="003E276C">
            <w:pPr>
              <w:jc w:val="both"/>
              <w:rPr>
                <w:rFonts w:ascii="Calibri" w:hAnsi="Calibri" w:cs="Calibri"/>
                <w:snapToGrid w:val="0"/>
                <w:sz w:val="24"/>
                <w:szCs w:val="24"/>
                <w:lang w:val="es-ES"/>
              </w:rPr>
            </w:pPr>
          </w:p>
          <w:p w14:paraId="01064ECD" w14:textId="77777777" w:rsidR="00012E0E" w:rsidRPr="007B3283" w:rsidRDefault="00012E0E" w:rsidP="003E276C">
            <w:pPr>
              <w:jc w:val="both"/>
              <w:rPr>
                <w:rFonts w:ascii="Calibri" w:hAnsi="Calibri" w:cs="Calibri"/>
                <w:snapToGrid w:val="0"/>
                <w:sz w:val="24"/>
                <w:szCs w:val="24"/>
                <w:lang w:val="es-ES"/>
              </w:rPr>
            </w:pPr>
          </w:p>
          <w:p w14:paraId="6A09C0AC" w14:textId="139AC504" w:rsidR="00012E0E" w:rsidRPr="00FD08B7" w:rsidRDefault="00012E0E" w:rsidP="00901C7D">
            <w:pPr>
              <w:rPr>
                <w:rFonts w:ascii="Calibri" w:hAnsi="Calibri" w:cs="Calibri"/>
                <w:snapToGrid w:val="0"/>
                <w:sz w:val="24"/>
                <w:szCs w:val="24"/>
                <w:lang w:val="es-ES"/>
              </w:rPr>
            </w:pPr>
            <w:r w:rsidRPr="007B3283">
              <w:rPr>
                <w:rFonts w:ascii="Calibri" w:hAnsi="Calibri" w:cs="Calibri"/>
                <w:snapToGrid w:val="0"/>
                <w:sz w:val="24"/>
                <w:szCs w:val="24"/>
                <w:lang w:val="es-ES"/>
              </w:rPr>
              <w:t>Una vez aprobada por el Consejo de Gobierno Foral la Cuenta General de Liquidación del Territorio Histórico de Álava, correspondiente al ejercicio de 20</w:t>
            </w:r>
            <w:r w:rsidR="00B342AF">
              <w:rPr>
                <w:rFonts w:ascii="Calibri" w:hAnsi="Calibri" w:cs="Calibri"/>
                <w:snapToGrid w:val="0"/>
                <w:sz w:val="24"/>
                <w:szCs w:val="24"/>
                <w:lang w:val="es-ES"/>
              </w:rPr>
              <w:t>2</w:t>
            </w:r>
            <w:r w:rsidR="00AE2AC4">
              <w:rPr>
                <w:rFonts w:ascii="Calibri" w:hAnsi="Calibri" w:cs="Calibri"/>
                <w:snapToGrid w:val="0"/>
                <w:sz w:val="24"/>
                <w:szCs w:val="24"/>
                <w:lang w:val="es-ES"/>
              </w:rPr>
              <w:t>3</w:t>
            </w:r>
            <w:r w:rsidRPr="007B3283">
              <w:rPr>
                <w:rFonts w:ascii="Calibri" w:hAnsi="Calibri" w:cs="Calibri"/>
                <w:snapToGrid w:val="0"/>
                <w:sz w:val="24"/>
                <w:szCs w:val="24"/>
                <w:lang w:val="es-ES"/>
              </w:rPr>
              <w:t xml:space="preserve">, queda confeccionado el expediente de la Cuenta del Territorio Histórico de Álava, correspondiendo su aprobación a las Juntas Generales de Álava, de conformidad con lo previsto en el </w:t>
            </w:r>
            <w:r w:rsidRPr="00FD08B7">
              <w:rPr>
                <w:rFonts w:ascii="Calibri" w:hAnsi="Calibri" w:cs="Calibri"/>
                <w:snapToGrid w:val="0"/>
                <w:sz w:val="24"/>
                <w:szCs w:val="24"/>
                <w:lang w:val="es-ES"/>
              </w:rPr>
              <w:t>artículo 11</w:t>
            </w:r>
            <w:r w:rsidR="003E276C" w:rsidRPr="00FD08B7">
              <w:rPr>
                <w:rFonts w:ascii="Calibri" w:hAnsi="Calibri" w:cs="Calibri"/>
                <w:snapToGrid w:val="0"/>
                <w:sz w:val="24"/>
                <w:szCs w:val="24"/>
                <w:lang w:val="es-ES"/>
              </w:rPr>
              <w:t>5</w:t>
            </w:r>
            <w:r w:rsidRPr="00FD08B7">
              <w:rPr>
                <w:rFonts w:ascii="Calibri" w:hAnsi="Calibri" w:cs="Calibri"/>
                <w:snapToGrid w:val="0"/>
                <w:sz w:val="24"/>
                <w:szCs w:val="24"/>
                <w:lang w:val="es-ES"/>
              </w:rPr>
              <w:t xml:space="preserve"> de la </w:t>
            </w:r>
            <w:r w:rsidR="003E276C" w:rsidRPr="00FD08B7">
              <w:rPr>
                <w:rFonts w:ascii="Calibri" w:hAnsi="Calibri" w:cs="Calibri"/>
                <w:snapToGrid w:val="0"/>
                <w:sz w:val="24"/>
                <w:szCs w:val="24"/>
                <w:lang w:val="es-ES"/>
              </w:rPr>
              <w:t>Norma Foral 3/2023, de 25 de enero, General Presupuestaria</w:t>
            </w:r>
            <w:r w:rsidRPr="00FD08B7">
              <w:rPr>
                <w:rFonts w:ascii="Calibri" w:hAnsi="Calibri" w:cs="Calibri"/>
                <w:snapToGrid w:val="0"/>
                <w:sz w:val="24"/>
                <w:szCs w:val="24"/>
                <w:lang w:val="es-ES"/>
              </w:rPr>
              <w:t>.</w:t>
            </w:r>
          </w:p>
          <w:p w14:paraId="13317B27" w14:textId="77777777" w:rsidR="00012E0E" w:rsidRPr="007B3283" w:rsidRDefault="00012E0E" w:rsidP="003E276C">
            <w:pPr>
              <w:ind w:firstLine="284"/>
              <w:jc w:val="both"/>
              <w:rPr>
                <w:rFonts w:ascii="Calibri" w:hAnsi="Calibri" w:cs="Calibri"/>
                <w:sz w:val="24"/>
                <w:szCs w:val="24"/>
              </w:rPr>
            </w:pPr>
          </w:p>
          <w:p w14:paraId="10D3561E" w14:textId="77777777" w:rsidR="00012E0E" w:rsidRPr="007B3283" w:rsidRDefault="00012E0E" w:rsidP="003E276C">
            <w:pPr>
              <w:ind w:firstLine="284"/>
              <w:jc w:val="both"/>
              <w:rPr>
                <w:rFonts w:ascii="Calibri" w:hAnsi="Calibri" w:cs="Calibri"/>
                <w:sz w:val="24"/>
                <w:szCs w:val="24"/>
              </w:rPr>
            </w:pPr>
          </w:p>
          <w:p w14:paraId="169B6716" w14:textId="475E5C1C" w:rsidR="00012E0E" w:rsidRPr="007B3283" w:rsidRDefault="00012E0E" w:rsidP="00901C7D">
            <w:pPr>
              <w:rPr>
                <w:rFonts w:ascii="Calibri" w:hAnsi="Calibri" w:cs="Calibri"/>
                <w:sz w:val="24"/>
                <w:szCs w:val="24"/>
              </w:rPr>
            </w:pPr>
            <w:r w:rsidRPr="007B3283">
              <w:rPr>
                <w:rFonts w:ascii="Calibri" w:hAnsi="Calibri" w:cs="Calibri"/>
                <w:b/>
                <w:snapToGrid w:val="0"/>
                <w:sz w:val="24"/>
                <w:szCs w:val="24"/>
                <w:u w:val="single"/>
                <w:lang w:val="es-ES"/>
              </w:rPr>
              <w:t>ARTÍCULO ÚNICO.-</w:t>
            </w:r>
            <w:r w:rsidRPr="007B3283">
              <w:rPr>
                <w:rFonts w:ascii="Calibri" w:hAnsi="Calibri" w:cs="Calibri"/>
                <w:snapToGrid w:val="0"/>
                <w:sz w:val="24"/>
                <w:szCs w:val="24"/>
                <w:lang w:val="es-ES"/>
              </w:rPr>
              <w:t xml:space="preserve"> Se aprueba la Cuenta General del Territorio Histórico de Álava para el ejercicio económico de 20</w:t>
            </w:r>
            <w:r w:rsidR="00B342AF">
              <w:rPr>
                <w:rFonts w:ascii="Calibri" w:hAnsi="Calibri" w:cs="Calibri"/>
                <w:snapToGrid w:val="0"/>
                <w:sz w:val="24"/>
                <w:szCs w:val="24"/>
                <w:lang w:val="es-ES"/>
              </w:rPr>
              <w:t>2</w:t>
            </w:r>
            <w:r w:rsidR="00AE2AC4">
              <w:rPr>
                <w:rFonts w:ascii="Calibri" w:hAnsi="Calibri" w:cs="Calibri"/>
                <w:snapToGrid w:val="0"/>
                <w:sz w:val="24"/>
                <w:szCs w:val="24"/>
                <w:lang w:val="es-ES"/>
              </w:rPr>
              <w:t>3</w:t>
            </w:r>
            <w:r w:rsidR="00C8729D">
              <w:rPr>
                <w:rFonts w:ascii="Calibri" w:hAnsi="Calibri" w:cs="Calibri"/>
                <w:snapToGrid w:val="0"/>
                <w:sz w:val="24"/>
                <w:szCs w:val="24"/>
                <w:lang w:val="es-ES"/>
              </w:rPr>
              <w:t>.</w:t>
            </w:r>
          </w:p>
          <w:p w14:paraId="62CE7495" w14:textId="77777777" w:rsidR="00012E0E" w:rsidRDefault="00012E0E" w:rsidP="003E276C">
            <w:pPr>
              <w:ind w:right="141"/>
              <w:jc w:val="both"/>
              <w:rPr>
                <w:sz w:val="22"/>
              </w:rPr>
            </w:pPr>
          </w:p>
        </w:tc>
      </w:tr>
    </w:tbl>
    <w:p w14:paraId="3D2A9455" w14:textId="77777777" w:rsidR="00E36E5F" w:rsidRDefault="00E36E5F" w:rsidP="009F24DF">
      <w:pPr>
        <w:spacing w:after="240"/>
        <w:ind w:firstLine="142"/>
        <w:jc w:val="center"/>
      </w:pPr>
    </w:p>
    <w:p w14:paraId="25895B52" w14:textId="77777777" w:rsidR="00012E0E" w:rsidRDefault="00012E0E" w:rsidP="009F24DF">
      <w:pPr>
        <w:spacing w:after="240"/>
        <w:ind w:firstLine="142"/>
        <w:jc w:val="center"/>
      </w:pPr>
    </w:p>
    <w:sectPr w:rsidR="00012E0E" w:rsidSect="00012E0E">
      <w:headerReference w:type="default" r:id="rId7"/>
      <w:headerReference w:type="first" r:id="rId8"/>
      <w:endnotePr>
        <w:numFmt w:val="decimal"/>
      </w:endnotePr>
      <w:pgSz w:w="11907" w:h="16840" w:code="9"/>
      <w:pgMar w:top="2835" w:right="1134" w:bottom="1418" w:left="1134" w:header="68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289A" w14:textId="77777777" w:rsidR="006A1795" w:rsidRDefault="006A1795">
      <w:r>
        <w:separator/>
      </w:r>
    </w:p>
  </w:endnote>
  <w:endnote w:type="continuationSeparator" w:id="0">
    <w:p w14:paraId="7DB0CDE2" w14:textId="77777777" w:rsidR="006A1795" w:rsidRDefault="006A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157C" w14:textId="77777777" w:rsidR="006A1795" w:rsidRDefault="006A1795">
      <w:r>
        <w:separator/>
      </w:r>
    </w:p>
  </w:footnote>
  <w:footnote w:type="continuationSeparator" w:id="0">
    <w:p w14:paraId="60C642D0" w14:textId="77777777" w:rsidR="006A1795" w:rsidRDefault="006A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E36E5F" w14:paraId="1EC1FFB4" w14:textId="77777777">
      <w:trPr>
        <w:cantSplit/>
        <w:trHeight w:val="338"/>
      </w:trPr>
      <w:tc>
        <w:tcPr>
          <w:tcW w:w="3856" w:type="dxa"/>
        </w:tcPr>
        <w:p w14:paraId="16D34467" w14:textId="77777777" w:rsidR="00E36E5F" w:rsidRDefault="00E36E5F">
          <w:pPr>
            <w:pStyle w:val="Encabezado"/>
          </w:pPr>
        </w:p>
      </w:tc>
      <w:tc>
        <w:tcPr>
          <w:tcW w:w="1361" w:type="dxa"/>
          <w:vMerge w:val="restart"/>
        </w:tcPr>
        <w:p w14:paraId="41F3D03A" w14:textId="77777777" w:rsidR="00E36E5F" w:rsidRDefault="00BC5E37">
          <w:pPr>
            <w:pStyle w:val="Encabezado"/>
            <w:jc w:val="center"/>
          </w:pPr>
          <w:r>
            <w:rPr>
              <w:noProof/>
              <w:lang w:val="es-ES"/>
            </w:rPr>
            <w:drawing>
              <wp:inline distT="0" distB="0" distL="0" distR="0" wp14:anchorId="138BEE1C" wp14:editId="7A3A7006">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1882360" w14:textId="77777777" w:rsidR="00E36E5F" w:rsidRDefault="00E36E5F">
          <w:pPr>
            <w:pStyle w:val="Encabezado"/>
          </w:pPr>
        </w:p>
      </w:tc>
    </w:tr>
    <w:tr w:rsidR="00E36E5F" w14:paraId="64A18324" w14:textId="77777777">
      <w:trPr>
        <w:cantSplit/>
        <w:trHeight w:val="337"/>
      </w:trPr>
      <w:tc>
        <w:tcPr>
          <w:tcW w:w="3856" w:type="dxa"/>
        </w:tcPr>
        <w:p w14:paraId="137B7077" w14:textId="77777777" w:rsidR="00E36E5F" w:rsidRDefault="00E36E5F">
          <w:pPr>
            <w:pStyle w:val="Encabezado"/>
          </w:pPr>
        </w:p>
      </w:tc>
      <w:tc>
        <w:tcPr>
          <w:tcW w:w="1361" w:type="dxa"/>
          <w:vMerge/>
        </w:tcPr>
        <w:p w14:paraId="01963111" w14:textId="77777777" w:rsidR="00E36E5F" w:rsidRDefault="00E36E5F">
          <w:pPr>
            <w:pStyle w:val="Encabezado"/>
            <w:jc w:val="center"/>
          </w:pPr>
        </w:p>
      </w:tc>
      <w:tc>
        <w:tcPr>
          <w:tcW w:w="3856" w:type="dxa"/>
        </w:tcPr>
        <w:p w14:paraId="79E5169D" w14:textId="77777777" w:rsidR="00E36E5F" w:rsidRDefault="00E36E5F">
          <w:pPr>
            <w:pStyle w:val="Encabezado"/>
          </w:pPr>
        </w:p>
      </w:tc>
    </w:tr>
  </w:tbl>
  <w:p w14:paraId="2330D612" w14:textId="77777777" w:rsidR="00E36E5F" w:rsidRDefault="00E36E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BB431C" w14:paraId="1ED741B0" w14:textId="77777777" w:rsidTr="002A2AF1">
      <w:trPr>
        <w:cantSplit/>
        <w:trHeight w:val="338"/>
        <w:jc w:val="center"/>
      </w:trPr>
      <w:tc>
        <w:tcPr>
          <w:tcW w:w="3856" w:type="dxa"/>
        </w:tcPr>
        <w:p w14:paraId="76AF4344" w14:textId="77777777" w:rsidR="00BB431C" w:rsidRDefault="00BB431C" w:rsidP="00BB431C">
          <w:pPr>
            <w:pStyle w:val="Encabezado"/>
          </w:pPr>
        </w:p>
      </w:tc>
      <w:tc>
        <w:tcPr>
          <w:tcW w:w="1361" w:type="dxa"/>
          <w:vMerge w:val="restart"/>
        </w:tcPr>
        <w:p w14:paraId="3CB47626" w14:textId="77777777" w:rsidR="00BB431C" w:rsidRDefault="00BB431C" w:rsidP="00BB431C">
          <w:pPr>
            <w:pStyle w:val="Encabezado"/>
            <w:jc w:val="center"/>
          </w:pPr>
          <w:r>
            <w:rPr>
              <w:noProof/>
              <w:lang w:val="es-ES"/>
            </w:rPr>
            <w:drawing>
              <wp:inline distT="0" distB="0" distL="0" distR="0" wp14:anchorId="2C9803B6" wp14:editId="5ED31EE7">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2255FC0" w14:textId="77777777" w:rsidR="00BB431C" w:rsidRDefault="00BB431C" w:rsidP="00BB431C">
          <w:pPr>
            <w:pStyle w:val="Encabezado"/>
          </w:pPr>
        </w:p>
      </w:tc>
    </w:tr>
    <w:tr w:rsidR="00BB431C" w14:paraId="68980F83" w14:textId="77777777" w:rsidTr="002A2AF1">
      <w:trPr>
        <w:cantSplit/>
        <w:trHeight w:val="337"/>
        <w:jc w:val="center"/>
      </w:trPr>
      <w:tc>
        <w:tcPr>
          <w:tcW w:w="3856" w:type="dxa"/>
        </w:tcPr>
        <w:p w14:paraId="42FFB702" w14:textId="77777777" w:rsidR="00BB431C" w:rsidRDefault="00BB431C" w:rsidP="00BB431C">
          <w:pPr>
            <w:pStyle w:val="Encabezado"/>
          </w:pPr>
        </w:p>
      </w:tc>
      <w:tc>
        <w:tcPr>
          <w:tcW w:w="1361" w:type="dxa"/>
          <w:vMerge/>
        </w:tcPr>
        <w:p w14:paraId="671C98CC" w14:textId="77777777" w:rsidR="00BB431C" w:rsidRDefault="00BB431C" w:rsidP="00BB431C">
          <w:pPr>
            <w:pStyle w:val="Encabezado"/>
            <w:jc w:val="center"/>
          </w:pPr>
        </w:p>
      </w:tc>
      <w:tc>
        <w:tcPr>
          <w:tcW w:w="3856" w:type="dxa"/>
        </w:tcPr>
        <w:p w14:paraId="4F1EB87A" w14:textId="77777777" w:rsidR="00BB431C" w:rsidRDefault="00BB431C" w:rsidP="00BB431C">
          <w:pPr>
            <w:pStyle w:val="Encabezado"/>
          </w:pPr>
        </w:p>
      </w:tc>
    </w:tr>
  </w:tbl>
  <w:p w14:paraId="78F9DB2D" w14:textId="77777777" w:rsidR="00712686" w:rsidRDefault="007126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D6525"/>
    <w:multiLevelType w:val="hybridMultilevel"/>
    <w:tmpl w:val="6A0E0812"/>
    <w:lvl w:ilvl="0" w:tplc="BCFC904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127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1746"/>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FE"/>
    <w:rsid w:val="00012E0E"/>
    <w:rsid w:val="00020438"/>
    <w:rsid w:val="0002616B"/>
    <w:rsid w:val="00040B3B"/>
    <w:rsid w:val="000634AA"/>
    <w:rsid w:val="00065685"/>
    <w:rsid w:val="00171423"/>
    <w:rsid w:val="001F4C8C"/>
    <w:rsid w:val="001F4EB3"/>
    <w:rsid w:val="00257649"/>
    <w:rsid w:val="002B50FE"/>
    <w:rsid w:val="002C3B18"/>
    <w:rsid w:val="002D6C4B"/>
    <w:rsid w:val="00306935"/>
    <w:rsid w:val="00310033"/>
    <w:rsid w:val="0031076A"/>
    <w:rsid w:val="00321032"/>
    <w:rsid w:val="0034689D"/>
    <w:rsid w:val="0036712D"/>
    <w:rsid w:val="003B0B16"/>
    <w:rsid w:val="003E276C"/>
    <w:rsid w:val="00401B41"/>
    <w:rsid w:val="00461BE3"/>
    <w:rsid w:val="00463E45"/>
    <w:rsid w:val="00477F0B"/>
    <w:rsid w:val="00484871"/>
    <w:rsid w:val="004C48FA"/>
    <w:rsid w:val="004D27E5"/>
    <w:rsid w:val="004D4771"/>
    <w:rsid w:val="004F7BC1"/>
    <w:rsid w:val="005C13DF"/>
    <w:rsid w:val="00611EFF"/>
    <w:rsid w:val="00612924"/>
    <w:rsid w:val="00671FA4"/>
    <w:rsid w:val="006A1795"/>
    <w:rsid w:val="006B0786"/>
    <w:rsid w:val="006B3827"/>
    <w:rsid w:val="00712686"/>
    <w:rsid w:val="00721C48"/>
    <w:rsid w:val="00740223"/>
    <w:rsid w:val="007523AE"/>
    <w:rsid w:val="007C6D73"/>
    <w:rsid w:val="0080184E"/>
    <w:rsid w:val="008B21CB"/>
    <w:rsid w:val="00901C7D"/>
    <w:rsid w:val="0095327C"/>
    <w:rsid w:val="009741D8"/>
    <w:rsid w:val="009A0AAE"/>
    <w:rsid w:val="009E4227"/>
    <w:rsid w:val="009F24DF"/>
    <w:rsid w:val="00A44895"/>
    <w:rsid w:val="00AA4EC1"/>
    <w:rsid w:val="00AC5F59"/>
    <w:rsid w:val="00AE2AC4"/>
    <w:rsid w:val="00B1617A"/>
    <w:rsid w:val="00B201C6"/>
    <w:rsid w:val="00B342AF"/>
    <w:rsid w:val="00B46D7D"/>
    <w:rsid w:val="00B95A4C"/>
    <w:rsid w:val="00BB431C"/>
    <w:rsid w:val="00BC0F58"/>
    <w:rsid w:val="00BC5E37"/>
    <w:rsid w:val="00BF175D"/>
    <w:rsid w:val="00BF6F4C"/>
    <w:rsid w:val="00C25092"/>
    <w:rsid w:val="00C75FF8"/>
    <w:rsid w:val="00C8729D"/>
    <w:rsid w:val="00C95080"/>
    <w:rsid w:val="00D04B87"/>
    <w:rsid w:val="00D5104D"/>
    <w:rsid w:val="00D52A62"/>
    <w:rsid w:val="00D76D88"/>
    <w:rsid w:val="00D87FFE"/>
    <w:rsid w:val="00DD3C8F"/>
    <w:rsid w:val="00DE5EA8"/>
    <w:rsid w:val="00E11B52"/>
    <w:rsid w:val="00E36E5F"/>
    <w:rsid w:val="00E442FE"/>
    <w:rsid w:val="00EA1B0D"/>
    <w:rsid w:val="00EB79AC"/>
    <w:rsid w:val="00ED106A"/>
    <w:rsid w:val="00F16312"/>
    <w:rsid w:val="00F37065"/>
    <w:rsid w:val="00F44EB2"/>
    <w:rsid w:val="00F80729"/>
    <w:rsid w:val="00FB5CC0"/>
    <w:rsid w:val="00FD08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14:docId w14:val="23D7ACBD"/>
  <w15:docId w15:val="{05EA404E-A710-4116-BCBC-98E6B0CB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u-ES"/>
    </w:rPr>
  </w:style>
  <w:style w:type="paragraph" w:styleId="Ttulo1">
    <w:name w:val="heading 1"/>
    <w:basedOn w:val="Normal"/>
    <w:next w:val="Normal"/>
    <w:qFormat/>
    <w:pPr>
      <w:spacing w:before="240"/>
      <w:outlineLvl w:val="0"/>
    </w:pPr>
    <w:rPr>
      <w:rFonts w:ascii="Arial" w:hAnsi="Arial"/>
      <w:b/>
      <w:sz w:val="24"/>
      <w:u w:val="single"/>
    </w:rPr>
  </w:style>
  <w:style w:type="paragraph" w:styleId="Ttulo2">
    <w:name w:val="heading 2"/>
    <w:basedOn w:val="Normal"/>
    <w:next w:val="Normal"/>
    <w:qFormat/>
    <w:pPr>
      <w:spacing w:before="120"/>
      <w:outlineLvl w:val="1"/>
    </w:pPr>
    <w:rPr>
      <w:rFonts w:ascii="Arial" w:hAnsi="Arial"/>
      <w:b/>
      <w:sz w:val="24"/>
    </w:rPr>
  </w:style>
  <w:style w:type="paragraph" w:styleId="Ttulo3">
    <w:name w:val="heading 3"/>
    <w:basedOn w:val="Normal"/>
    <w:next w:val="Normal"/>
    <w:qFormat/>
    <w:pPr>
      <w:keepNext/>
      <w:jc w:val="center"/>
      <w:outlineLvl w:val="2"/>
    </w:pPr>
    <w:rPr>
      <w:rFonts w:ascii="Arial" w:hAnsi="Arial"/>
      <w:b/>
      <w:u w:val="single"/>
    </w:rPr>
  </w:style>
  <w:style w:type="paragraph" w:styleId="Ttulo4">
    <w:name w:val="heading 4"/>
    <w:basedOn w:val="Normal"/>
    <w:next w:val="Normal"/>
    <w:qFormat/>
    <w:pPr>
      <w:keepNext/>
      <w:tabs>
        <w:tab w:val="left" w:leader="dot" w:pos="7655"/>
        <w:tab w:val="decimal" w:pos="9639"/>
      </w:tabs>
      <w:spacing w:before="120" w:after="120"/>
      <w:jc w:val="center"/>
      <w:outlineLvl w:val="3"/>
    </w:pPr>
    <w:rPr>
      <w:rFonts w:ascii="Arial" w:hAnsi="Arial"/>
      <w:b/>
    </w:rPr>
  </w:style>
  <w:style w:type="paragraph" w:styleId="Ttulo5">
    <w:name w:val="heading 5"/>
    <w:basedOn w:val="Normal"/>
    <w:next w:val="Normal"/>
    <w:qFormat/>
    <w:pPr>
      <w:keepNext/>
      <w:spacing w:before="120" w:after="120"/>
      <w:outlineLvl w:val="4"/>
    </w:pPr>
    <w:rPr>
      <w:rFonts w:ascii="Arial" w:hAnsi="Arial"/>
      <w:b/>
    </w:rPr>
  </w:style>
  <w:style w:type="paragraph" w:styleId="Ttulo6">
    <w:name w:val="heading 6"/>
    <w:basedOn w:val="Normal"/>
    <w:next w:val="Normal"/>
    <w:qFormat/>
    <w:pPr>
      <w:keepNext/>
      <w:tabs>
        <w:tab w:val="right" w:pos="8789"/>
      </w:tabs>
      <w:spacing w:after="500"/>
      <w:ind w:firstLine="4536"/>
      <w:jc w:val="right"/>
      <w:outlineLvl w:val="5"/>
    </w:pPr>
    <w:rPr>
      <w:rFonts w:ascii="Arial" w:hAnsi="Arial"/>
      <w:i/>
      <w:sz w:val="18"/>
    </w:rPr>
  </w:style>
  <w:style w:type="paragraph" w:styleId="Ttulo7">
    <w:name w:val="heading 7"/>
    <w:basedOn w:val="Normal"/>
    <w:next w:val="Normal"/>
    <w:qFormat/>
    <w:pPr>
      <w:keepNext/>
      <w:tabs>
        <w:tab w:val="left" w:leader="dot" w:pos="7655"/>
        <w:tab w:val="decimal" w:pos="9639"/>
      </w:tabs>
      <w:ind w:right="142"/>
      <w:jc w:val="center"/>
      <w:outlineLvl w:val="6"/>
    </w:pPr>
    <w:rPr>
      <w:rFonts w:ascii="Arial" w:hAnsi="Arial"/>
      <w:b/>
    </w:rPr>
  </w:style>
  <w:style w:type="paragraph" w:styleId="Ttulo8">
    <w:name w:val="heading 8"/>
    <w:basedOn w:val="Normal"/>
    <w:next w:val="Normal"/>
    <w:link w:val="Ttulo8Car"/>
    <w:semiHidden/>
    <w:unhideWhenUsed/>
    <w:qFormat/>
    <w:rsid w:val="00C75FF8"/>
    <w:pPr>
      <w:spacing w:before="240" w:after="60"/>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819"/>
        <w:tab w:val="right" w:pos="9071"/>
      </w:tabs>
    </w:pPr>
  </w:style>
  <w:style w:type="paragraph" w:styleId="Encabezado">
    <w:name w:val="header"/>
    <w:basedOn w:val="Normal"/>
    <w:link w:val="EncabezadoCar"/>
    <w:pPr>
      <w:tabs>
        <w:tab w:val="center" w:pos="4252"/>
        <w:tab w:val="right" w:pos="8504"/>
      </w:tabs>
    </w:pPr>
  </w:style>
  <w:style w:type="paragraph" w:styleId="Textonotaalfinal">
    <w:name w:val="endnote text"/>
    <w:basedOn w:val="Normal"/>
    <w:semiHidden/>
  </w:style>
  <w:style w:type="paragraph" w:customStyle="1" w:styleId="parrafo">
    <w:name w:val="parrafo"/>
    <w:basedOn w:val="Normal"/>
    <w:pPr>
      <w:spacing w:after="240"/>
      <w:ind w:firstLine="1701"/>
      <w:jc w:val="both"/>
    </w:pPr>
    <w:rPr>
      <w:sz w:val="24"/>
    </w:rPr>
  </w:style>
  <w:style w:type="paragraph" w:styleId="Sangradetextonormal">
    <w:name w:val="Body Text Indent"/>
    <w:basedOn w:val="Normal"/>
    <w:pPr>
      <w:spacing w:before="120" w:after="360"/>
      <w:ind w:left="142" w:firstLine="210"/>
      <w:jc w:val="both"/>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character" w:customStyle="1" w:styleId="tw4winMark">
    <w:name w:val="tw4winMark"/>
    <w:rPr>
      <w:rFonts w:ascii="Courier New" w:hAnsi="Courier New"/>
      <w:vanish/>
      <w:color w:val="800080"/>
      <w:vertAlign w:val="subscript"/>
    </w:rPr>
  </w:style>
  <w:style w:type="paragraph" w:styleId="Textoindependiente">
    <w:name w:val="Body Text"/>
    <w:basedOn w:val="Normal"/>
    <w:pPr>
      <w:spacing w:before="1320"/>
      <w:jc w:val="both"/>
    </w:pPr>
    <w:rPr>
      <w:rFonts w:ascii="Arial" w:hAnsi="Arial"/>
      <w:noProof/>
    </w:rPr>
  </w:style>
  <w:style w:type="character" w:styleId="Hipervnculo">
    <w:name w:val="Hyperlink"/>
    <w:rPr>
      <w:color w:val="0000FF"/>
      <w:u w:val="single"/>
    </w:rPr>
  </w:style>
  <w:style w:type="paragraph" w:styleId="Textodeglobo">
    <w:name w:val="Balloon Text"/>
    <w:basedOn w:val="Normal"/>
    <w:link w:val="TextodegloboCar"/>
    <w:rsid w:val="00ED106A"/>
    <w:rPr>
      <w:rFonts w:ascii="Tahoma" w:hAnsi="Tahoma" w:cs="Tahoma"/>
      <w:sz w:val="16"/>
      <w:szCs w:val="16"/>
    </w:rPr>
  </w:style>
  <w:style w:type="character" w:customStyle="1" w:styleId="TextodegloboCar">
    <w:name w:val="Texto de globo Car"/>
    <w:link w:val="Textodeglobo"/>
    <w:rsid w:val="00ED106A"/>
    <w:rPr>
      <w:rFonts w:ascii="Tahoma" w:hAnsi="Tahoma" w:cs="Tahoma"/>
      <w:sz w:val="16"/>
      <w:szCs w:val="16"/>
      <w:lang w:val="eu-ES"/>
    </w:rPr>
  </w:style>
  <w:style w:type="character" w:customStyle="1" w:styleId="Ttulo8Car">
    <w:name w:val="Título 8 Car"/>
    <w:link w:val="Ttulo8"/>
    <w:semiHidden/>
    <w:rsid w:val="00C75FF8"/>
    <w:rPr>
      <w:rFonts w:ascii="Calibri" w:hAnsi="Calibri"/>
      <w:i/>
      <w:iCs/>
      <w:sz w:val="24"/>
      <w:szCs w:val="24"/>
      <w:lang w:val="eu-ES"/>
    </w:rPr>
  </w:style>
  <w:style w:type="character" w:styleId="Refdecomentario">
    <w:name w:val="annotation reference"/>
    <w:rsid w:val="008B21CB"/>
    <w:rPr>
      <w:sz w:val="16"/>
      <w:szCs w:val="16"/>
    </w:rPr>
  </w:style>
  <w:style w:type="paragraph" w:styleId="Textocomentario">
    <w:name w:val="annotation text"/>
    <w:basedOn w:val="Normal"/>
    <w:link w:val="TextocomentarioCar"/>
    <w:rsid w:val="008B21CB"/>
  </w:style>
  <w:style w:type="character" w:customStyle="1" w:styleId="TextocomentarioCar">
    <w:name w:val="Texto comentario Car"/>
    <w:link w:val="Textocomentario"/>
    <w:rsid w:val="008B21CB"/>
    <w:rPr>
      <w:lang w:val="eu-ES"/>
    </w:rPr>
  </w:style>
  <w:style w:type="paragraph" w:styleId="Asuntodelcomentario">
    <w:name w:val="annotation subject"/>
    <w:basedOn w:val="Textocomentario"/>
    <w:next w:val="Textocomentario"/>
    <w:link w:val="AsuntodelcomentarioCar"/>
    <w:rsid w:val="008B21CB"/>
    <w:rPr>
      <w:b/>
      <w:bCs/>
    </w:rPr>
  </w:style>
  <w:style w:type="character" w:customStyle="1" w:styleId="AsuntodelcomentarioCar">
    <w:name w:val="Asunto del comentario Car"/>
    <w:link w:val="Asuntodelcomentario"/>
    <w:rsid w:val="008B21CB"/>
    <w:rPr>
      <w:b/>
      <w:bCs/>
      <w:lang w:val="eu-ES"/>
    </w:rPr>
  </w:style>
  <w:style w:type="character" w:customStyle="1" w:styleId="EncabezadoCar">
    <w:name w:val="Encabezado Car"/>
    <w:basedOn w:val="Fuentedeprrafopredeter"/>
    <w:link w:val="Encabezado"/>
    <w:rsid w:val="00BB431C"/>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170</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Aprobación Remanente 99.doc</vt:lpstr>
    </vt:vector>
  </TitlesOfParts>
  <Manager>Servicio de Contabilidad</Manager>
  <Company>Diputación Foral de Alava</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Aprobación Remanente 99.doc</dc:title>
  <dc:subject>15148</dc:subject>
  <dc:creator>BITEZ LOGOS, S.L. - Idoia Murua-</dc:creator>
  <cp:lastModifiedBy>Nájera Diaz de Arcaya, Carmen</cp:lastModifiedBy>
  <cp:revision>4</cp:revision>
  <cp:lastPrinted>2017-06-22T07:35:00Z</cp:lastPrinted>
  <dcterms:created xsi:type="dcterms:W3CDTF">2024-06-07T10:00:00Z</dcterms:created>
  <dcterms:modified xsi:type="dcterms:W3CDTF">2024-06-13T08:35:00Z</dcterms:modified>
  <cp:category>4</cp:category>
</cp:coreProperties>
</file>