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D8CC" w14:textId="77777777" w:rsidR="00267141" w:rsidRDefault="006642A2">
      <w:pPr>
        <w:spacing w:after="1092" w:line="259" w:lineRule="auto"/>
        <w:ind w:left="0" w:right="0" w:firstLine="0"/>
        <w:jc w:val="left"/>
      </w:pPr>
      <w:r>
        <w:rPr>
          <w:noProof/>
        </w:rPr>
        <w:drawing>
          <wp:inline distT="0" distB="0" distL="0" distR="0" wp14:anchorId="2A0C9970" wp14:editId="406732BB">
            <wp:extent cx="1566000" cy="129233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566000" cy="1292335"/>
                    </a:xfrm>
                    <a:prstGeom prst="rect">
                      <a:avLst/>
                    </a:prstGeom>
                  </pic:spPr>
                </pic:pic>
              </a:graphicData>
            </a:graphic>
          </wp:inline>
        </w:drawing>
      </w:r>
    </w:p>
    <w:p w14:paraId="70D2F0E4" w14:textId="77777777" w:rsidR="006642A2" w:rsidRDefault="006642A2">
      <w:pPr>
        <w:spacing w:after="3" w:line="259" w:lineRule="auto"/>
        <w:ind w:left="-5" w:right="0" w:hanging="10"/>
        <w:jc w:val="left"/>
        <w:rPr>
          <w:rFonts w:ascii="Arial" w:eastAsia="Arial" w:hAnsi="Arial" w:cs="Arial"/>
          <w:b/>
          <w:sz w:val="12"/>
        </w:rPr>
      </w:pPr>
    </w:p>
    <w:p w14:paraId="58844024" w14:textId="77777777" w:rsidR="006642A2" w:rsidRDefault="006642A2">
      <w:pPr>
        <w:spacing w:after="3" w:line="259" w:lineRule="auto"/>
        <w:ind w:left="-5" w:right="0" w:hanging="10"/>
        <w:jc w:val="left"/>
        <w:rPr>
          <w:rFonts w:ascii="Arial" w:eastAsia="Arial" w:hAnsi="Arial" w:cs="Arial"/>
          <w:b/>
          <w:sz w:val="12"/>
        </w:rPr>
      </w:pPr>
    </w:p>
    <w:p w14:paraId="09CFE6E6" w14:textId="77777777" w:rsidR="006642A2" w:rsidRDefault="006642A2">
      <w:pPr>
        <w:spacing w:after="3" w:line="259" w:lineRule="auto"/>
        <w:ind w:left="-5" w:right="0" w:hanging="10"/>
        <w:jc w:val="left"/>
        <w:rPr>
          <w:rFonts w:ascii="Arial" w:eastAsia="Arial" w:hAnsi="Arial" w:cs="Arial"/>
          <w:b/>
          <w:sz w:val="12"/>
        </w:rPr>
      </w:pPr>
    </w:p>
    <w:p w14:paraId="2C33CAA0" w14:textId="649D83A3" w:rsidR="00267141" w:rsidRDefault="006642A2">
      <w:pPr>
        <w:spacing w:after="3" w:line="259" w:lineRule="auto"/>
        <w:ind w:left="-5" w:right="0" w:hanging="10"/>
        <w:jc w:val="left"/>
      </w:pPr>
      <w:r>
        <w:rPr>
          <w:rFonts w:ascii="Arial" w:eastAsia="Arial" w:hAnsi="Arial" w:cs="Arial"/>
          <w:b/>
          <w:sz w:val="12"/>
        </w:rPr>
        <w:t>Espediente zk.</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Nº de Expe</w:t>
      </w:r>
      <w:r>
        <w:rPr>
          <w:rFonts w:ascii="Arial" w:eastAsia="Arial" w:hAnsi="Arial" w:cs="Arial"/>
          <w:sz w:val="12"/>
        </w:rPr>
        <w:t>diente</w:t>
      </w:r>
    </w:p>
    <w:p w14:paraId="12321EA0" w14:textId="77777777" w:rsidR="00267141" w:rsidRDefault="006642A2">
      <w:pPr>
        <w:spacing w:after="159" w:line="259" w:lineRule="auto"/>
        <w:ind w:left="-5" w:right="0" w:hanging="10"/>
        <w:jc w:val="left"/>
      </w:pPr>
      <w:r>
        <w:rPr>
          <w:rFonts w:ascii="Arial" w:eastAsia="Arial" w:hAnsi="Arial" w:cs="Arial"/>
          <w:sz w:val="16"/>
        </w:rPr>
        <w:t>INFOPU-2024/00049</w:t>
      </w:r>
    </w:p>
    <w:p w14:paraId="27CDA2D0" w14:textId="2DFFD189" w:rsidR="00267141" w:rsidRDefault="006642A2">
      <w:pPr>
        <w:spacing w:after="0" w:line="259" w:lineRule="auto"/>
        <w:ind w:left="0" w:right="0" w:firstLine="0"/>
        <w:jc w:val="left"/>
      </w:pPr>
      <w:r>
        <w:rPr>
          <w:rFonts w:ascii="Arial" w:eastAsia="Arial" w:hAnsi="Arial" w:cs="Arial"/>
          <w:b/>
          <w:sz w:val="12"/>
        </w:rPr>
        <w:t>Erreferentzia</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p>
    <w:p w14:paraId="16EBD25E" w14:textId="77777777" w:rsidR="00267141" w:rsidRDefault="006642A2">
      <w:pPr>
        <w:spacing w:after="51" w:line="259" w:lineRule="auto"/>
        <w:ind w:left="-5" w:right="0" w:hanging="10"/>
        <w:jc w:val="left"/>
      </w:pPr>
      <w:r>
        <w:rPr>
          <w:rFonts w:ascii="Arial" w:eastAsia="Arial" w:hAnsi="Arial" w:cs="Arial"/>
          <w:sz w:val="12"/>
        </w:rPr>
        <w:t xml:space="preserve">Enplegu, Merkataritza, Turismo eta Foru Administrazioaren Saila / </w:t>
      </w:r>
    </w:p>
    <w:p w14:paraId="6FF21A97" w14:textId="77777777" w:rsidR="00267141" w:rsidRDefault="006642A2">
      <w:pPr>
        <w:spacing w:after="3" w:line="259" w:lineRule="auto"/>
        <w:ind w:left="-5" w:right="0" w:hanging="10"/>
        <w:jc w:val="left"/>
      </w:pPr>
      <w:r>
        <w:rPr>
          <w:rFonts w:ascii="Arial" w:eastAsia="Arial" w:hAnsi="Arial" w:cs="Arial"/>
          <w:sz w:val="12"/>
        </w:rPr>
        <w:t>Departamento de Empleo, Comercio, Turismo y Administración Foral</w:t>
      </w:r>
    </w:p>
    <w:p w14:paraId="0E143EA2" w14:textId="3B4FF999" w:rsidR="00267141" w:rsidRDefault="006642A2">
      <w:pPr>
        <w:spacing w:after="43" w:line="259" w:lineRule="auto"/>
        <w:ind w:left="-5" w:right="0" w:hanging="10"/>
        <w:jc w:val="left"/>
      </w:pPr>
      <w:r w:rsidRPr="006642A2">
        <w:rPr>
          <w:rFonts w:ascii="Arial" w:eastAsia="Arial" w:hAnsi="Arial" w:cs="Arial"/>
          <w:b/>
          <w:sz w:val="18"/>
          <w:highlight w:val="black"/>
        </w:rPr>
        <w:t>XXXXX</w:t>
      </w:r>
    </w:p>
    <w:p w14:paraId="39B3989B" w14:textId="77777777" w:rsidR="00267141" w:rsidRDefault="00267141">
      <w:pPr>
        <w:sectPr w:rsidR="00267141">
          <w:headerReference w:type="even" r:id="rId8"/>
          <w:headerReference w:type="default" r:id="rId9"/>
          <w:footerReference w:type="even" r:id="rId10"/>
          <w:footerReference w:type="default" r:id="rId11"/>
          <w:footerReference w:type="first" r:id="rId12"/>
          <w:pgSz w:w="11907" w:h="16840"/>
          <w:pgMar w:top="284" w:right="1203" w:bottom="1440" w:left="1350" w:header="127" w:footer="720" w:gutter="0"/>
          <w:cols w:num="2" w:space="720" w:equalWidth="0">
            <w:col w:w="4070" w:space="466"/>
            <w:col w:w="4818"/>
          </w:cols>
          <w:titlePg/>
        </w:sectPr>
      </w:pPr>
    </w:p>
    <w:p w14:paraId="39F23E49" w14:textId="77777777" w:rsidR="00267141" w:rsidRDefault="006642A2">
      <w:pPr>
        <w:tabs>
          <w:tab w:val="center" w:pos="6624"/>
        </w:tabs>
        <w:spacing w:after="187" w:line="259" w:lineRule="auto"/>
        <w:ind w:left="0" w:right="0" w:firstLine="0"/>
        <w:jc w:val="left"/>
      </w:pPr>
      <w:r>
        <w:rPr>
          <w:rFonts w:ascii="Arial" w:eastAsia="Arial" w:hAnsi="Arial" w:cs="Arial"/>
          <w:b/>
          <w:sz w:val="16"/>
        </w:rPr>
        <w:t xml:space="preserve">Gaia: </w:t>
      </w:r>
      <w:r>
        <w:rPr>
          <w:sz w:val="16"/>
        </w:rPr>
        <w:t xml:space="preserve">EBAZPENA </w:t>
      </w:r>
      <w:r>
        <w:rPr>
          <w:rFonts w:ascii="Arial" w:eastAsia="Arial" w:hAnsi="Arial" w:cs="Arial"/>
          <w:b/>
          <w:sz w:val="16"/>
        </w:rPr>
        <w:t>jakinaraztea.</w:t>
      </w:r>
      <w:r>
        <w:rPr>
          <w:rFonts w:ascii="Arial" w:eastAsia="Arial" w:hAnsi="Arial" w:cs="Arial"/>
          <w:b/>
          <w:sz w:val="16"/>
        </w:rPr>
        <w:tab/>
        <w:t xml:space="preserve">Asunto: Comunicación de </w:t>
      </w:r>
      <w:r>
        <w:rPr>
          <w:sz w:val="16"/>
        </w:rPr>
        <w:t>RESOLUCIÓN</w:t>
      </w:r>
    </w:p>
    <w:p w14:paraId="1D4C5767" w14:textId="77777777" w:rsidR="00267141" w:rsidRDefault="006642A2">
      <w:pPr>
        <w:tabs>
          <w:tab w:val="right" w:pos="9708"/>
        </w:tabs>
        <w:spacing w:after="0" w:line="259" w:lineRule="auto"/>
        <w:ind w:left="-15" w:right="0" w:firstLine="0"/>
        <w:jc w:val="left"/>
      </w:pPr>
      <w:r>
        <w:rPr>
          <w:rFonts w:ascii="Arial" w:eastAsia="Arial" w:hAnsi="Arial" w:cs="Arial"/>
          <w:sz w:val="16"/>
        </w:rPr>
        <w:t xml:space="preserve">Funtzio Publikoko Zuzendariak, ebazpen hau eman du data </w:t>
      </w:r>
      <w:r>
        <w:rPr>
          <w:rFonts w:ascii="Arial" w:eastAsia="Arial" w:hAnsi="Arial" w:cs="Arial"/>
          <w:sz w:val="16"/>
        </w:rPr>
        <w:tab/>
        <w:t xml:space="preserve">La </w:t>
      </w:r>
      <w:proofErr w:type="gramStart"/>
      <w:r>
        <w:rPr>
          <w:rFonts w:ascii="Arial" w:eastAsia="Arial" w:hAnsi="Arial" w:cs="Arial"/>
          <w:sz w:val="16"/>
        </w:rPr>
        <w:t>Directora</w:t>
      </w:r>
      <w:proofErr w:type="gramEnd"/>
      <w:r>
        <w:rPr>
          <w:rFonts w:ascii="Arial" w:eastAsia="Arial" w:hAnsi="Arial" w:cs="Arial"/>
          <w:sz w:val="16"/>
        </w:rPr>
        <w:t xml:space="preserve"> de Función Pública, se ha servido dictar la siguiente </w:t>
      </w:r>
    </w:p>
    <w:tbl>
      <w:tblPr>
        <w:tblStyle w:val="TableGrid"/>
        <w:tblW w:w="9212" w:type="dxa"/>
        <w:tblInd w:w="0" w:type="dxa"/>
        <w:tblCellMar>
          <w:top w:w="0" w:type="dxa"/>
          <w:left w:w="0" w:type="dxa"/>
          <w:bottom w:w="0" w:type="dxa"/>
          <w:right w:w="0" w:type="dxa"/>
        </w:tblCellMar>
        <w:tblLook w:val="04A0" w:firstRow="1" w:lastRow="0" w:firstColumn="1" w:lastColumn="0" w:noHBand="0" w:noVBand="1"/>
      </w:tblPr>
      <w:tblGrid>
        <w:gridCol w:w="4391"/>
        <w:gridCol w:w="996"/>
        <w:gridCol w:w="4108"/>
      </w:tblGrid>
      <w:tr w:rsidR="00267141" w14:paraId="088602A5" w14:textId="77777777">
        <w:trPr>
          <w:trHeight w:val="351"/>
        </w:trPr>
        <w:tc>
          <w:tcPr>
            <w:tcW w:w="2772" w:type="dxa"/>
            <w:tcBorders>
              <w:top w:val="nil"/>
              <w:left w:val="nil"/>
              <w:bottom w:val="nil"/>
              <w:right w:val="nil"/>
            </w:tcBorders>
          </w:tcPr>
          <w:p w14:paraId="14C1DEF1" w14:textId="77777777" w:rsidR="00267141" w:rsidRDefault="006642A2">
            <w:pPr>
              <w:spacing w:after="0" w:line="259" w:lineRule="auto"/>
              <w:ind w:left="0" w:right="0" w:firstLine="0"/>
              <w:jc w:val="left"/>
            </w:pPr>
            <w:r>
              <w:rPr>
                <w:rFonts w:ascii="Arial" w:eastAsia="Arial" w:hAnsi="Arial" w:cs="Arial"/>
                <w:sz w:val="16"/>
              </w:rPr>
              <w:t>honetan.</w:t>
            </w:r>
          </w:p>
        </w:tc>
        <w:tc>
          <w:tcPr>
            <w:tcW w:w="2332" w:type="dxa"/>
            <w:tcBorders>
              <w:top w:val="nil"/>
              <w:left w:val="nil"/>
              <w:bottom w:val="nil"/>
              <w:right w:val="nil"/>
            </w:tcBorders>
          </w:tcPr>
          <w:p w14:paraId="6C9272D4" w14:textId="77777777" w:rsidR="00267141" w:rsidRDefault="00267141">
            <w:pPr>
              <w:spacing w:after="160" w:line="259" w:lineRule="auto"/>
              <w:ind w:left="0" w:right="0" w:firstLine="0"/>
              <w:jc w:val="left"/>
            </w:pPr>
          </w:p>
        </w:tc>
        <w:tc>
          <w:tcPr>
            <w:tcW w:w="4108" w:type="dxa"/>
            <w:tcBorders>
              <w:top w:val="nil"/>
              <w:left w:val="nil"/>
              <w:bottom w:val="nil"/>
              <w:right w:val="nil"/>
            </w:tcBorders>
          </w:tcPr>
          <w:p w14:paraId="494C2075" w14:textId="77777777" w:rsidR="00267141" w:rsidRDefault="006642A2">
            <w:pPr>
              <w:spacing w:after="0" w:line="259" w:lineRule="auto"/>
              <w:ind w:left="0" w:right="0" w:firstLine="0"/>
              <w:jc w:val="left"/>
            </w:pPr>
            <w:r>
              <w:rPr>
                <w:rFonts w:ascii="Arial" w:eastAsia="Arial" w:hAnsi="Arial" w:cs="Arial"/>
                <w:sz w:val="16"/>
              </w:rPr>
              <w:t>Resolución, en la fecha que se señala.</w:t>
            </w:r>
          </w:p>
        </w:tc>
      </w:tr>
      <w:tr w:rsidR="00267141" w14:paraId="5230FE04" w14:textId="77777777">
        <w:trPr>
          <w:trHeight w:val="354"/>
        </w:trPr>
        <w:tc>
          <w:tcPr>
            <w:tcW w:w="2772" w:type="dxa"/>
            <w:tcBorders>
              <w:top w:val="nil"/>
              <w:left w:val="nil"/>
              <w:bottom w:val="nil"/>
              <w:right w:val="nil"/>
            </w:tcBorders>
            <w:vAlign w:val="bottom"/>
          </w:tcPr>
          <w:p w14:paraId="18203B20" w14:textId="742F2E1E" w:rsidR="006642A2" w:rsidRPr="006642A2" w:rsidRDefault="006642A2" w:rsidP="006642A2">
            <w:pPr>
              <w:spacing w:after="0" w:line="259" w:lineRule="auto"/>
              <w:ind w:left="525" w:right="0" w:firstLine="0"/>
              <w:jc w:val="left"/>
              <w:rPr>
                <w:rFonts w:ascii="Arial" w:eastAsia="Arial" w:hAnsi="Arial" w:cs="Arial"/>
                <w:b/>
                <w:sz w:val="16"/>
              </w:rPr>
            </w:pPr>
            <w:r>
              <w:rPr>
                <w:rFonts w:ascii="Arial" w:eastAsia="Arial" w:hAnsi="Arial" w:cs="Arial"/>
                <w:b/>
                <w:sz w:val="16"/>
              </w:rPr>
              <w:t>Ebazpenaren data</w:t>
            </w:r>
          </w:p>
        </w:tc>
        <w:tc>
          <w:tcPr>
            <w:tcW w:w="2332" w:type="dxa"/>
            <w:tcBorders>
              <w:top w:val="nil"/>
              <w:left w:val="nil"/>
              <w:bottom w:val="nil"/>
              <w:right w:val="nil"/>
            </w:tcBorders>
            <w:vAlign w:val="bottom"/>
          </w:tcPr>
          <w:p w14:paraId="27890388" w14:textId="77777777" w:rsidR="00267141" w:rsidRDefault="006642A2">
            <w:pPr>
              <w:spacing w:after="0" w:line="259" w:lineRule="auto"/>
              <w:ind w:left="0" w:right="0" w:firstLine="0"/>
              <w:jc w:val="left"/>
            </w:pPr>
            <w:r>
              <w:rPr>
                <w:rFonts w:ascii="Arial" w:eastAsia="Arial" w:hAnsi="Arial" w:cs="Arial"/>
                <w:b/>
                <w:sz w:val="16"/>
              </w:rPr>
              <w:t>Ebazpenaren zk.</w:t>
            </w:r>
          </w:p>
        </w:tc>
        <w:tc>
          <w:tcPr>
            <w:tcW w:w="4108" w:type="dxa"/>
            <w:tcBorders>
              <w:top w:val="nil"/>
              <w:left w:val="nil"/>
              <w:bottom w:val="nil"/>
              <w:right w:val="nil"/>
            </w:tcBorders>
            <w:vAlign w:val="bottom"/>
          </w:tcPr>
          <w:p w14:paraId="4E594821" w14:textId="77777777" w:rsidR="00267141" w:rsidRDefault="006642A2">
            <w:pPr>
              <w:tabs>
                <w:tab w:val="center" w:pos="1131"/>
                <w:tab w:val="center" w:pos="3116"/>
              </w:tabs>
              <w:spacing w:after="0" w:line="259" w:lineRule="auto"/>
              <w:ind w:left="0" w:right="0" w:firstLine="0"/>
              <w:jc w:val="left"/>
            </w:pPr>
            <w:r>
              <w:rPr>
                <w:rFonts w:ascii="Calibri" w:eastAsia="Calibri" w:hAnsi="Calibri" w:cs="Calibri"/>
              </w:rPr>
              <w:tab/>
            </w:r>
            <w:r>
              <w:rPr>
                <w:rFonts w:ascii="Arial" w:eastAsia="Arial" w:hAnsi="Arial" w:cs="Arial"/>
                <w:b/>
                <w:sz w:val="16"/>
              </w:rPr>
              <w:t>Fecha Resolución</w:t>
            </w:r>
            <w:r>
              <w:rPr>
                <w:rFonts w:ascii="Arial" w:eastAsia="Arial" w:hAnsi="Arial" w:cs="Arial"/>
                <w:b/>
                <w:sz w:val="16"/>
              </w:rPr>
              <w:tab/>
              <w:t>Nº Resolución</w:t>
            </w:r>
          </w:p>
        </w:tc>
      </w:tr>
      <w:tr w:rsidR="00267141" w14:paraId="365814F6" w14:textId="77777777">
        <w:trPr>
          <w:trHeight w:val="30"/>
        </w:trPr>
        <w:tc>
          <w:tcPr>
            <w:tcW w:w="2772" w:type="dxa"/>
            <w:tcBorders>
              <w:top w:val="nil"/>
              <w:left w:val="nil"/>
              <w:bottom w:val="nil"/>
              <w:right w:val="nil"/>
            </w:tcBorders>
            <w:vAlign w:val="bottom"/>
          </w:tcPr>
          <w:p w14:paraId="3C8DCC1A" w14:textId="77777777" w:rsidR="00267141" w:rsidRDefault="006642A2">
            <w:pPr>
              <w:spacing w:after="0" w:line="259" w:lineRule="auto"/>
              <w:ind w:left="14" w:right="-1619" w:firstLine="0"/>
              <w:jc w:val="left"/>
            </w:pPr>
            <w:r>
              <w:rPr>
                <w:rFonts w:ascii="Calibri" w:eastAsia="Calibri" w:hAnsi="Calibri" w:cs="Calibri"/>
                <w:noProof/>
              </w:rPr>
              <mc:AlternateContent>
                <mc:Choice Requires="wpg">
                  <w:drawing>
                    <wp:inline distT="0" distB="0" distL="0" distR="0" wp14:anchorId="34E2C6FA" wp14:editId="7AF82614">
                      <wp:extent cx="2779395" cy="6350"/>
                      <wp:effectExtent l="0" t="0" r="0" b="0"/>
                      <wp:docPr id="3732" name="Group 3732"/>
                      <wp:cNvGraphicFramePr/>
                      <a:graphic xmlns:a="http://schemas.openxmlformats.org/drawingml/2006/main">
                        <a:graphicData uri="http://schemas.microsoft.com/office/word/2010/wordprocessingGroup">
                          <wpg:wgp>
                            <wpg:cNvGrpSpPr/>
                            <wpg:grpSpPr>
                              <a:xfrm>
                                <a:off x="0" y="0"/>
                                <a:ext cx="2779395" cy="6350"/>
                                <a:chOff x="0" y="0"/>
                                <a:chExt cx="2779395" cy="6350"/>
                              </a:xfrm>
                            </wpg:grpSpPr>
                            <wps:wsp>
                              <wps:cNvPr id="43" name="Shape 43"/>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32" style="width:218.85pt;height:0.5pt;mso-position-horizontal-relative:char;mso-position-vertical-relative:line" coordsize="27793,63">
                      <v:shape id="Shape 43" style="position:absolute;width:27793;height:0;left:0;top:0;" coordsize="2779395,0" path="m0,0l2779395,0">
                        <v:stroke weight="0.5pt" endcap="flat" joinstyle="miter" miterlimit="10" on="true" color="#000000"/>
                        <v:fill on="false" color="#000000" opacity="0"/>
                      </v:shape>
                    </v:group>
                  </w:pict>
                </mc:Fallback>
              </mc:AlternateContent>
            </w:r>
          </w:p>
        </w:tc>
        <w:tc>
          <w:tcPr>
            <w:tcW w:w="2332" w:type="dxa"/>
            <w:tcBorders>
              <w:top w:val="nil"/>
              <w:left w:val="nil"/>
              <w:bottom w:val="nil"/>
              <w:right w:val="nil"/>
            </w:tcBorders>
          </w:tcPr>
          <w:p w14:paraId="26DBC376" w14:textId="77777777" w:rsidR="00267141" w:rsidRDefault="00267141">
            <w:pPr>
              <w:spacing w:after="160" w:line="259" w:lineRule="auto"/>
              <w:ind w:left="0" w:right="0" w:firstLine="0"/>
              <w:jc w:val="left"/>
            </w:pPr>
          </w:p>
        </w:tc>
        <w:tc>
          <w:tcPr>
            <w:tcW w:w="4108" w:type="dxa"/>
            <w:tcBorders>
              <w:top w:val="nil"/>
              <w:left w:val="nil"/>
              <w:bottom w:val="nil"/>
              <w:right w:val="nil"/>
            </w:tcBorders>
            <w:vAlign w:val="bottom"/>
          </w:tcPr>
          <w:p w14:paraId="57E63A51" w14:textId="77777777" w:rsidR="00267141" w:rsidRDefault="006642A2">
            <w:pPr>
              <w:spacing w:after="0" w:line="259" w:lineRule="auto"/>
              <w:ind w:left="138" w:right="0" w:firstLine="0"/>
              <w:jc w:val="left"/>
            </w:pPr>
            <w:r>
              <w:rPr>
                <w:rFonts w:ascii="Calibri" w:eastAsia="Calibri" w:hAnsi="Calibri" w:cs="Calibri"/>
                <w:noProof/>
              </w:rPr>
              <mc:AlternateContent>
                <mc:Choice Requires="wpg">
                  <w:drawing>
                    <wp:inline distT="0" distB="0" distL="0" distR="0" wp14:anchorId="1CD9D57D" wp14:editId="6BDFD893">
                      <wp:extent cx="2520950" cy="6350"/>
                      <wp:effectExtent l="0" t="0" r="0" b="0"/>
                      <wp:docPr id="3736" name="Group 3736"/>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44" name="Shape 44"/>
                              <wps:cNvSpPr/>
                              <wps:spPr>
                                <a:xfrm>
                                  <a:off x="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36" style="width:198.5pt;height:0.5pt;mso-position-horizontal-relative:char;mso-position-vertical-relative:line" coordsize="25209,63">
                      <v:shape id="Shape 44" style="position:absolute;width:25209;height:0;left:0;top:0;" coordsize="2520950,0" path="m0,0l2520950,0">
                        <v:stroke weight="0.5pt" endcap="flat" joinstyle="miter" miterlimit="10" on="true" color="#000000"/>
                        <v:fill on="false" color="#000000" opacity="0"/>
                      </v:shape>
                    </v:group>
                  </w:pict>
                </mc:Fallback>
              </mc:AlternateContent>
            </w:r>
          </w:p>
        </w:tc>
      </w:tr>
      <w:tr w:rsidR="00267141" w14:paraId="4E9FF134" w14:textId="77777777">
        <w:trPr>
          <w:trHeight w:val="178"/>
        </w:trPr>
        <w:tc>
          <w:tcPr>
            <w:tcW w:w="2772" w:type="dxa"/>
            <w:tcBorders>
              <w:top w:val="nil"/>
              <w:left w:val="nil"/>
              <w:bottom w:val="nil"/>
              <w:right w:val="nil"/>
            </w:tcBorders>
          </w:tcPr>
          <w:p w14:paraId="6C28EB8B" w14:textId="77777777" w:rsidR="00267141" w:rsidRDefault="006642A2">
            <w:pPr>
              <w:spacing w:after="0" w:line="259" w:lineRule="auto"/>
              <w:ind w:left="899" w:right="0" w:firstLine="0"/>
              <w:jc w:val="left"/>
            </w:pPr>
            <w:r>
              <w:rPr>
                <w:rFonts w:ascii="Arial" w:eastAsia="Arial" w:hAnsi="Arial" w:cs="Arial"/>
                <w:sz w:val="16"/>
              </w:rPr>
              <w:t>25/01/08</w:t>
            </w:r>
          </w:p>
        </w:tc>
        <w:tc>
          <w:tcPr>
            <w:tcW w:w="2332" w:type="dxa"/>
            <w:tcBorders>
              <w:top w:val="nil"/>
              <w:left w:val="nil"/>
              <w:bottom w:val="nil"/>
              <w:right w:val="nil"/>
            </w:tcBorders>
          </w:tcPr>
          <w:p w14:paraId="78E12CF4" w14:textId="77777777" w:rsidR="00267141" w:rsidRDefault="006642A2">
            <w:pPr>
              <w:spacing w:after="0" w:line="259" w:lineRule="auto"/>
              <w:ind w:left="538" w:right="0" w:firstLine="0"/>
              <w:jc w:val="left"/>
            </w:pPr>
            <w:r>
              <w:rPr>
                <w:rFonts w:ascii="Arial" w:eastAsia="Arial" w:hAnsi="Arial" w:cs="Arial"/>
                <w:sz w:val="16"/>
              </w:rPr>
              <w:t>74</w:t>
            </w:r>
          </w:p>
        </w:tc>
        <w:tc>
          <w:tcPr>
            <w:tcW w:w="4108" w:type="dxa"/>
            <w:tcBorders>
              <w:top w:val="nil"/>
              <w:left w:val="nil"/>
              <w:bottom w:val="nil"/>
              <w:right w:val="nil"/>
            </w:tcBorders>
          </w:tcPr>
          <w:p w14:paraId="71867769" w14:textId="77777777" w:rsidR="00267141" w:rsidRDefault="006642A2">
            <w:pPr>
              <w:tabs>
                <w:tab w:val="center" w:pos="1131"/>
                <w:tab w:val="center" w:pos="3115"/>
              </w:tabs>
              <w:spacing w:after="0" w:line="259" w:lineRule="auto"/>
              <w:ind w:left="0" w:right="0" w:firstLine="0"/>
              <w:jc w:val="left"/>
            </w:pPr>
            <w:r>
              <w:rPr>
                <w:rFonts w:ascii="Calibri" w:eastAsia="Calibri" w:hAnsi="Calibri" w:cs="Calibri"/>
              </w:rPr>
              <w:tab/>
            </w:r>
            <w:r>
              <w:rPr>
                <w:rFonts w:ascii="Arial" w:eastAsia="Arial" w:hAnsi="Arial" w:cs="Arial"/>
                <w:sz w:val="16"/>
              </w:rPr>
              <w:t>08/01/2025</w:t>
            </w:r>
            <w:r>
              <w:rPr>
                <w:rFonts w:ascii="Arial" w:eastAsia="Arial" w:hAnsi="Arial" w:cs="Arial"/>
                <w:sz w:val="16"/>
              </w:rPr>
              <w:tab/>
              <w:t>74</w:t>
            </w:r>
          </w:p>
        </w:tc>
      </w:tr>
    </w:tbl>
    <w:p w14:paraId="68F52DAE" w14:textId="77777777" w:rsidR="00267141" w:rsidRDefault="006642A2">
      <w:pPr>
        <w:pStyle w:val="Ttulo1"/>
      </w:pPr>
      <w:r>
        <w:t>RESOLUCIÓN</w:t>
      </w:r>
    </w:p>
    <w:p w14:paraId="20E66B97" w14:textId="26D6347B" w:rsidR="00267141" w:rsidRDefault="006642A2">
      <w:pPr>
        <w:spacing w:after="350"/>
        <w:ind w:left="347"/>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5847A24" wp14:editId="464E5892">
                <wp:simplePos x="0" y="0"/>
                <wp:positionH relativeFrom="page">
                  <wp:posOffset>701675</wp:posOffset>
                </wp:positionH>
                <wp:positionV relativeFrom="page">
                  <wp:posOffset>10059683</wp:posOffset>
                </wp:positionV>
                <wp:extent cx="6247765" cy="6350"/>
                <wp:effectExtent l="0" t="0" r="0" b="0"/>
                <wp:wrapTopAndBottom/>
                <wp:docPr id="3219" name="Group 3219"/>
                <wp:cNvGraphicFramePr/>
                <a:graphic xmlns:a="http://schemas.openxmlformats.org/drawingml/2006/main">
                  <a:graphicData uri="http://schemas.microsoft.com/office/word/2010/wordprocessingGroup">
                    <wpg:wgp>
                      <wpg:cNvGrpSpPr/>
                      <wpg:grpSpPr>
                        <a:xfrm>
                          <a:off x="0" y="0"/>
                          <a:ext cx="6247765" cy="6350"/>
                          <a:chOff x="0" y="0"/>
                          <a:chExt cx="6247765" cy="6350"/>
                        </a:xfrm>
                      </wpg:grpSpPr>
                      <wps:wsp>
                        <wps:cNvPr id="6" name="Shape 6"/>
                        <wps:cNvSpPr/>
                        <wps:spPr>
                          <a:xfrm>
                            <a:off x="0" y="0"/>
                            <a:ext cx="6247765" cy="0"/>
                          </a:xfrm>
                          <a:custGeom>
                            <a:avLst/>
                            <a:gdLst/>
                            <a:ahLst/>
                            <a:cxnLst/>
                            <a:rect l="0" t="0" r="0" b="0"/>
                            <a:pathLst>
                              <a:path w="6247765">
                                <a:moveTo>
                                  <a:pt x="0" y="0"/>
                                </a:moveTo>
                                <a:lnTo>
                                  <a:pt x="62477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19" style="width:491.95pt;height:0.5pt;position:absolute;mso-position-horizontal-relative:page;mso-position-horizontal:absolute;margin-left:55.25pt;mso-position-vertical-relative:page;margin-top:792.101pt;" coordsize="62477,63">
                <v:shape id="Shape 6" style="position:absolute;width:62477;height:0;left:0;top:0;" coordsize="6247765,0" path="m0,0l6247765,0">
                  <v:stroke weight="0.5pt" endcap="flat" joinstyle="miter" miterlimit="10" on="true" color="#000000"/>
                  <v:fill on="false" color="#000000" opacity="0"/>
                </v:shape>
                <w10:wrap type="topAndBottom"/>
              </v:group>
            </w:pict>
          </mc:Fallback>
        </mc:AlternateContent>
      </w:r>
      <w:r>
        <w:t>Servicio de Secretaría Técnica de Función Pública Nº expte.: 230/2024</w:t>
      </w:r>
    </w:p>
    <w:p w14:paraId="42BA519A" w14:textId="70B7DF0A" w:rsidR="00267141" w:rsidRDefault="006642A2">
      <w:pPr>
        <w:pStyle w:val="Ttulo2"/>
        <w:spacing w:after="350"/>
        <w:ind w:left="347" w:right="979"/>
      </w:pPr>
      <w:r>
        <w:t xml:space="preserve">Inadmitir la solicitud de acceso a información pública presentada por </w:t>
      </w:r>
      <w:r w:rsidRPr="006642A2">
        <w:rPr>
          <w:highlight w:val="black"/>
        </w:rPr>
        <w:t>XXXXX</w:t>
      </w:r>
      <w:r>
        <w:t xml:space="preserve"> por no tratarse de información pública en el sentido de los artículos 13 LTAIBG y 18.1 NF 1/2017</w:t>
      </w:r>
    </w:p>
    <w:p w14:paraId="00D9614F" w14:textId="0C672684" w:rsidR="00267141" w:rsidRDefault="006642A2">
      <w:pPr>
        <w:ind w:left="347" w:right="979"/>
      </w:pPr>
      <w:r>
        <w:t xml:space="preserve">En fecha 29 de octubre de 2024 se presenta por parte </w:t>
      </w:r>
      <w:r w:rsidRPr="006642A2">
        <w:rPr>
          <w:highlight w:val="black"/>
        </w:rPr>
        <w:t>XXXXX</w:t>
      </w:r>
      <w:r>
        <w:t xml:space="preserve"> una solicitud de información pública por la que requiere la siguiente información: «El envío de la mejor respuesta para cada supuesto práctico de la convocatoria para el examen de ECONOMISTAS - Acuerdo 499/2016 de 3 de agosto».</w:t>
      </w:r>
    </w:p>
    <w:p w14:paraId="2E76B771" w14:textId="77777777" w:rsidR="00267141" w:rsidRDefault="006642A2">
      <w:pPr>
        <w:ind w:left="347" w:right="979"/>
      </w:pPr>
      <w:r>
        <w:t>Consultado los registros de este Servicio consta que la solicitante participó en dicho proceso selectivo cuya información requiere (Orden Foral 110/2017, de 24 de febrero).</w:t>
      </w:r>
    </w:p>
    <w:p w14:paraId="1B68362F" w14:textId="77777777" w:rsidR="00267141" w:rsidRDefault="006642A2">
      <w:pPr>
        <w:ind w:left="347" w:right="979"/>
      </w:pPr>
      <w:r>
        <w:t>Dicho proceso concluyó por medio de la Orden Foral 480/2018, de 4 de octubre, por la que se nombra funcionarios/as de carrera en la convocatoria para el ingreso como funcionarios/as de carrera, en la en la escala de administración especial, subescala técnica, clase técnicos superiores, económicas/empresariales, grupo A1, correspondiente a la oferta de empleo público para el año 2016 de la Administración General de la Diputación Foral de Álava, publicada en el BOTHA de 17 de octubre de 2018, hace más de un l</w:t>
      </w:r>
      <w:r>
        <w:t>ustro.</w:t>
      </w:r>
    </w:p>
    <w:p w14:paraId="07F356AC" w14:textId="77777777" w:rsidR="00267141" w:rsidRDefault="006642A2">
      <w:pPr>
        <w:ind w:left="347" w:right="979"/>
      </w:pPr>
      <w:r>
        <w:t>La solicitante ha presentado una solicitud de acceso a la información pública, por lo que parece sustentarse en el artículo 30 NF 1/2017, relativo al «Ejercicio del derecho de acceso a la información pública», el cual guarda relación con el artículo 12 LTAIBG.</w:t>
      </w:r>
    </w:p>
    <w:p w14:paraId="1D50B90D" w14:textId="77777777" w:rsidR="00267141" w:rsidRDefault="006642A2">
      <w:pPr>
        <w:ind w:left="347" w:right="979"/>
      </w:pPr>
      <w:r>
        <w:t>La solicitante ampara su petición en una solicitud de acceso a la información pública.</w:t>
      </w:r>
    </w:p>
    <w:p w14:paraId="3CD7D82A" w14:textId="77777777" w:rsidR="00267141" w:rsidRDefault="006642A2">
      <w:pPr>
        <w:ind w:left="347" w:right="979"/>
      </w:pPr>
      <w:r>
        <w:t>El apartado 1 de la Disposición adicional primera LTAIBG establece las regulaciones especiales del derecho de acceso a la información pública, cuando preceptúa que:</w:t>
      </w:r>
    </w:p>
    <w:p w14:paraId="3F8C9A70" w14:textId="77777777" w:rsidR="00267141" w:rsidRDefault="006642A2">
      <w:pPr>
        <w:ind w:left="347" w:right="979"/>
      </w:pPr>
      <w:r>
        <w:t xml:space="preserve">«1. La normativa reguladora del correspondiente procedimiento administrativo será la aplicable al acceso por parte de quienes tengan la </w:t>
      </w:r>
      <w:r>
        <w:rPr>
          <w:b/>
          <w:u w:val="single" w:color="000000"/>
        </w:rPr>
        <w:t>condición de interesados</w:t>
      </w:r>
      <w:r>
        <w:t xml:space="preserve"> en un procedimiento administrativo en curso a los documentos que se integren en el mismo».</w:t>
      </w:r>
    </w:p>
    <w:p w14:paraId="100D8E50" w14:textId="77777777" w:rsidR="00267141" w:rsidRDefault="006642A2">
      <w:pPr>
        <w:ind w:left="1070" w:right="979"/>
      </w:pPr>
      <w:r>
        <w:t>(El destacado es nuestro)</w:t>
      </w:r>
    </w:p>
    <w:p w14:paraId="73193B72" w14:textId="77777777" w:rsidR="00267141" w:rsidRDefault="006642A2">
      <w:pPr>
        <w:spacing w:after="723"/>
        <w:ind w:left="347" w:right="979"/>
      </w:pPr>
      <w:r>
        <w:lastRenderedPageBreak/>
        <w:t>Así las cosas, para aplicar la LPACAP, según la DA1º.1 LTAIBG, se establece que el procedimiento esté en curso, lo cual, como se ha expuesto concluyó con los nombramientos realizados por Orden Foral 480/2018, de 4 de octubre.</w:t>
      </w:r>
    </w:p>
    <w:p w14:paraId="2A0A80F2" w14:textId="77777777" w:rsidR="00267141" w:rsidRDefault="006642A2">
      <w:pPr>
        <w:ind w:left="347" w:right="979"/>
      </w:pPr>
      <w:r>
        <w:t>Sentado cuanto precede, se descarta la aplicación del LPACAP como vía de acceso, de forma que la DA1º.1 LTAIBG «no resulta por tanto de aplicación a los procedimientos terminados», siendo así que el acceso solicitado debe estudiarse bajo el prisma de la NF 1/2017 y la citada LTAIBG, por lo que cabe entrar a analizar si se incurren alguna causa de inadmisión.</w:t>
      </w:r>
    </w:p>
    <w:p w14:paraId="7001998E" w14:textId="77777777" w:rsidR="00267141" w:rsidRDefault="006642A2">
      <w:pPr>
        <w:ind w:left="347" w:right="979"/>
      </w:pPr>
      <w:r>
        <w:t>El artículo 13 LTAIBG entiende por información pública «los contenidos o documentos, cualquiera que sea su formato o soporte, que obren en poder de alguno de los sujetos incluidos en el ámbito de aplicación de este título y que hayan sido elaborados o adquiridos en el ejercicio de sus funciones», pronunciados en el mismo sentido el artículo 18.1 NF 1/2017.</w:t>
      </w:r>
    </w:p>
    <w:p w14:paraId="086CCE08" w14:textId="77777777" w:rsidR="00267141" w:rsidRDefault="006642A2">
      <w:pPr>
        <w:ind w:left="347" w:right="979"/>
      </w:pPr>
      <w:r>
        <w:t>Teniendo en cuenta lo anterior, no existe como tal una información previamente elaborada que contenga «una mejor respuesta para cada supuesto práctico», habiendo correspondido su calificación al Tribunal Calificador de dicha convocatoria conforme a lo dispuesto en las bases específicas -base general 9.5-, fundamentándose la calificación en «la exactitud de las respuestas, la capacidad de síntesis y análisis, la riqueza de las ideas desarrolladas, así como la claridad y corrección de la exposición de las mis</w:t>
      </w:r>
      <w:r>
        <w:t>mas» - base específica 3.1.2 relativa al segundo ejercicio-.</w:t>
      </w:r>
    </w:p>
    <w:p w14:paraId="5128BCAE" w14:textId="77777777" w:rsidR="00267141" w:rsidRDefault="006642A2">
      <w:pPr>
        <w:ind w:left="347" w:right="979"/>
      </w:pPr>
      <w:r>
        <w:t>Por lo tanto, no estamos ante información pública en el sentido de los artículos 13 LTAIBG y 18.1 NF 1/2017, sin que pueda admitirse, en este sentido la presente solicitud.</w:t>
      </w:r>
    </w:p>
    <w:p w14:paraId="22DB4CC2" w14:textId="77777777" w:rsidR="00267141" w:rsidRDefault="006642A2">
      <w:pPr>
        <w:ind w:left="347" w:right="979"/>
      </w:pPr>
      <w:r>
        <w:t>Ahora bien, si lo que realmente se pretende con dicha solicitud es tener acceso a la mejor respuesta que se ha dado por los candidatos, en otras palabras, acceder a los ejercicios de aquellos, tampoco cabe su entrega, haciendo nuestros los argumentos y conclusiones del Consejo Foral de Transparencia, cuando en su resolución 5/2024 dispone en su punto 7º lo siguiente:</w:t>
      </w:r>
    </w:p>
    <w:p w14:paraId="521C7762" w14:textId="77777777" w:rsidR="00267141" w:rsidRDefault="006642A2">
      <w:pPr>
        <w:ind w:left="347" w:right="979"/>
      </w:pPr>
      <w:r>
        <w:rPr>
          <w:i/>
        </w:rPr>
        <w:t xml:space="preserve">«Al respecto procede indicar que el Tribunal de Justicia de la Unión Europea, en su Sentencia de 20 de diciembre de 2017, manifestó que “El artículo 2, letra a) de la Directiva 95/46/CE del Parlamento Europeo y del consejo, de 24 de octubre de 1995, relativa a la protección de las personas físicas en lo que respecta al tratamiento de datos personales y a la libre circulación de estos datos, debe interpretarse en el sentido de que, en circunstancias como las del litigio principal, las respuestas por escrito </w:t>
      </w:r>
      <w:r>
        <w:rPr>
          <w:i/>
        </w:rPr>
        <w:t xml:space="preserve">proporcionadas por un aspirante durante un examen profesional y las eventuales anotaciones del examinador referentes a dichas respuestas son datos personales a efectos del citado precepto”. </w:t>
      </w:r>
    </w:p>
    <w:p w14:paraId="291CBA54" w14:textId="77777777" w:rsidR="00267141" w:rsidRDefault="006642A2">
      <w:pPr>
        <w:ind w:left="347" w:right="979"/>
      </w:pPr>
      <w:r>
        <w:rPr>
          <w:i/>
        </w:rPr>
        <w:t xml:space="preserve">Ahora bien, pese a determinar el carácter personal de los datos, la limitación derivada de la protección de este tipo de datos no puede aplicarse automáticamente, sino que, de acuerdo con lo dispuesto en el artículo 15.3 LTAIBG y en el mencionado Criterio Interpretativo 002/2015, para resolver el conflicto que puede surgir entre obligaciones de transparencia y protección de datos, ha de asegurarse el equilibrio entre ambos intereses, exigiendo la aplicación de este límite la evaluación previa del daño y el </w:t>
      </w:r>
      <w:r>
        <w:rPr>
          <w:i/>
        </w:rPr>
        <w:t>interés público en la divulgación de los datos, respetando las siguientes pautas:</w:t>
      </w:r>
    </w:p>
    <w:p w14:paraId="4E24E62E" w14:textId="77777777" w:rsidR="00267141" w:rsidRDefault="006642A2">
      <w:pPr>
        <w:ind w:left="347" w:right="979"/>
      </w:pPr>
      <w:r>
        <w:rPr>
          <w:i/>
        </w:rPr>
        <w:t xml:space="preserve">En primer lugar, los datos que se solicitan no son especialmente protegidos por la normativa de protección de datos, dado que no se refieren a ideología, afiliación sindical, religión, creencias, origen racial, salud, vida sexual o comisión de infracciones penales o administrativas. En segundo lugar, y respecto de la valoración de si los datos solicitados pueden considerarse como </w:t>
      </w:r>
      <w:r>
        <w:rPr>
          <w:i/>
        </w:rPr>
        <w:lastRenderedPageBreak/>
        <w:t>meramente identificativos relacionados con la organización, el funcionamiento o la actividad pública del órgano o entidad correspondiente, no parece posible concluir que tengan tal consideración. En efecto, los datos personales afectados ni siquiera pertenecen a un miembro de la organización y, aunque se trata de información en poder del organismo que recibió la solicitud, no está estrictamente relacionada con su actividad pública, entendida tal como las funciones o competencias que tiene atribuidas y son p</w:t>
      </w:r>
      <w:r>
        <w:rPr>
          <w:i/>
        </w:rPr>
        <w:t xml:space="preserve">or el mismo desempeñadas. </w:t>
      </w:r>
    </w:p>
    <w:p w14:paraId="789F5F5B" w14:textId="77777777" w:rsidR="00267141" w:rsidRDefault="006642A2">
      <w:pPr>
        <w:ind w:left="347" w:right="979"/>
      </w:pPr>
      <w:r>
        <w:rPr>
          <w:i/>
        </w:rPr>
        <w:t xml:space="preserve">Por lo tanto, debe realizarse la ponderación que se indica expresamente en el apartado 3 del artículo 15 de la Ley 19/2013, de tal forma que la Administración pública podrá proporcionar la información solicitada si al ponderar la solicitud estima:  i) el menor perjuicio a los afectados derivado del transcurso de los plazos previstos en el artículo 57 de la Ley 16/1985, de 25 de junio, del Patrimonio Histórico Español; ii) el hecho de que la persona solicitante tenga la condición de investigador y motive el </w:t>
      </w:r>
      <w:r>
        <w:rPr>
          <w:i/>
        </w:rPr>
        <w:t>acceso en fines históricos, científicos o estadísticos; iii) que prevalece el hecho de que los datos sean meramente identificativos o de contacto y no se aprecia un perjuicio relevante al interés de los afectados; iv) mayor garantía de los derechos de los afectados en caso de que los datos contenidos en el documento puedan afectar a su intimidad o a su seguridad, o se refieran a menores de edad.</w:t>
      </w:r>
    </w:p>
    <w:p w14:paraId="151A0E70" w14:textId="77777777" w:rsidR="00267141" w:rsidRDefault="006642A2">
      <w:pPr>
        <w:ind w:left="347" w:right="979"/>
      </w:pPr>
      <w:r>
        <w:rPr>
          <w:i/>
        </w:rPr>
        <w:t xml:space="preserve">Realizada dicha ponderación en relación con la solicitud de </w:t>
      </w:r>
      <w:r w:rsidRPr="006642A2">
        <w:rPr>
          <w:i/>
          <w:highlight w:val="black"/>
        </w:rPr>
        <w:t>XXXXX</w:t>
      </w:r>
      <w:r>
        <w:rPr>
          <w:i/>
        </w:rPr>
        <w:t xml:space="preserve"> cabe concluir que: </w:t>
      </w:r>
    </w:p>
    <w:p w14:paraId="23A89337" w14:textId="77777777" w:rsidR="00267141" w:rsidRDefault="006642A2">
      <w:pPr>
        <w:numPr>
          <w:ilvl w:val="0"/>
          <w:numId w:val="1"/>
        </w:numPr>
        <w:ind w:right="979" w:firstLine="139"/>
      </w:pPr>
      <w:r>
        <w:rPr>
          <w:i/>
        </w:rPr>
        <w:t>Los datos solicitados no son meramente identificativos o de contacto.</w:t>
      </w:r>
    </w:p>
    <w:p w14:paraId="1524651F" w14:textId="77777777" w:rsidR="00267141" w:rsidRDefault="006642A2">
      <w:pPr>
        <w:numPr>
          <w:ilvl w:val="0"/>
          <w:numId w:val="1"/>
        </w:numPr>
        <w:ind w:right="979" w:firstLine="139"/>
      </w:pPr>
      <w:r>
        <w:rPr>
          <w:i/>
        </w:rPr>
        <w:t xml:space="preserve">Tal y como ha quedado expuesto en el apartado 6, la persona solicitante no ostenta un interés legítimo y directo o de un derecho subjetivo distinto del de su condición de ciudadano. </w:t>
      </w:r>
    </w:p>
    <w:p w14:paraId="30481C52" w14:textId="77777777" w:rsidR="00267141" w:rsidRDefault="006642A2">
      <w:pPr>
        <w:numPr>
          <w:ilvl w:val="0"/>
          <w:numId w:val="1"/>
        </w:numPr>
        <w:ind w:right="979" w:firstLine="139"/>
      </w:pPr>
      <w:r>
        <w:rPr>
          <w:i/>
        </w:rPr>
        <w:t>Tampoco se acredita por la persona reclamante el tener la condición de investigadora o que motive el acceso en fines históricos, científicos o estadísticos.</w:t>
      </w:r>
    </w:p>
    <w:p w14:paraId="59734942" w14:textId="77777777" w:rsidR="00267141" w:rsidRDefault="006642A2">
      <w:pPr>
        <w:numPr>
          <w:ilvl w:val="0"/>
          <w:numId w:val="1"/>
        </w:numPr>
        <w:ind w:right="979" w:firstLine="139"/>
      </w:pPr>
      <w:r>
        <w:rPr>
          <w:i/>
        </w:rPr>
        <w:t xml:space="preserve">En cuanto al menor perjuicio a los afectados derivado del transcurso de los plazos fijados en el artículo 57 de la Ley 16/1985 a partir de la fecha del documento o información, y teniendo en cuenta que </w:t>
      </w:r>
      <w:r w:rsidRPr="006642A2">
        <w:rPr>
          <w:i/>
          <w:highlight w:val="black"/>
        </w:rPr>
        <w:t>XXXXX</w:t>
      </w:r>
      <w:r>
        <w:rPr>
          <w:i/>
        </w:rPr>
        <w:t xml:space="preserve"> solicita información correspondiente a un proceso selectivo de ingreso a puestos de categoría de empresariales-economistas celebrado en 2017, consideramos que no quedan acreditados dichos plazo -que son de veinticinco años desde su muerte, si su fecha es conocida, o, en otro caso, de cincuenta años, a partir de la fecha de los documentos-,  y que, por el contrario, la revelación de los datos personales de las personas aspirantes que aprobaron el segundo ejercicio puede suponer para las concretas personas a</w:t>
      </w:r>
      <w:r>
        <w:rPr>
          <w:i/>
        </w:rPr>
        <w:t xml:space="preserve">fectadas un perjuicio para su intimidad. </w:t>
      </w:r>
    </w:p>
    <w:p w14:paraId="36CE5027" w14:textId="77777777" w:rsidR="00267141" w:rsidRDefault="006642A2">
      <w:pPr>
        <w:ind w:left="347" w:right="979"/>
      </w:pPr>
      <w:r>
        <w:rPr>
          <w:i/>
        </w:rPr>
        <w:t>Por todo ello, este Consejo Foral entiende que no procede la entrega de la copia de los exámenes del segundo ejercicio de las nueve personas que aprobaron dicha prueba al no apreciar un interés público o privado superior que haga decaer el derecho de protección de datos frente al de acceso a la información pública».</w:t>
      </w:r>
    </w:p>
    <w:p w14:paraId="23E5C694" w14:textId="77777777" w:rsidR="00267141" w:rsidRDefault="006642A2">
      <w:pPr>
        <w:ind w:left="347" w:right="979"/>
      </w:pPr>
      <w:r>
        <w:t xml:space="preserve">Por todo cuanto antecede, de conformidad con el artículo 35.1 NF 1/2017 - en relación con el Decreto Foral 154/1993 del Consejo de Diputados de 30 de Julio, por el que se establecen las atribuciones en materia de Función Pública, en relación a su vez, con el Decreto Foral 23/2021, de 1 de junio, por el que se aprueba la estructura orgánica y funcional del Departamento de Fomento del Empleo, Comercio y Turismo y de Administración Foral, y, en relación todos ellos, con el Decreto Foral 152/2023, del Diputado </w:t>
      </w:r>
      <w:r>
        <w:t xml:space="preserve">General, de 30 de junio, por el que se determinan los Departamentos de la Diputación Foral de Álava para la legislatura 2023-2027, resulta competente para resolver la presente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w:t>
      </w:r>
      <w:r>
        <w:lastRenderedPageBreak/>
        <w:t>información p</w:t>
      </w:r>
      <w:r>
        <w:t>ública, por lo que, en virtud de dicha delegación, considerándose como dictada por el órgano delegante,</w:t>
      </w:r>
    </w:p>
    <w:p w14:paraId="40FFF083" w14:textId="77777777" w:rsidR="00267141" w:rsidRDefault="006642A2">
      <w:pPr>
        <w:spacing w:after="218" w:line="259" w:lineRule="auto"/>
        <w:ind w:left="353" w:right="0" w:firstLine="0"/>
        <w:jc w:val="left"/>
      </w:pPr>
      <w:r>
        <w:t xml:space="preserve"> </w:t>
      </w:r>
    </w:p>
    <w:p w14:paraId="35BA95C7" w14:textId="77777777" w:rsidR="00267141" w:rsidRDefault="006642A2">
      <w:pPr>
        <w:pStyle w:val="Ttulo2"/>
        <w:spacing w:after="458"/>
        <w:ind w:left="-254" w:right="979"/>
      </w:pPr>
      <w:r>
        <w:t xml:space="preserve">                                                                         RESUELVO</w:t>
      </w:r>
    </w:p>
    <w:p w14:paraId="5210B202" w14:textId="46503660" w:rsidR="00267141" w:rsidRDefault="006642A2">
      <w:pPr>
        <w:ind w:left="347" w:right="979"/>
      </w:pPr>
      <w:r>
        <w:rPr>
          <w:b/>
        </w:rPr>
        <w:t>Primero.</w:t>
      </w:r>
      <w:r>
        <w:t xml:space="preserve"> Inadmitir la solicitud de acceso a información pública presentada por </w:t>
      </w:r>
      <w:r w:rsidRPr="006642A2">
        <w:rPr>
          <w:highlight w:val="black"/>
        </w:rPr>
        <w:t>XXXXX</w:t>
      </w:r>
      <w:r>
        <w:t xml:space="preserve"> por no tratarse de información pública en el sentido de los artículos 13 LTAIBG y 18.1 NF 1/2017.</w:t>
      </w:r>
    </w:p>
    <w:p w14:paraId="6589D1D6" w14:textId="77777777" w:rsidR="00267141" w:rsidRDefault="006642A2">
      <w:pPr>
        <w:ind w:left="347" w:right="979"/>
      </w:pPr>
      <w:r>
        <w:rPr>
          <w:b/>
        </w:rPr>
        <w:t>Segundo.</w:t>
      </w:r>
      <w:r>
        <w:t xml:space="preserve"> Notificar la Resolución a la solicitante, haciendo constar expresamente que la misma se dicta por delegación, considerándose como dictada por el órgano delegante.</w:t>
      </w:r>
    </w:p>
    <w:p w14:paraId="7343FA25" w14:textId="4CF2AD39" w:rsidR="00267141" w:rsidRDefault="006642A2">
      <w:pPr>
        <w:spacing w:after="1432"/>
        <w:ind w:left="347" w:right="979"/>
      </w:pPr>
      <w:r>
        <w:rPr>
          <w:b/>
        </w:rPr>
        <w:t>Tercero.</w:t>
      </w:r>
      <w:r>
        <w:t xml:space="preserve"> Contra la presente Resolución, que agota la vía administrativa, podrá interponerse, a partir del día siguiente a la recepción de la presente notificación, recurso contencioso administrativo</w:t>
      </w:r>
      <w:r>
        <w:t xml:space="preserve">,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  </w:t>
      </w:r>
    </w:p>
    <w:p w14:paraId="11E063DE" w14:textId="77777777" w:rsidR="00267141" w:rsidRDefault="006642A2">
      <w:pPr>
        <w:spacing w:after="733"/>
        <w:ind w:left="347" w:right="979"/>
      </w:pPr>
      <w:r>
        <w:t>Vitoria-Gasteiz.</w:t>
      </w:r>
    </w:p>
    <w:p w14:paraId="6863EA07" w14:textId="77777777" w:rsidR="00267141" w:rsidRDefault="006642A2">
      <w:pPr>
        <w:pStyle w:val="Ttulo2"/>
        <w:ind w:left="347" w:right="979"/>
      </w:pPr>
      <w:r>
        <w:t>María José Fernández Alonso</w:t>
      </w:r>
    </w:p>
    <w:p w14:paraId="5C15F917" w14:textId="77777777" w:rsidR="00267141" w:rsidRDefault="006642A2">
      <w:pPr>
        <w:spacing w:after="10"/>
        <w:ind w:left="347" w:right="979"/>
      </w:pPr>
      <w:r>
        <w:t>Funtzio Publikoko zuzendaria</w:t>
      </w:r>
    </w:p>
    <w:p w14:paraId="5201CC6F" w14:textId="77777777" w:rsidR="00267141" w:rsidRDefault="006642A2">
      <w:pPr>
        <w:ind w:left="347" w:right="979"/>
      </w:pPr>
      <w:r>
        <w:t>Directora de Función Pública</w:t>
      </w:r>
    </w:p>
    <w:sectPr w:rsidR="00267141">
      <w:type w:val="continuous"/>
      <w:pgSz w:w="11907" w:h="16840"/>
      <w:pgMar w:top="1655" w:right="849" w:bottom="1188"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2840" w14:textId="77777777" w:rsidR="006642A2" w:rsidRDefault="006642A2">
      <w:pPr>
        <w:spacing w:after="0" w:line="240" w:lineRule="auto"/>
      </w:pPr>
      <w:r>
        <w:separator/>
      </w:r>
    </w:p>
  </w:endnote>
  <w:endnote w:type="continuationSeparator" w:id="0">
    <w:p w14:paraId="2821377A" w14:textId="77777777" w:rsidR="006642A2" w:rsidRDefault="0066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D05E" w14:textId="77777777" w:rsidR="00267141" w:rsidRDefault="006642A2">
    <w:pPr>
      <w:spacing w:after="0" w:line="259" w:lineRule="auto"/>
      <w:ind w:left="0" w:right="-10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05F6D8A" wp14:editId="47FA2E02">
              <wp:simplePos x="0" y="0"/>
              <wp:positionH relativeFrom="page">
                <wp:posOffset>720090</wp:posOffset>
              </wp:positionH>
              <wp:positionV relativeFrom="page">
                <wp:posOffset>9974593</wp:posOffset>
              </wp:positionV>
              <wp:extent cx="6210935" cy="6350"/>
              <wp:effectExtent l="0" t="0" r="0" b="0"/>
              <wp:wrapSquare wrapText="bothSides"/>
              <wp:docPr id="3873" name="Group 3873"/>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3874" name="Shape 3874"/>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73" style="width:489.05pt;height:0.5pt;position:absolute;mso-position-horizontal-relative:page;mso-position-horizontal:absolute;margin-left:56.7pt;mso-position-vertical-relative:page;margin-top:785.401pt;" coordsize="62109,63">
              <v:shape id="Shape 3874" style="position:absolute;width:62109;height:0;left:0;top:0;" coordsize="6210935,0" path="m0,0l6210935,0">
                <v:stroke weight="0.5pt" endcap="flat" joinstyle="miter" miterlimit="10" on="true" color="#808080"/>
                <v:fill on="false" color="#000000" opacity="0"/>
              </v:shape>
              <w10:wrap type="squar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 </w:t>
    </w:r>
    <w:r>
      <w:fldChar w:fldCharType="begin"/>
    </w:r>
    <w:r>
      <w:instrText xml:space="preserve"> NUMPAGES   \* MERGEFORMAT </w:instrText>
    </w:r>
    <w:r>
      <w:fldChar w:fldCharType="separate"/>
    </w:r>
    <w:r>
      <w:rPr>
        <w:rFonts w:ascii="Arial" w:eastAsia="Arial" w:hAnsi="Arial" w:cs="Arial"/>
        <w:color w:val="808080"/>
        <w:sz w:val="16"/>
      </w:rPr>
      <w:t>4</w:t>
    </w:r>
    <w:r>
      <w:rPr>
        <w:rFonts w:ascii="Arial" w:eastAsia="Arial" w:hAnsi="Arial" w:cs="Arial"/>
        <w:color w:val="808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329D" w14:textId="77777777" w:rsidR="00267141" w:rsidRDefault="006642A2">
    <w:pPr>
      <w:spacing w:after="0" w:line="259" w:lineRule="auto"/>
      <w:ind w:left="0" w:right="-103"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3C3EBA0" wp14:editId="6E333E5A">
              <wp:simplePos x="0" y="0"/>
              <wp:positionH relativeFrom="page">
                <wp:posOffset>720090</wp:posOffset>
              </wp:positionH>
              <wp:positionV relativeFrom="page">
                <wp:posOffset>9974593</wp:posOffset>
              </wp:positionV>
              <wp:extent cx="6210935" cy="6350"/>
              <wp:effectExtent l="0" t="0" r="0" b="0"/>
              <wp:wrapSquare wrapText="bothSides"/>
              <wp:docPr id="3853" name="Group 3853"/>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3854" name="Shape 3854"/>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3" style="width:489.05pt;height:0.5pt;position:absolute;mso-position-horizontal-relative:page;mso-position-horizontal:absolute;margin-left:56.7pt;mso-position-vertical-relative:page;margin-top:785.401pt;" coordsize="62109,63">
              <v:shape id="Shape 3854" style="position:absolute;width:62109;height:0;left:0;top:0;" coordsize="6210935,0" path="m0,0l6210935,0">
                <v:stroke weight="0.5pt" endcap="flat" joinstyle="miter" miterlimit="10" on="true" color="#808080"/>
                <v:fill on="false" color="#000000" opacity="0"/>
              </v:shape>
              <w10:wrap type="squar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 </w:t>
    </w:r>
    <w:r>
      <w:fldChar w:fldCharType="begin"/>
    </w:r>
    <w:r>
      <w:instrText xml:space="preserve"> NUMPAGES   \* MERGEFORMAT </w:instrText>
    </w:r>
    <w:r>
      <w:fldChar w:fldCharType="separate"/>
    </w:r>
    <w:r>
      <w:rPr>
        <w:rFonts w:ascii="Arial" w:eastAsia="Arial" w:hAnsi="Arial" w:cs="Arial"/>
        <w:color w:val="808080"/>
        <w:sz w:val="16"/>
      </w:rPr>
      <w:t>4</w:t>
    </w:r>
    <w:r>
      <w:rPr>
        <w:rFonts w:ascii="Arial" w:eastAsia="Arial" w:hAnsi="Arial" w:cs="Arial"/>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1A6C" w14:textId="77777777" w:rsidR="00267141" w:rsidRDefault="0026714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8612" w14:textId="77777777" w:rsidR="006642A2" w:rsidRDefault="006642A2">
      <w:pPr>
        <w:spacing w:after="0" w:line="240" w:lineRule="auto"/>
      </w:pPr>
      <w:r>
        <w:separator/>
      </w:r>
    </w:p>
  </w:footnote>
  <w:footnote w:type="continuationSeparator" w:id="0">
    <w:p w14:paraId="6060AB0B" w14:textId="77777777" w:rsidR="006642A2" w:rsidRDefault="00664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D37C" w14:textId="77777777" w:rsidR="00267141" w:rsidRDefault="006642A2">
    <w:pPr>
      <w:spacing w:after="0" w:line="259" w:lineRule="auto"/>
      <w:ind w:left="0" w:right="-876"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29DC195" wp14:editId="19183D55">
              <wp:simplePos x="0" y="0"/>
              <wp:positionH relativeFrom="page">
                <wp:posOffset>764540</wp:posOffset>
              </wp:positionH>
              <wp:positionV relativeFrom="page">
                <wp:posOffset>326072</wp:posOffset>
              </wp:positionV>
              <wp:extent cx="6301106" cy="428625"/>
              <wp:effectExtent l="0" t="0" r="0" b="0"/>
              <wp:wrapSquare wrapText="bothSides"/>
              <wp:docPr id="3861" name="Group 3861"/>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3862" name="Shape 3862"/>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64" name="Shape 3864"/>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863" name="Picture 3863"/>
                        <pic:cNvPicPr/>
                      </pic:nvPicPr>
                      <pic:blipFill>
                        <a:blip r:embed="rId1"/>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3861" style="width:496.15pt;height:33.75pt;position:absolute;mso-position-horizontal-relative:page;mso-position-horizontal:absolute;margin-left:60.2pt;mso-position-vertical-relative:page;margin-top:25.675pt;" coordsize="63011,4286">
              <v:shape id="Shape 3862" style="position:absolute;width:28803;height:0;left:0;top:2174;" coordsize="2880360,0" path="m0,0l2880360,0">
                <v:stroke weight="0.5pt" endcap="flat" joinstyle="miter" miterlimit="10" on="true" color="#000000"/>
                <v:fill on="false" color="#000000" opacity="0"/>
              </v:shape>
              <v:shape id="Shape 3864" style="position:absolute;width:28803;height:0;left:34207;top:2174;" coordsize="2880360,0" path="m0,0l2880360,0">
                <v:stroke weight="0.5pt" endcap="flat" joinstyle="miter" miterlimit="10" on="true" color="#000000"/>
                <v:fill on="false" color="#000000" opacity="0"/>
              </v:shape>
              <v:shape id="Picture 3863" style="position:absolute;width:4286;height:4286;left:29438;top:0;" filled="f">
                <v:imagedata r:id="rId9"/>
              </v:shape>
              <w10:wrap type="square"/>
            </v:group>
          </w:pict>
        </mc:Fallback>
      </mc:AlternateContent>
    </w:r>
    <w:r>
      <w:rPr>
        <w:rFonts w:ascii="Arial" w:eastAsia="Arial" w:hAnsi="Arial" w:cs="Arial"/>
        <w:sz w:val="10"/>
      </w:rPr>
      <w:t>Jakinaraz. zkia. / Num. Notif.: 20250013863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962D" w14:textId="051F3916" w:rsidR="00267141" w:rsidRDefault="006642A2">
    <w:pPr>
      <w:spacing w:after="0" w:line="259" w:lineRule="auto"/>
      <w:ind w:left="0" w:right="-876"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1F5B54D" wp14:editId="5A39397E">
              <wp:simplePos x="0" y="0"/>
              <wp:positionH relativeFrom="page">
                <wp:posOffset>764540</wp:posOffset>
              </wp:positionH>
              <wp:positionV relativeFrom="page">
                <wp:posOffset>326072</wp:posOffset>
              </wp:positionV>
              <wp:extent cx="6301106" cy="428625"/>
              <wp:effectExtent l="0" t="0" r="0" b="0"/>
              <wp:wrapSquare wrapText="bothSides"/>
              <wp:docPr id="3841" name="Group 3841"/>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3842" name="Shape 3842"/>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44" name="Shape 3844"/>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843" name="Picture 3843"/>
                        <pic:cNvPicPr/>
                      </pic:nvPicPr>
                      <pic:blipFill>
                        <a:blip r:embed="rId1"/>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3841" style="width:496.15pt;height:33.75pt;position:absolute;mso-position-horizontal-relative:page;mso-position-horizontal:absolute;margin-left:60.2pt;mso-position-vertical-relative:page;margin-top:25.675pt;" coordsize="63011,4286">
              <v:shape id="Shape 3842" style="position:absolute;width:28803;height:0;left:0;top:2174;" coordsize="2880360,0" path="m0,0l2880360,0">
                <v:stroke weight="0.5pt" endcap="flat" joinstyle="miter" miterlimit="10" on="true" color="#000000"/>
                <v:fill on="false" color="#000000" opacity="0"/>
              </v:shape>
              <v:shape id="Shape 3844" style="position:absolute;width:28803;height:0;left:34207;top:2174;" coordsize="2880360,0" path="m0,0l2880360,0">
                <v:stroke weight="0.5pt" endcap="flat" joinstyle="miter" miterlimit="10" on="true" color="#000000"/>
                <v:fill on="false" color="#000000" opacity="0"/>
              </v:shape>
              <v:shape id="Picture 3843" style="position:absolute;width:4286;height:4286;left:29438;top:0;" filled="f">
                <v:imagedata r:id="rId9"/>
              </v:shape>
              <w10:wrap type="square"/>
            </v:group>
          </w:pict>
        </mc:Fallback>
      </mc:AlternateContent>
    </w:r>
    <w:r>
      <w:rPr>
        <w:rFonts w:ascii="Arial" w:eastAsia="Arial" w:hAnsi="Arial" w:cs="Arial"/>
        <w:sz w:val="10"/>
      </w:rPr>
      <w:t xml:space="preserve"> </w:t>
    </w:r>
    <w:r>
      <w:rPr>
        <w:rFonts w:ascii="Arial" w:eastAsia="Arial" w:hAnsi="Arial" w:cs="Arial"/>
        <w:sz w:val="1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F45A6"/>
    <w:multiLevelType w:val="hybridMultilevel"/>
    <w:tmpl w:val="7696B35E"/>
    <w:lvl w:ilvl="0" w:tplc="A7B2FD3E">
      <w:start w:val="1"/>
      <w:numFmt w:val="bullet"/>
      <w:lvlText w:val="•"/>
      <w:lvlJc w:val="left"/>
      <w:pPr>
        <w:ind w:left="33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89A3FCC">
      <w:start w:val="1"/>
      <w:numFmt w:val="bullet"/>
      <w:lvlText w:val="o"/>
      <w:lvlJc w:val="left"/>
      <w:pPr>
        <w:ind w:left="12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98EC0D0">
      <w:start w:val="1"/>
      <w:numFmt w:val="bullet"/>
      <w:lvlText w:val="▪"/>
      <w:lvlJc w:val="left"/>
      <w:pPr>
        <w:ind w:left="193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0DCADB6">
      <w:start w:val="1"/>
      <w:numFmt w:val="bullet"/>
      <w:lvlText w:val="•"/>
      <w:lvlJc w:val="left"/>
      <w:pPr>
        <w:ind w:left="265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12C89DA">
      <w:start w:val="1"/>
      <w:numFmt w:val="bullet"/>
      <w:lvlText w:val="o"/>
      <w:lvlJc w:val="left"/>
      <w:pPr>
        <w:ind w:left="33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8A263B8">
      <w:start w:val="1"/>
      <w:numFmt w:val="bullet"/>
      <w:lvlText w:val="▪"/>
      <w:lvlJc w:val="left"/>
      <w:pPr>
        <w:ind w:left="40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C063FC6">
      <w:start w:val="1"/>
      <w:numFmt w:val="bullet"/>
      <w:lvlText w:val="•"/>
      <w:lvlJc w:val="left"/>
      <w:pPr>
        <w:ind w:left="48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C1EE968">
      <w:start w:val="1"/>
      <w:numFmt w:val="bullet"/>
      <w:lvlText w:val="o"/>
      <w:lvlJc w:val="left"/>
      <w:pPr>
        <w:ind w:left="553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A78EFA2">
      <w:start w:val="1"/>
      <w:numFmt w:val="bullet"/>
      <w:lvlText w:val="▪"/>
      <w:lvlJc w:val="left"/>
      <w:pPr>
        <w:ind w:left="625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67657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41"/>
    <w:rsid w:val="00267141"/>
    <w:rsid w:val="006642A2"/>
    <w:rsid w:val="00DC48C6"/>
    <w:rsid w:val="00E724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D79A"/>
  <w15:docId w15:val="{BAB61D16-19FE-4673-A842-EA674795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left="361" w:right="4694" w:hanging="9"/>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437" w:line="259" w:lineRule="auto"/>
      <w:ind w:left="352"/>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135" w:line="249" w:lineRule="auto"/>
      <w:ind w:left="362" w:right="994" w:hanging="10"/>
      <w:jc w:val="both"/>
      <w:outlineLvl w:val="1"/>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2"/>
    </w:rPr>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6642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642A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9" Type="http://schemas.openxmlformats.org/officeDocument/2006/relationships/image" Target="media/image20.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9"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1797</Words>
  <Characters>9885</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Urien Salterain, Karoline</dc:creator>
  <cp:keywords/>
  <cp:lastModifiedBy>Urien Salterain, Karoline</cp:lastModifiedBy>
  <cp:revision>3</cp:revision>
  <dcterms:created xsi:type="dcterms:W3CDTF">2025-03-31T13:05:00Z</dcterms:created>
  <dcterms:modified xsi:type="dcterms:W3CDTF">2025-03-31T13:12:00Z</dcterms:modified>
</cp:coreProperties>
</file>