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933074" w14:paraId="2B111C63" w14:textId="77777777" w:rsidTr="00EE0139">
        <w:trPr>
          <w:gridAfter w:val="1"/>
          <w:wAfter w:w="285" w:type="dxa"/>
          <w:trHeight w:val="168"/>
        </w:trPr>
        <w:tc>
          <w:tcPr>
            <w:tcW w:w="4253" w:type="dxa"/>
            <w:shd w:val="clear" w:color="auto" w:fill="auto"/>
            <w:vAlign w:val="bottom"/>
          </w:tcPr>
          <w:p w14:paraId="5CD1AAE7" w14:textId="77777777" w:rsidR="00347D93" w:rsidRPr="005D24EE" w:rsidRDefault="00347D93" w:rsidP="005C6341">
            <w:pPr>
              <w:rPr>
                <w:rFonts w:ascii="Arial" w:hAnsi="Arial" w:cs="Arial"/>
                <w:b/>
                <w:color w:val="000000" w:themeColor="text1"/>
                <w:sz w:val="12"/>
                <w:szCs w:val="12"/>
              </w:rPr>
            </w:pPr>
          </w:p>
        </w:tc>
        <w:tc>
          <w:tcPr>
            <w:tcW w:w="283" w:type="dxa"/>
          </w:tcPr>
          <w:p w14:paraId="7296424C" w14:textId="77777777" w:rsidR="00347D93" w:rsidRPr="00DF0910" w:rsidRDefault="00347D93" w:rsidP="005C6341">
            <w:pPr>
              <w:rPr>
                <w:rFonts w:ascii="Arial" w:hAnsi="Arial" w:cs="Arial"/>
                <w:color w:val="000000" w:themeColor="text1"/>
                <w:sz w:val="12"/>
                <w:szCs w:val="12"/>
              </w:rPr>
            </w:pPr>
          </w:p>
        </w:tc>
        <w:tc>
          <w:tcPr>
            <w:tcW w:w="5103" w:type="dxa"/>
            <w:gridSpan w:val="3"/>
            <w:vMerge w:val="restart"/>
            <w:shd w:val="clear" w:color="auto" w:fill="auto"/>
          </w:tcPr>
          <w:p w14:paraId="097A4A69" w14:textId="77777777" w:rsidR="00347D93" w:rsidRDefault="00347D93" w:rsidP="005C6341">
            <w:pPr>
              <w:tabs>
                <w:tab w:val="left" w:pos="0"/>
              </w:tabs>
              <w:rPr>
                <w:rFonts w:ascii="Arial" w:hAnsi="Arial" w:cs="Arial"/>
                <w:b/>
                <w:noProof/>
                <w:color w:val="000000"/>
                <w:sz w:val="16"/>
                <w:szCs w:val="16"/>
              </w:rPr>
            </w:pPr>
          </w:p>
          <w:p w14:paraId="338547BB" w14:textId="77777777" w:rsidR="00347D93" w:rsidRDefault="00347D93" w:rsidP="005C6341">
            <w:pPr>
              <w:tabs>
                <w:tab w:val="left" w:pos="0"/>
              </w:tabs>
              <w:rPr>
                <w:rFonts w:ascii="Arial" w:hAnsi="Arial" w:cs="Arial"/>
                <w:b/>
                <w:noProof/>
                <w:color w:val="000000"/>
                <w:sz w:val="16"/>
                <w:szCs w:val="16"/>
              </w:rPr>
            </w:pPr>
          </w:p>
          <w:p w14:paraId="1B1DA382" w14:textId="77777777" w:rsidR="00347D93" w:rsidRDefault="00347D93" w:rsidP="005C6341">
            <w:pPr>
              <w:tabs>
                <w:tab w:val="left" w:pos="0"/>
              </w:tabs>
              <w:rPr>
                <w:rFonts w:ascii="Arial" w:hAnsi="Arial" w:cs="Arial"/>
                <w:b/>
                <w:noProof/>
                <w:color w:val="000000"/>
                <w:sz w:val="16"/>
                <w:szCs w:val="16"/>
              </w:rPr>
            </w:pPr>
          </w:p>
          <w:p w14:paraId="7C10C98D" w14:textId="6209198A" w:rsidR="00347D93" w:rsidRPr="00D76AF9" w:rsidRDefault="00347D93" w:rsidP="00205440">
            <w:pPr>
              <w:spacing w:after="60"/>
              <w:rPr>
                <w:rFonts w:ascii="Arial" w:hAnsi="Arial" w:cs="Arial"/>
                <w:b/>
                <w:noProof/>
                <w:color w:val="000000"/>
                <w:sz w:val="16"/>
                <w:szCs w:val="16"/>
              </w:rPr>
            </w:pPr>
          </w:p>
        </w:tc>
      </w:tr>
      <w:tr w:rsidR="00933074" w14:paraId="77061D71" w14:textId="77777777" w:rsidTr="00EE0139">
        <w:trPr>
          <w:gridAfter w:val="1"/>
          <w:wAfter w:w="285" w:type="dxa"/>
          <w:trHeight w:val="168"/>
        </w:trPr>
        <w:tc>
          <w:tcPr>
            <w:tcW w:w="4253" w:type="dxa"/>
            <w:shd w:val="clear" w:color="auto" w:fill="auto"/>
            <w:vAlign w:val="bottom"/>
          </w:tcPr>
          <w:p w14:paraId="4A7AC6AC" w14:textId="77777777" w:rsidR="00347D93" w:rsidRPr="005D24EE" w:rsidRDefault="00347D93" w:rsidP="005C6341">
            <w:pPr>
              <w:rPr>
                <w:rFonts w:ascii="Arial" w:hAnsi="Arial" w:cs="Arial"/>
                <w:b/>
                <w:color w:val="000000" w:themeColor="text1"/>
                <w:sz w:val="12"/>
                <w:szCs w:val="12"/>
              </w:rPr>
            </w:pPr>
          </w:p>
        </w:tc>
        <w:tc>
          <w:tcPr>
            <w:tcW w:w="283" w:type="dxa"/>
          </w:tcPr>
          <w:p w14:paraId="6324A3FA" w14:textId="77777777" w:rsidR="00347D93" w:rsidRPr="00DF0910" w:rsidRDefault="00347D93" w:rsidP="005C6341">
            <w:pPr>
              <w:rPr>
                <w:rFonts w:ascii="Arial" w:hAnsi="Arial" w:cs="Arial"/>
                <w:color w:val="000000" w:themeColor="text1"/>
                <w:sz w:val="12"/>
                <w:szCs w:val="12"/>
              </w:rPr>
            </w:pPr>
          </w:p>
        </w:tc>
        <w:tc>
          <w:tcPr>
            <w:tcW w:w="5103" w:type="dxa"/>
            <w:gridSpan w:val="3"/>
            <w:vMerge/>
            <w:shd w:val="clear" w:color="auto" w:fill="auto"/>
          </w:tcPr>
          <w:p w14:paraId="0FB39274" w14:textId="77777777" w:rsidR="00347D93" w:rsidRPr="00D76AF9" w:rsidRDefault="00347D93" w:rsidP="005C6341">
            <w:pPr>
              <w:rPr>
                <w:rFonts w:ascii="Arial" w:hAnsi="Arial" w:cs="Arial"/>
                <w:b/>
                <w:noProof/>
                <w:color w:val="000000"/>
                <w:sz w:val="16"/>
                <w:szCs w:val="16"/>
              </w:rPr>
            </w:pPr>
          </w:p>
        </w:tc>
      </w:tr>
      <w:tr w:rsidR="00933074" w14:paraId="03DAB4E2" w14:textId="77777777" w:rsidTr="00EE0139">
        <w:trPr>
          <w:gridAfter w:val="1"/>
          <w:wAfter w:w="285" w:type="dxa"/>
          <w:trHeight w:val="168"/>
        </w:trPr>
        <w:tc>
          <w:tcPr>
            <w:tcW w:w="4253" w:type="dxa"/>
            <w:shd w:val="clear" w:color="auto" w:fill="auto"/>
            <w:vAlign w:val="bottom"/>
          </w:tcPr>
          <w:p w14:paraId="40A465D2" w14:textId="77777777" w:rsidR="00347D93" w:rsidRPr="005D24EE" w:rsidRDefault="00347D93" w:rsidP="005C6341">
            <w:pPr>
              <w:rPr>
                <w:rFonts w:ascii="Arial" w:hAnsi="Arial" w:cs="Arial"/>
                <w:b/>
                <w:color w:val="000000" w:themeColor="text1"/>
                <w:sz w:val="12"/>
                <w:szCs w:val="12"/>
              </w:rPr>
            </w:pPr>
          </w:p>
        </w:tc>
        <w:tc>
          <w:tcPr>
            <w:tcW w:w="283" w:type="dxa"/>
          </w:tcPr>
          <w:p w14:paraId="7DE3072C" w14:textId="77777777" w:rsidR="00347D93" w:rsidRPr="00DF0910" w:rsidRDefault="00347D93" w:rsidP="005C6341">
            <w:pPr>
              <w:rPr>
                <w:rFonts w:ascii="Arial" w:hAnsi="Arial" w:cs="Arial"/>
                <w:color w:val="000000" w:themeColor="text1"/>
                <w:sz w:val="12"/>
                <w:szCs w:val="12"/>
              </w:rPr>
            </w:pPr>
          </w:p>
        </w:tc>
        <w:tc>
          <w:tcPr>
            <w:tcW w:w="5103" w:type="dxa"/>
            <w:gridSpan w:val="3"/>
            <w:vMerge/>
            <w:shd w:val="clear" w:color="auto" w:fill="auto"/>
          </w:tcPr>
          <w:p w14:paraId="099713AE" w14:textId="77777777" w:rsidR="00347D93" w:rsidRPr="00D76AF9" w:rsidRDefault="00347D93" w:rsidP="005C6341">
            <w:pPr>
              <w:rPr>
                <w:rFonts w:ascii="Arial" w:hAnsi="Arial" w:cs="Arial"/>
                <w:b/>
                <w:noProof/>
                <w:color w:val="000000"/>
                <w:sz w:val="16"/>
                <w:szCs w:val="16"/>
              </w:rPr>
            </w:pPr>
          </w:p>
        </w:tc>
      </w:tr>
      <w:tr w:rsidR="00933074" w14:paraId="4C118EAE" w14:textId="77777777" w:rsidTr="00EE0139">
        <w:trPr>
          <w:gridAfter w:val="1"/>
          <w:wAfter w:w="285" w:type="dxa"/>
          <w:trHeight w:val="168"/>
        </w:trPr>
        <w:tc>
          <w:tcPr>
            <w:tcW w:w="4253" w:type="dxa"/>
            <w:shd w:val="clear" w:color="auto" w:fill="auto"/>
            <w:vAlign w:val="bottom"/>
          </w:tcPr>
          <w:p w14:paraId="7859FE31" w14:textId="77777777" w:rsidR="00347D93" w:rsidRPr="005D24EE" w:rsidRDefault="00347D93" w:rsidP="005C6341">
            <w:pPr>
              <w:rPr>
                <w:rFonts w:ascii="Arial" w:hAnsi="Arial" w:cs="Arial"/>
                <w:b/>
                <w:color w:val="000000" w:themeColor="text1"/>
                <w:sz w:val="12"/>
                <w:szCs w:val="12"/>
              </w:rPr>
            </w:pPr>
          </w:p>
        </w:tc>
        <w:tc>
          <w:tcPr>
            <w:tcW w:w="283" w:type="dxa"/>
          </w:tcPr>
          <w:p w14:paraId="2F799191" w14:textId="77777777" w:rsidR="00347D93" w:rsidRPr="00DF0910" w:rsidRDefault="00347D93" w:rsidP="005C6341">
            <w:pPr>
              <w:rPr>
                <w:rFonts w:ascii="Arial" w:hAnsi="Arial" w:cs="Arial"/>
                <w:color w:val="000000" w:themeColor="text1"/>
                <w:sz w:val="12"/>
                <w:szCs w:val="12"/>
              </w:rPr>
            </w:pPr>
          </w:p>
        </w:tc>
        <w:tc>
          <w:tcPr>
            <w:tcW w:w="5103" w:type="dxa"/>
            <w:gridSpan w:val="3"/>
            <w:vMerge/>
            <w:shd w:val="clear" w:color="auto" w:fill="auto"/>
          </w:tcPr>
          <w:p w14:paraId="65D23393" w14:textId="77777777" w:rsidR="00347D93" w:rsidRPr="00D76AF9" w:rsidRDefault="00347D93" w:rsidP="005C6341">
            <w:pPr>
              <w:rPr>
                <w:rFonts w:ascii="Arial" w:hAnsi="Arial" w:cs="Arial"/>
                <w:b/>
                <w:noProof/>
                <w:color w:val="000000"/>
                <w:sz w:val="16"/>
                <w:szCs w:val="16"/>
              </w:rPr>
            </w:pPr>
          </w:p>
        </w:tc>
      </w:tr>
      <w:tr w:rsidR="00933074" w14:paraId="7A8AEF9B" w14:textId="77777777" w:rsidTr="00EE0139">
        <w:trPr>
          <w:gridAfter w:val="1"/>
          <w:wAfter w:w="285" w:type="dxa"/>
          <w:trHeight w:val="168"/>
        </w:trPr>
        <w:tc>
          <w:tcPr>
            <w:tcW w:w="4253" w:type="dxa"/>
            <w:shd w:val="clear" w:color="auto" w:fill="auto"/>
            <w:vAlign w:val="bottom"/>
          </w:tcPr>
          <w:p w14:paraId="589B81DA" w14:textId="77777777" w:rsidR="00347D93" w:rsidRPr="005D24EE" w:rsidRDefault="00347D93" w:rsidP="005C6341">
            <w:pPr>
              <w:rPr>
                <w:rFonts w:ascii="Arial" w:hAnsi="Arial" w:cs="Arial"/>
                <w:b/>
                <w:color w:val="000000" w:themeColor="text1"/>
                <w:sz w:val="12"/>
                <w:szCs w:val="12"/>
              </w:rPr>
            </w:pPr>
          </w:p>
        </w:tc>
        <w:tc>
          <w:tcPr>
            <w:tcW w:w="283" w:type="dxa"/>
          </w:tcPr>
          <w:p w14:paraId="60D15D76" w14:textId="77777777" w:rsidR="00347D93" w:rsidRPr="00DF0910" w:rsidRDefault="00347D93" w:rsidP="005C6341">
            <w:pPr>
              <w:rPr>
                <w:rFonts w:ascii="Arial" w:hAnsi="Arial" w:cs="Arial"/>
                <w:color w:val="000000" w:themeColor="text1"/>
                <w:sz w:val="12"/>
                <w:szCs w:val="12"/>
              </w:rPr>
            </w:pPr>
          </w:p>
        </w:tc>
        <w:tc>
          <w:tcPr>
            <w:tcW w:w="5103" w:type="dxa"/>
            <w:gridSpan w:val="3"/>
            <w:vMerge/>
            <w:shd w:val="clear" w:color="auto" w:fill="auto"/>
          </w:tcPr>
          <w:p w14:paraId="5AFB6CD4" w14:textId="77777777" w:rsidR="00347D93" w:rsidRPr="00D76AF9" w:rsidRDefault="00347D93" w:rsidP="005C6341">
            <w:pPr>
              <w:rPr>
                <w:rFonts w:ascii="Arial" w:hAnsi="Arial" w:cs="Arial"/>
                <w:b/>
                <w:noProof/>
                <w:color w:val="000000"/>
                <w:sz w:val="16"/>
                <w:szCs w:val="16"/>
              </w:rPr>
            </w:pPr>
          </w:p>
        </w:tc>
      </w:tr>
      <w:tr w:rsidR="00933074" w14:paraId="74EE8BBD" w14:textId="77777777" w:rsidTr="00EE0139">
        <w:trPr>
          <w:gridAfter w:val="1"/>
          <w:wAfter w:w="285" w:type="dxa"/>
          <w:trHeight w:val="168"/>
        </w:trPr>
        <w:tc>
          <w:tcPr>
            <w:tcW w:w="4253" w:type="dxa"/>
            <w:tcBorders>
              <w:bottom w:val="single" w:sz="4" w:space="0" w:color="auto"/>
            </w:tcBorders>
            <w:shd w:val="clear" w:color="auto" w:fill="auto"/>
            <w:vAlign w:val="bottom"/>
          </w:tcPr>
          <w:p w14:paraId="3F171168" w14:textId="77777777" w:rsidR="00347D93" w:rsidRPr="00DF0910" w:rsidRDefault="006C5BD3"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7303A59C" w14:textId="77777777" w:rsidR="00347D93" w:rsidRPr="00DF0910" w:rsidRDefault="00347D93" w:rsidP="005C6341">
            <w:pPr>
              <w:rPr>
                <w:rFonts w:ascii="Arial" w:hAnsi="Arial" w:cs="Arial"/>
                <w:color w:val="000000" w:themeColor="text1"/>
                <w:sz w:val="12"/>
                <w:szCs w:val="12"/>
              </w:rPr>
            </w:pPr>
          </w:p>
        </w:tc>
        <w:tc>
          <w:tcPr>
            <w:tcW w:w="5103" w:type="dxa"/>
            <w:gridSpan w:val="3"/>
            <w:vMerge/>
            <w:shd w:val="clear" w:color="auto" w:fill="auto"/>
          </w:tcPr>
          <w:p w14:paraId="6DF541E9" w14:textId="77777777" w:rsidR="00347D93" w:rsidRPr="00DF0910" w:rsidRDefault="00347D93" w:rsidP="005C6341">
            <w:pPr>
              <w:rPr>
                <w:rFonts w:ascii="Arial" w:hAnsi="Arial" w:cs="Arial"/>
                <w:color w:val="000000" w:themeColor="text1"/>
                <w:sz w:val="12"/>
                <w:szCs w:val="12"/>
              </w:rPr>
            </w:pPr>
          </w:p>
        </w:tc>
      </w:tr>
      <w:tr w:rsidR="00933074" w14:paraId="199ADF03" w14:textId="77777777" w:rsidTr="00EE0139">
        <w:trPr>
          <w:gridAfter w:val="1"/>
          <w:wAfter w:w="285" w:type="dxa"/>
          <w:trHeight w:hRule="exact" w:val="340"/>
        </w:trPr>
        <w:tc>
          <w:tcPr>
            <w:tcW w:w="4253" w:type="dxa"/>
            <w:tcBorders>
              <w:top w:val="single" w:sz="4" w:space="0" w:color="auto"/>
            </w:tcBorders>
            <w:shd w:val="clear" w:color="auto" w:fill="auto"/>
          </w:tcPr>
          <w:p w14:paraId="7E73DADA" w14:textId="77777777" w:rsidR="00347D93" w:rsidRPr="00D812A9" w:rsidRDefault="006C5BD3" w:rsidP="005C6341">
            <w:pPr>
              <w:rPr>
                <w:rFonts w:ascii="Arial" w:hAnsi="Arial" w:cs="Arial"/>
                <w:color w:val="4F81BD" w:themeColor="accent1"/>
                <w:sz w:val="16"/>
                <w:szCs w:val="16"/>
              </w:rPr>
            </w:pPr>
            <w:r>
              <w:rPr>
                <w:rFonts w:ascii="Arial" w:hAnsi="Arial" w:cs="Arial"/>
                <w:noProof/>
                <w:sz w:val="16"/>
                <w:szCs w:val="16"/>
              </w:rPr>
              <w:t>INFOPU-2024/00042</w:t>
            </w:r>
          </w:p>
        </w:tc>
        <w:tc>
          <w:tcPr>
            <w:tcW w:w="283" w:type="dxa"/>
          </w:tcPr>
          <w:p w14:paraId="3D9FCD83" w14:textId="77777777" w:rsidR="00347D93" w:rsidRPr="00DF0910" w:rsidRDefault="00347D93" w:rsidP="005C6341">
            <w:pPr>
              <w:rPr>
                <w:rFonts w:ascii="Arial" w:hAnsi="Arial" w:cs="Arial"/>
                <w:color w:val="000000" w:themeColor="text1"/>
                <w:sz w:val="16"/>
                <w:szCs w:val="16"/>
              </w:rPr>
            </w:pPr>
          </w:p>
        </w:tc>
        <w:tc>
          <w:tcPr>
            <w:tcW w:w="5103" w:type="dxa"/>
            <w:gridSpan w:val="3"/>
            <w:vMerge/>
            <w:shd w:val="clear" w:color="auto" w:fill="auto"/>
            <w:vAlign w:val="center"/>
          </w:tcPr>
          <w:p w14:paraId="369BFF38" w14:textId="77777777" w:rsidR="00347D93" w:rsidRPr="00DF0910" w:rsidRDefault="00347D93" w:rsidP="005C6341">
            <w:pPr>
              <w:rPr>
                <w:rFonts w:ascii="Arial" w:hAnsi="Arial" w:cs="Arial"/>
                <w:color w:val="000000" w:themeColor="text1"/>
                <w:sz w:val="16"/>
                <w:szCs w:val="16"/>
              </w:rPr>
            </w:pPr>
          </w:p>
        </w:tc>
      </w:tr>
      <w:tr w:rsidR="00933074" w14:paraId="3D87A95E"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656A3D7F" w14:textId="77777777" w:rsidR="00347D93" w:rsidRPr="00DF0910" w:rsidRDefault="006C5BD3"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37C60EF3" w14:textId="77777777" w:rsidR="00347D93" w:rsidRPr="00DF0910" w:rsidRDefault="00347D93" w:rsidP="005C6341">
            <w:pPr>
              <w:jc w:val="center"/>
              <w:rPr>
                <w:rFonts w:ascii="Arial" w:hAnsi="Arial" w:cs="Arial"/>
                <w:color w:val="000000" w:themeColor="text1"/>
                <w:sz w:val="20"/>
              </w:rPr>
            </w:pPr>
          </w:p>
        </w:tc>
        <w:tc>
          <w:tcPr>
            <w:tcW w:w="5103" w:type="dxa"/>
            <w:gridSpan w:val="3"/>
            <w:vMerge/>
            <w:shd w:val="clear" w:color="auto" w:fill="auto"/>
            <w:vAlign w:val="center"/>
          </w:tcPr>
          <w:p w14:paraId="443843A3" w14:textId="77777777" w:rsidR="00347D93" w:rsidRPr="00DF0910" w:rsidRDefault="00347D93" w:rsidP="005C6341">
            <w:pPr>
              <w:rPr>
                <w:rFonts w:ascii="Arial" w:hAnsi="Arial" w:cs="Arial"/>
                <w:color w:val="000000" w:themeColor="text1"/>
                <w:sz w:val="20"/>
              </w:rPr>
            </w:pPr>
          </w:p>
        </w:tc>
      </w:tr>
      <w:tr w:rsidR="00933074" w14:paraId="1BD11DD8" w14:textId="77777777" w:rsidTr="00EE0139">
        <w:trPr>
          <w:gridAfter w:val="1"/>
          <w:wAfter w:w="285" w:type="dxa"/>
          <w:trHeight w:hRule="exact" w:val="663"/>
        </w:trPr>
        <w:tc>
          <w:tcPr>
            <w:tcW w:w="4253" w:type="dxa"/>
            <w:tcBorders>
              <w:top w:val="single" w:sz="4" w:space="0" w:color="auto"/>
            </w:tcBorders>
            <w:shd w:val="clear" w:color="auto" w:fill="auto"/>
          </w:tcPr>
          <w:p w14:paraId="18795D3B" w14:textId="77777777" w:rsidR="00347D93" w:rsidRDefault="006C5BD3" w:rsidP="005C6341">
            <w:pPr>
              <w:pStyle w:val="Textoindependiente"/>
              <w:spacing w:before="20" w:after="70" w:line="200" w:lineRule="exact"/>
              <w:jc w:val="left"/>
              <w:rPr>
                <w:sz w:val="16"/>
              </w:rPr>
            </w:pPr>
            <w:r>
              <w:rPr>
                <w:sz w:val="16"/>
              </w:rPr>
              <w:t>Berdintasun, Euskara eta Gobernantza Saila / Departamento de Igualdad, Euskera y Gobernanza</w:t>
            </w:r>
          </w:p>
          <w:p w14:paraId="02FA715C" w14:textId="77777777" w:rsidR="00347D93" w:rsidRPr="00D812A9" w:rsidRDefault="00347D93" w:rsidP="005C6341">
            <w:pPr>
              <w:rPr>
                <w:rFonts w:ascii="Arial" w:hAnsi="Arial" w:cs="Arial"/>
                <w:color w:val="4F81BD" w:themeColor="accent1"/>
                <w:sz w:val="16"/>
                <w:szCs w:val="16"/>
              </w:rPr>
            </w:pPr>
          </w:p>
        </w:tc>
        <w:tc>
          <w:tcPr>
            <w:tcW w:w="283" w:type="dxa"/>
          </w:tcPr>
          <w:p w14:paraId="5CDB907D" w14:textId="77777777" w:rsidR="00347D93" w:rsidRPr="00DF0910" w:rsidRDefault="00347D93"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6E4302D8" w14:textId="77777777" w:rsidR="00347D93" w:rsidRPr="00DF0910" w:rsidRDefault="00347D93" w:rsidP="005C6341">
            <w:pPr>
              <w:rPr>
                <w:rFonts w:ascii="Arial" w:hAnsi="Arial" w:cs="Arial"/>
                <w:color w:val="000000" w:themeColor="text1"/>
                <w:sz w:val="16"/>
                <w:szCs w:val="16"/>
              </w:rPr>
            </w:pPr>
          </w:p>
        </w:tc>
      </w:tr>
      <w:tr w:rsidR="00933074" w14:paraId="45EDE336" w14:textId="77777777" w:rsidTr="00EE0139">
        <w:tc>
          <w:tcPr>
            <w:tcW w:w="4820" w:type="dxa"/>
            <w:gridSpan w:val="3"/>
          </w:tcPr>
          <w:p w14:paraId="4072A73C" w14:textId="77777777" w:rsidR="00347D93" w:rsidRDefault="00347D93"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9867261" w14:textId="77777777" w:rsidR="00347D93" w:rsidRDefault="00347D93"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5DEB4F4" w14:textId="77777777" w:rsidR="00347D93" w:rsidRDefault="00347D93"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BD0B394" w14:textId="77777777" w:rsidR="00347D93" w:rsidRPr="00663BA9" w:rsidRDefault="00347D93"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208624C9" w14:textId="77777777" w:rsidR="00347D93" w:rsidRPr="00426B3C"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53DFBB3" w14:textId="77777777" w:rsidR="00347D93" w:rsidRPr="00663BA9"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933074" w14:paraId="266A23D9" w14:textId="77777777" w:rsidTr="00EE0139">
        <w:tc>
          <w:tcPr>
            <w:tcW w:w="4820" w:type="dxa"/>
            <w:gridSpan w:val="3"/>
          </w:tcPr>
          <w:p w14:paraId="523258A5" w14:textId="77777777" w:rsidR="00347D93" w:rsidRPr="00663BA9" w:rsidRDefault="006C5BD3"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Gaia:</w:t>
            </w:r>
            <w:r w:rsidRPr="00205440">
              <w:rPr>
                <w:rFonts w:ascii="Arial" w:hAnsi="Arial" w:cs="Arial"/>
                <w:sz w:val="16"/>
                <w:szCs w:val="16"/>
              </w:rPr>
              <w:t xml:space="preserve"> </w:t>
            </w:r>
            <w:r w:rsidRPr="00205440">
              <w:rPr>
                <w:rFonts w:ascii="Arial" w:hAnsi="Arial" w:cs="Arial"/>
                <w:sz w:val="16"/>
              </w:rPr>
              <w:t>EBAZPENA</w:t>
            </w:r>
            <w:r>
              <w:rPr>
                <w:sz w:val="16"/>
              </w:rPr>
              <w:t xml:space="preserve"> </w:t>
            </w:r>
            <w:r w:rsidRPr="00663BA9">
              <w:rPr>
                <w:rFonts w:ascii="Arial" w:hAnsi="Arial" w:cs="Arial"/>
                <w:b/>
                <w:sz w:val="16"/>
                <w:szCs w:val="16"/>
              </w:rPr>
              <w:t>jakinaraztea.</w:t>
            </w:r>
          </w:p>
          <w:p w14:paraId="707F9D76" w14:textId="77777777" w:rsidR="00347D93" w:rsidRDefault="00347D93" w:rsidP="00E72518">
            <w:pPr>
              <w:pStyle w:val="Sangradetextonormal"/>
              <w:tabs>
                <w:tab w:val="clear" w:pos="1702"/>
                <w:tab w:val="clear" w:pos="4253"/>
                <w:tab w:val="clear" w:pos="5104"/>
                <w:tab w:val="clear" w:pos="5812"/>
              </w:tabs>
              <w:spacing w:before="0" w:after="0"/>
              <w:ind w:firstLine="0"/>
              <w:jc w:val="both"/>
              <w:rPr>
                <w:sz w:val="16"/>
              </w:rPr>
            </w:pPr>
          </w:p>
          <w:p w14:paraId="6AC8AACE" w14:textId="7A075278" w:rsidR="00347D93" w:rsidRPr="00E72518" w:rsidRDefault="00A26A6E"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Kulturaren Zuzendaritzako Zuzendariak</w:t>
            </w:r>
            <w:r w:rsidRPr="00007960">
              <w:rPr>
                <w:rFonts w:ascii="Arial" w:hAnsi="Arial" w:cs="Arial"/>
                <w:sz w:val="16"/>
                <w:szCs w:val="16"/>
              </w:rPr>
              <w:t xml:space="preserve">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2F4D9341" w14:textId="77777777" w:rsidR="00347D93" w:rsidRPr="00426B3C"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E16E62D" w14:textId="77777777" w:rsidR="00347D93" w:rsidRPr="00663BA9" w:rsidRDefault="006C5BD3"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205440">
              <w:rPr>
                <w:rFonts w:ascii="Arial" w:hAnsi="Arial" w:cs="Arial"/>
                <w:b/>
                <w:sz w:val="16"/>
              </w:rPr>
              <w:t>RESOLUCIÓN</w:t>
            </w:r>
          </w:p>
          <w:p w14:paraId="5F8923B6" w14:textId="77777777" w:rsidR="00347D93"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2B2BF561" w14:textId="50FBA4D1" w:rsidR="00347D93" w:rsidRPr="00E72518" w:rsidRDefault="00A26A6E"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La Directora de la Dirección de Cultura</w:t>
            </w:r>
            <w:r w:rsidRPr="00E72518">
              <w:rPr>
                <w:rFonts w:ascii="Arial" w:hAnsi="Arial" w:cs="Arial"/>
                <w:sz w:val="16"/>
                <w:szCs w:val="16"/>
              </w:rPr>
              <w:t>, se ha servido dictar la siguiente Resolución, en la fecha que se señala.</w:t>
            </w:r>
          </w:p>
          <w:p w14:paraId="5071522B" w14:textId="77777777" w:rsidR="00347D93" w:rsidRPr="00E72518"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50EE08B5" w14:textId="77777777" w:rsidR="00347D93" w:rsidRPr="00426B3C"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933074" w14:paraId="1C143A93" w14:textId="77777777" w:rsidTr="00EE0139">
        <w:tc>
          <w:tcPr>
            <w:tcW w:w="160" w:type="dxa"/>
          </w:tcPr>
          <w:p w14:paraId="56D0EF87" w14:textId="77777777" w:rsidR="00347D93" w:rsidRPr="00426B3C" w:rsidRDefault="00347D93"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2881FDD6" w14:textId="77777777" w:rsidR="00347D93" w:rsidRPr="00426B3C" w:rsidRDefault="006C5BD3"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1DF3D4E2" w14:textId="77777777" w:rsidR="00347D93" w:rsidRPr="00426B3C" w:rsidRDefault="006C5BD3"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2E3AA949" w14:textId="77777777" w:rsidR="00347D93" w:rsidRPr="00426B3C" w:rsidRDefault="00347D93"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1B7D1E6D" w14:textId="77777777" w:rsidR="00347D93" w:rsidRPr="00426B3C" w:rsidRDefault="006C5BD3"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2A050B53" w14:textId="77777777" w:rsidR="00347D93" w:rsidRPr="00426B3C" w:rsidRDefault="006C5BD3"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1E902CD2" w14:textId="77777777" w:rsidR="00347D93" w:rsidRPr="00426B3C" w:rsidRDefault="00347D93" w:rsidP="00426B3C">
            <w:pPr>
              <w:jc w:val="center"/>
              <w:rPr>
                <w:rFonts w:ascii="Arial" w:hAnsi="Arial" w:cs="Arial"/>
                <w:b/>
                <w:color w:val="000000" w:themeColor="text1"/>
                <w:sz w:val="16"/>
                <w:szCs w:val="16"/>
              </w:rPr>
            </w:pPr>
          </w:p>
        </w:tc>
      </w:tr>
      <w:tr w:rsidR="00933074" w14:paraId="0A7E75F3" w14:textId="77777777" w:rsidTr="00EE0139">
        <w:trPr>
          <w:trHeight w:hRule="exact" w:val="227"/>
        </w:trPr>
        <w:tc>
          <w:tcPr>
            <w:tcW w:w="160" w:type="dxa"/>
            <w:vAlign w:val="center"/>
          </w:tcPr>
          <w:p w14:paraId="4F17DB6A" w14:textId="77777777" w:rsidR="00347D93" w:rsidRPr="00426B3C" w:rsidRDefault="00347D93"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61494C52" w14:textId="77777777" w:rsidR="00347D93" w:rsidRPr="00205440" w:rsidRDefault="006C5BD3" w:rsidP="00426B3C">
            <w:pPr>
              <w:jc w:val="center"/>
              <w:rPr>
                <w:rFonts w:ascii="Arial" w:hAnsi="Arial" w:cs="Arial"/>
                <w:sz w:val="16"/>
                <w:szCs w:val="16"/>
              </w:rPr>
            </w:pPr>
            <w:r w:rsidRPr="00205440">
              <w:rPr>
                <w:rFonts w:ascii="Arial" w:hAnsi="Arial" w:cs="Arial"/>
                <w:noProof/>
                <w:sz w:val="16"/>
                <w:szCs w:val="16"/>
              </w:rPr>
              <w:t>24/12</w:t>
            </w:r>
            <w:r w:rsidRPr="00205440">
              <w:rPr>
                <w:rFonts w:ascii="Arial" w:hAnsi="Arial" w:cs="Arial"/>
                <w:sz w:val="16"/>
                <w:szCs w:val="16"/>
              </w:rPr>
              <w:t>/19</w:t>
            </w:r>
          </w:p>
        </w:tc>
        <w:tc>
          <w:tcPr>
            <w:tcW w:w="1985" w:type="dxa"/>
            <w:tcBorders>
              <w:top w:val="single" w:sz="4" w:space="0" w:color="auto"/>
            </w:tcBorders>
            <w:vAlign w:val="center"/>
          </w:tcPr>
          <w:p w14:paraId="5401C552" w14:textId="77777777" w:rsidR="00347D93" w:rsidRPr="00205440" w:rsidRDefault="006C5BD3" w:rsidP="00426B3C">
            <w:pPr>
              <w:jc w:val="center"/>
              <w:rPr>
                <w:rFonts w:ascii="Arial" w:hAnsi="Arial" w:cs="Arial"/>
                <w:sz w:val="16"/>
                <w:szCs w:val="16"/>
              </w:rPr>
            </w:pPr>
            <w:r w:rsidRPr="00205440">
              <w:rPr>
                <w:rFonts w:ascii="Arial" w:hAnsi="Arial" w:cs="Arial"/>
                <w:noProof/>
                <w:sz w:val="16"/>
                <w:szCs w:val="16"/>
              </w:rPr>
              <w:t>6674</w:t>
            </w:r>
          </w:p>
        </w:tc>
        <w:tc>
          <w:tcPr>
            <w:tcW w:w="851" w:type="dxa"/>
            <w:vAlign w:val="center"/>
          </w:tcPr>
          <w:p w14:paraId="62FBCB54" w14:textId="77777777" w:rsidR="00347D93" w:rsidRPr="00205440" w:rsidRDefault="00347D93" w:rsidP="00426B3C">
            <w:pPr>
              <w:jc w:val="center"/>
              <w:rPr>
                <w:rFonts w:ascii="Arial" w:hAnsi="Arial" w:cs="Arial"/>
                <w:sz w:val="16"/>
                <w:szCs w:val="16"/>
              </w:rPr>
            </w:pPr>
          </w:p>
        </w:tc>
        <w:tc>
          <w:tcPr>
            <w:tcW w:w="1985" w:type="dxa"/>
            <w:tcBorders>
              <w:top w:val="single" w:sz="4" w:space="0" w:color="auto"/>
            </w:tcBorders>
            <w:vAlign w:val="center"/>
          </w:tcPr>
          <w:p w14:paraId="70B44EF9" w14:textId="77777777" w:rsidR="00347D93" w:rsidRPr="00205440" w:rsidRDefault="006C5BD3" w:rsidP="00426B3C">
            <w:pPr>
              <w:jc w:val="center"/>
              <w:rPr>
                <w:rFonts w:ascii="Arial" w:hAnsi="Arial" w:cs="Arial"/>
                <w:sz w:val="16"/>
                <w:szCs w:val="16"/>
              </w:rPr>
            </w:pPr>
            <w:r w:rsidRPr="00205440">
              <w:rPr>
                <w:rFonts w:ascii="Arial" w:hAnsi="Arial" w:cs="Arial"/>
                <w:noProof/>
                <w:sz w:val="16"/>
                <w:szCs w:val="16"/>
              </w:rPr>
              <w:t>19/12</w:t>
            </w:r>
            <w:r w:rsidRPr="00205440">
              <w:rPr>
                <w:rFonts w:ascii="Arial" w:hAnsi="Arial" w:cs="Arial"/>
                <w:sz w:val="16"/>
                <w:szCs w:val="16"/>
              </w:rPr>
              <w:t>/2024</w:t>
            </w:r>
          </w:p>
        </w:tc>
        <w:tc>
          <w:tcPr>
            <w:tcW w:w="1985" w:type="dxa"/>
            <w:tcBorders>
              <w:top w:val="single" w:sz="4" w:space="0" w:color="auto"/>
            </w:tcBorders>
            <w:vAlign w:val="center"/>
          </w:tcPr>
          <w:p w14:paraId="50469127" w14:textId="77777777" w:rsidR="00347D93" w:rsidRPr="00205440" w:rsidRDefault="006C5BD3" w:rsidP="00426B3C">
            <w:pPr>
              <w:jc w:val="center"/>
              <w:rPr>
                <w:rFonts w:ascii="Arial" w:hAnsi="Arial" w:cs="Arial"/>
                <w:sz w:val="16"/>
                <w:szCs w:val="16"/>
              </w:rPr>
            </w:pPr>
            <w:r w:rsidRPr="00205440">
              <w:rPr>
                <w:rFonts w:ascii="Arial" w:hAnsi="Arial" w:cs="Arial"/>
                <w:noProof/>
                <w:sz w:val="16"/>
                <w:szCs w:val="16"/>
              </w:rPr>
              <w:t>6674</w:t>
            </w:r>
          </w:p>
        </w:tc>
        <w:tc>
          <w:tcPr>
            <w:tcW w:w="567" w:type="dxa"/>
            <w:vAlign w:val="center"/>
          </w:tcPr>
          <w:p w14:paraId="3E3B782F" w14:textId="77777777" w:rsidR="00347D93" w:rsidRPr="00205440" w:rsidRDefault="00347D93" w:rsidP="00426B3C">
            <w:pPr>
              <w:jc w:val="center"/>
              <w:rPr>
                <w:rFonts w:ascii="Arial" w:hAnsi="Arial" w:cs="Arial"/>
                <w:sz w:val="16"/>
                <w:szCs w:val="16"/>
              </w:rPr>
            </w:pPr>
          </w:p>
        </w:tc>
      </w:tr>
    </w:tbl>
    <w:p w14:paraId="307F9AB5" w14:textId="77777777" w:rsidR="00347D93" w:rsidRPr="00426B3C" w:rsidRDefault="00347D93"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A5EEAC5" w14:textId="77777777" w:rsidR="00347D93" w:rsidRDefault="00347D93">
      <w:pPr>
        <w:rPr>
          <w:u w:val="single"/>
        </w:rPr>
      </w:pPr>
    </w:p>
    <w:p w14:paraId="16615951" w14:textId="77777777" w:rsidR="00347D93" w:rsidRPr="00D221EB"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2FAC326C" w14:textId="77777777" w:rsidR="00347D93" w:rsidRDefault="006C5BD3" w:rsidP="00FB0DF4">
      <w:pPr>
        <w:pStyle w:val="Heading20"/>
        <w:spacing w:before="240" w:after="480"/>
        <w:jc w:val="left"/>
      </w:pPr>
      <w:r>
        <w:rPr>
          <w:rFonts w:cs="Arial"/>
          <w:sz w:val="24"/>
        </w:rPr>
        <w:t>EBAZPENA</w:t>
      </w:r>
    </w:p>
    <w:p w14:paraId="7C172356" w14:textId="77777777" w:rsidR="00347D93" w:rsidRDefault="006C5BD3" w:rsidP="00B677B2">
      <w:pPr>
        <w:pStyle w:val="Normal0"/>
        <w:spacing w:after="480"/>
        <w:rPr>
          <w:noProof/>
          <w:sz w:val="22"/>
        </w:rPr>
      </w:pPr>
      <w:r>
        <w:rPr>
          <w:sz w:val="22"/>
        </w:rPr>
        <w:t>Kultura eta Kirol Saila</w:t>
      </w:r>
      <w:r>
        <w:rPr>
          <w:sz w:val="22"/>
        </w:rPr>
        <w:br/>
      </w:r>
      <w:r>
        <w:rPr>
          <w:noProof/>
          <w:sz w:val="22"/>
        </w:rPr>
        <w:t>Idazkaritza teknikoko Zerbitzua</w:t>
      </w:r>
      <w:r>
        <w:rPr>
          <w:noProof/>
          <w:sz w:val="22"/>
        </w:rPr>
        <w:br/>
        <w:t>Exp. Zk:</w:t>
      </w:r>
      <w:r>
        <w:rPr>
          <w:sz w:val="22"/>
        </w:rPr>
        <w:t xml:space="preserve"> </w:t>
      </w:r>
      <w:r>
        <w:rPr>
          <w:noProof/>
          <w:sz w:val="22"/>
        </w:rPr>
        <w:t>INFOPU-</w:t>
      </w:r>
      <w:r w:rsidRPr="00576766">
        <w:rPr>
          <w:sz w:val="22"/>
          <w:szCs w:val="22"/>
          <w:lang w:val="eu-ES"/>
        </w:rPr>
        <w:t>2024/00042</w:t>
      </w:r>
    </w:p>
    <w:p w14:paraId="1EB38CBC" w14:textId="0E5DB16B" w:rsidR="00347D93" w:rsidRDefault="006C5BD3" w:rsidP="00FB0DF4">
      <w:pPr>
        <w:pStyle w:val="Normal0"/>
        <w:autoSpaceDE w:val="0"/>
        <w:autoSpaceDN w:val="0"/>
        <w:adjustRightInd w:val="0"/>
        <w:spacing w:after="240"/>
        <w:jc w:val="both"/>
        <w:rPr>
          <w:rFonts w:ascii="TimesNewRomanPS-BoldMT" w:eastAsia="Calibri" w:hAnsi="TimesNewRomanPS-BoldMT" w:cs="TimesNewRomanPS-BoldMT"/>
          <w:b/>
          <w:bCs/>
          <w:sz w:val="22"/>
          <w:szCs w:val="22"/>
          <w:lang w:val="es-ES" w:eastAsia="en-US" w:bidi="ar-SA"/>
        </w:rPr>
      </w:pPr>
      <w:r>
        <w:rPr>
          <w:b/>
          <w:bCs/>
          <w:sz w:val="24"/>
          <w:szCs w:val="24"/>
          <w:lang w:val="eu-ES"/>
        </w:rPr>
        <w:t xml:space="preserve">Partzialki baiestea </w:t>
      </w:r>
      <w:r>
        <w:rPr>
          <w:rFonts w:ascii="TimesNewRomanPS-BoldMT" w:eastAsia="Calibri" w:hAnsi="TimesNewRomanPS-BoldMT" w:cs="TimesNewRomanPS-BoldMT"/>
          <w:b/>
          <w:bCs/>
          <w:sz w:val="22"/>
          <w:szCs w:val="22"/>
          <w:lang w:val="es-ES" w:eastAsia="en-US" w:bidi="ar-SA"/>
        </w:rPr>
        <w:t xml:space="preserve">informazio </w:t>
      </w:r>
      <w:proofErr w:type="spellStart"/>
      <w:r>
        <w:rPr>
          <w:rFonts w:ascii="TimesNewRomanPS-BoldMT" w:eastAsia="Calibri" w:hAnsi="TimesNewRomanPS-BoldMT" w:cs="TimesNewRomanPS-BoldMT"/>
          <w:b/>
          <w:bCs/>
          <w:sz w:val="22"/>
          <w:szCs w:val="22"/>
          <w:lang w:val="es-ES" w:eastAsia="en-US" w:bidi="ar-SA"/>
        </w:rPr>
        <w:t>publikoa</w:t>
      </w:r>
      <w:proofErr w:type="spellEnd"/>
      <w:r>
        <w:rPr>
          <w:rFonts w:ascii="TimesNewRomanPS-BoldMT" w:eastAsia="Calibri" w:hAnsi="TimesNewRomanPS-BoldMT" w:cs="TimesNewRomanPS-BoldMT"/>
          <w:b/>
          <w:bCs/>
          <w:sz w:val="22"/>
          <w:szCs w:val="22"/>
          <w:lang w:val="es-ES" w:eastAsia="en-US" w:bidi="ar-SA"/>
        </w:rPr>
        <w:t xml:space="preserve"> </w:t>
      </w:r>
      <w:proofErr w:type="spellStart"/>
      <w:r>
        <w:rPr>
          <w:rFonts w:ascii="TimesNewRomanPS-BoldMT" w:eastAsia="Calibri" w:hAnsi="TimesNewRomanPS-BoldMT" w:cs="TimesNewRomanPS-BoldMT"/>
          <w:b/>
          <w:bCs/>
          <w:sz w:val="22"/>
          <w:szCs w:val="22"/>
          <w:lang w:val="es-ES" w:eastAsia="en-US" w:bidi="ar-SA"/>
        </w:rPr>
        <w:t>eskuratzeko</w:t>
      </w:r>
      <w:proofErr w:type="spellEnd"/>
      <w:r>
        <w:rPr>
          <w:rFonts w:ascii="TimesNewRomanPS-BoldMT" w:eastAsia="Calibri" w:hAnsi="TimesNewRomanPS-BoldMT" w:cs="TimesNewRomanPS-BoldMT"/>
          <w:b/>
          <w:bCs/>
          <w:sz w:val="22"/>
          <w:szCs w:val="22"/>
          <w:lang w:val="es-ES" w:eastAsia="en-US" w:bidi="ar-SA"/>
        </w:rPr>
        <w:t xml:space="preserve"> </w:t>
      </w:r>
      <w:proofErr w:type="spellStart"/>
      <w:r>
        <w:rPr>
          <w:rFonts w:ascii="TimesNewRomanPS-BoldMT" w:eastAsia="Calibri" w:hAnsi="TimesNewRomanPS-BoldMT" w:cs="TimesNewRomanPS-BoldMT"/>
          <w:b/>
          <w:bCs/>
          <w:sz w:val="22"/>
          <w:szCs w:val="22"/>
          <w:lang w:val="es-ES" w:eastAsia="en-US" w:bidi="ar-SA"/>
        </w:rPr>
        <w:t>eskaera</w:t>
      </w:r>
      <w:proofErr w:type="spellEnd"/>
      <w:r>
        <w:rPr>
          <w:rFonts w:ascii="TimesNewRomanPS-BoldMT" w:eastAsia="Calibri" w:hAnsi="TimesNewRomanPS-BoldMT" w:cs="TimesNewRomanPS-BoldMT"/>
          <w:b/>
          <w:bCs/>
          <w:sz w:val="22"/>
          <w:szCs w:val="22"/>
          <w:lang w:val="es-ES" w:eastAsia="en-US" w:bidi="ar-SA"/>
        </w:rPr>
        <w:t xml:space="preserve">, </w:t>
      </w:r>
      <w:proofErr w:type="spellStart"/>
      <w:r w:rsidR="008E74FD" w:rsidRPr="008E74FD">
        <w:rPr>
          <w:rFonts w:ascii="TimesNewRomanPS-BoldMT" w:eastAsia="Calibri" w:hAnsi="TimesNewRomanPS-BoldMT" w:cs="TimesNewRomanPS-BoldMT"/>
          <w:b/>
          <w:bCs/>
          <w:sz w:val="22"/>
          <w:szCs w:val="22"/>
          <w:highlight w:val="black"/>
          <w:lang w:val="es-ES" w:eastAsia="en-US" w:bidi="ar-SA"/>
        </w:rPr>
        <w:t>XXXXX</w:t>
      </w:r>
      <w:r>
        <w:rPr>
          <w:rFonts w:ascii="TimesNewRomanPS-BoldMT" w:eastAsia="Calibri" w:hAnsi="TimesNewRomanPS-BoldMT" w:cs="TimesNewRomanPS-BoldMT"/>
          <w:b/>
          <w:bCs/>
          <w:sz w:val="22"/>
          <w:szCs w:val="22"/>
          <w:lang w:val="es-ES" w:eastAsia="en-US" w:bidi="ar-SA"/>
        </w:rPr>
        <w:t>k</w:t>
      </w:r>
      <w:proofErr w:type="spellEnd"/>
      <w:r>
        <w:rPr>
          <w:rFonts w:ascii="TimesNewRomanPS-BoldMT" w:eastAsia="Calibri" w:hAnsi="TimesNewRomanPS-BoldMT" w:cs="TimesNewRomanPS-BoldMT"/>
          <w:b/>
          <w:bCs/>
          <w:sz w:val="22"/>
          <w:szCs w:val="22"/>
          <w:lang w:val="es-ES" w:eastAsia="en-US" w:bidi="ar-SA"/>
        </w:rPr>
        <w:t xml:space="preserve"> </w:t>
      </w:r>
      <w:proofErr w:type="spellStart"/>
      <w:r>
        <w:rPr>
          <w:rFonts w:ascii="TimesNewRomanPS-BoldMT" w:eastAsia="Calibri" w:hAnsi="TimesNewRomanPS-BoldMT" w:cs="TimesNewRomanPS-BoldMT"/>
          <w:b/>
          <w:bCs/>
          <w:sz w:val="22"/>
          <w:szCs w:val="22"/>
          <w:lang w:val="es-ES" w:eastAsia="en-US" w:bidi="ar-SA"/>
        </w:rPr>
        <w:t>aurkeztutakoa</w:t>
      </w:r>
      <w:proofErr w:type="spellEnd"/>
      <w:r>
        <w:rPr>
          <w:rFonts w:ascii="TimesNewRomanPS-BoldMT" w:eastAsia="Calibri" w:hAnsi="TimesNewRomanPS-BoldMT" w:cs="TimesNewRomanPS-BoldMT"/>
          <w:b/>
          <w:bCs/>
          <w:sz w:val="22"/>
          <w:szCs w:val="22"/>
          <w:lang w:val="es-ES" w:eastAsia="en-US" w:bidi="ar-SA"/>
        </w:rPr>
        <w:t>.</w:t>
      </w:r>
    </w:p>
    <w:p w14:paraId="692AD0C0" w14:textId="5C95BEF9" w:rsidR="00347D93" w:rsidRPr="007D422B" w:rsidRDefault="006C5BD3" w:rsidP="007A56A5">
      <w:pPr>
        <w:pStyle w:val="Normal0"/>
        <w:autoSpaceDE w:val="0"/>
        <w:autoSpaceDN w:val="0"/>
        <w:adjustRightInd w:val="0"/>
        <w:spacing w:after="120"/>
        <w:jc w:val="both"/>
        <w:rPr>
          <w:rFonts w:ascii="TimesNewRomanPS-BoldMT" w:eastAsia="Calibri" w:hAnsi="TimesNewRomanPS-BoldMT" w:cs="TimesNewRomanPS-BoldMT"/>
          <w:b/>
          <w:bCs/>
          <w:sz w:val="22"/>
          <w:szCs w:val="22"/>
          <w:lang w:val="eu-ES" w:eastAsia="en-US" w:bidi="ar-SA"/>
        </w:rPr>
      </w:pPr>
      <w:r w:rsidRPr="007D422B">
        <w:rPr>
          <w:rFonts w:ascii="TimesNewRomanPS-BoldMT" w:eastAsia="Calibri" w:hAnsi="TimesNewRomanPS-BoldMT" w:cs="TimesNewRomanPS-BoldMT"/>
          <w:sz w:val="22"/>
          <w:szCs w:val="22"/>
          <w:lang w:val="eu-ES" w:eastAsia="en-US" w:bidi="ar-SA"/>
        </w:rPr>
        <w:t>2024ko irailaren 24an</w:t>
      </w:r>
      <w:r>
        <w:rPr>
          <w:rFonts w:ascii="TimesNewRomanPS-BoldMT" w:eastAsia="Calibri" w:hAnsi="TimesNewRomanPS-BoldMT" w:cs="TimesNewRomanPS-BoldMT"/>
          <w:sz w:val="22"/>
          <w:szCs w:val="22"/>
          <w:lang w:val="eu-ES" w:eastAsia="en-US" w:bidi="ar-SA"/>
        </w:rPr>
        <w:t xml:space="preserve"> </w:t>
      </w:r>
      <w:proofErr w:type="spellStart"/>
      <w:r w:rsidR="008E74FD" w:rsidRPr="008E74FD">
        <w:rPr>
          <w:rFonts w:ascii="TimesNewRomanPS-BoldMT" w:eastAsia="Calibri" w:hAnsi="TimesNewRomanPS-BoldMT" w:cs="TimesNewRomanPS-BoldMT"/>
          <w:sz w:val="22"/>
          <w:szCs w:val="22"/>
          <w:highlight w:val="black"/>
          <w:lang w:val="eu-ES" w:eastAsia="en-US" w:bidi="ar-SA"/>
        </w:rPr>
        <w:t>XXXXX</w:t>
      </w:r>
      <w:r>
        <w:rPr>
          <w:rFonts w:ascii="TimesNewRomanPS-BoldMT" w:eastAsia="Calibri" w:hAnsi="TimesNewRomanPS-BoldMT" w:cs="TimesNewRomanPS-BoldMT"/>
          <w:sz w:val="22"/>
          <w:szCs w:val="22"/>
          <w:lang w:val="eu-ES" w:eastAsia="en-US" w:bidi="ar-SA"/>
        </w:rPr>
        <w:t>k</w:t>
      </w:r>
      <w:proofErr w:type="spellEnd"/>
      <w:r w:rsidRPr="007D422B">
        <w:rPr>
          <w:rFonts w:ascii="TimesNewRomanPS-BoldMT" w:eastAsia="Calibri" w:hAnsi="TimesNewRomanPS-BoldMT" w:cs="TimesNewRomanPS-BoldMT"/>
          <w:sz w:val="22"/>
          <w:szCs w:val="22"/>
          <w:lang w:val="eu-ES" w:eastAsia="en-US" w:bidi="ar-SA"/>
        </w:rPr>
        <w:t xml:space="preserve"> aurkeztutako idazkia jaso zen Arabako Foru Aldundiaren Erregistro Orokorrean. Idazki horren bidez, honako hau eskuratzeko eskatu zuen: </w:t>
      </w:r>
      <w:r>
        <w:rPr>
          <w:rFonts w:ascii="TimesNewRomanPS-BoldMT" w:eastAsia="Calibri" w:hAnsi="TimesNewRomanPS-BoldMT" w:cs="TimesNewRomanPS-BoldMT"/>
          <w:i/>
          <w:iCs/>
          <w:sz w:val="22"/>
          <w:szCs w:val="22"/>
          <w:lang w:val="eu-ES" w:eastAsia="en-US" w:bidi="ar-SA"/>
        </w:rPr>
        <w:t>“</w:t>
      </w:r>
      <w:r w:rsidRPr="006D5B91">
        <w:rPr>
          <w:rFonts w:ascii="TimesNewRomanPS-BoldMT" w:eastAsia="Calibri" w:hAnsi="TimesNewRomanPS-BoldMT" w:cs="TimesNewRomanPS-BoldMT"/>
          <w:i/>
          <w:iCs/>
          <w:sz w:val="22"/>
          <w:szCs w:val="22"/>
          <w:lang w:val="eu-ES" w:eastAsia="en-US" w:bidi="ar-SA"/>
        </w:rPr>
        <w:t>1.- Iruña-Veleiako pieza eta material arkeologikoen deskribapena: Iruña-Veleiako aztarnategian Arabako Foru Aldundiaren zaintzapean dauden pieza eta elementu arkeologikoen zerrenda zehatza, horien deskribapenarekin batera. Bertan, aurkikuntzaren data, kontserbazio-egoera, inbentario-zenbakia eta bestelako informazio esanguratsua jaso behar da</w:t>
      </w:r>
      <w:r>
        <w:rPr>
          <w:rFonts w:ascii="TimesNewRomanPS-BoldMT" w:eastAsia="Calibri" w:hAnsi="TimesNewRomanPS-BoldMT" w:cs="TimesNewRomanPS-BoldMT"/>
          <w:sz w:val="22"/>
          <w:szCs w:val="22"/>
          <w:lang w:val="eu-ES" w:eastAsia="en-US" w:bidi="ar-SA"/>
        </w:rPr>
        <w:t xml:space="preserve">. </w:t>
      </w:r>
      <w:r w:rsidRPr="007D422B">
        <w:rPr>
          <w:rFonts w:ascii="TimesNewRomanPS-BoldMT" w:eastAsia="Calibri" w:hAnsi="TimesNewRomanPS-BoldMT" w:cs="TimesNewRomanPS-BoldMT"/>
          <w:i/>
          <w:iCs/>
          <w:sz w:val="22"/>
          <w:szCs w:val="22"/>
          <w:lang w:val="eu-ES" w:eastAsia="en-US" w:bidi="ar-SA"/>
        </w:rPr>
        <w:t xml:space="preserve"> 2.- Kontserba</w:t>
      </w:r>
      <w:r>
        <w:rPr>
          <w:rFonts w:ascii="TimesNewRomanPS-BoldMT" w:eastAsia="Calibri" w:hAnsi="TimesNewRomanPS-BoldMT" w:cs="TimesNewRomanPS-BoldMT"/>
          <w:i/>
          <w:iCs/>
          <w:sz w:val="22"/>
          <w:szCs w:val="22"/>
          <w:lang w:val="eu-ES" w:eastAsia="en-US" w:bidi="ar-SA"/>
        </w:rPr>
        <w:t>zio</w:t>
      </w:r>
      <w:r w:rsidRPr="007D422B">
        <w:rPr>
          <w:rFonts w:ascii="TimesNewRomanPS-BoldMT" w:eastAsia="Calibri" w:hAnsi="TimesNewRomanPS-BoldMT" w:cs="TimesNewRomanPS-BoldMT"/>
          <w:i/>
          <w:iCs/>
          <w:sz w:val="22"/>
          <w:szCs w:val="22"/>
          <w:lang w:val="eu-ES" w:eastAsia="en-US" w:bidi="ar-SA"/>
        </w:rPr>
        <w:t xml:space="preserve"> eta erakusteko baldintzak: Material horiek zaintzeko neurriei eta baldintzei buruzko informazioa</w:t>
      </w:r>
      <w:r>
        <w:rPr>
          <w:rFonts w:ascii="TimesNewRomanPS-BoldMT" w:eastAsia="Calibri" w:hAnsi="TimesNewRomanPS-BoldMT" w:cs="TimesNewRomanPS-BoldMT"/>
          <w:i/>
          <w:iCs/>
          <w:sz w:val="22"/>
          <w:szCs w:val="22"/>
          <w:lang w:val="eu-ES" w:eastAsia="en-US" w:bidi="ar-SA"/>
        </w:rPr>
        <w:t>, baita</w:t>
      </w:r>
      <w:r w:rsidRPr="007D422B">
        <w:rPr>
          <w:rFonts w:ascii="TimesNewRomanPS-BoldMT" w:eastAsia="Calibri" w:hAnsi="TimesNewRomanPS-BoldMT" w:cs="TimesNewRomanPS-BoldMT"/>
          <w:i/>
          <w:iCs/>
          <w:sz w:val="22"/>
          <w:szCs w:val="22"/>
          <w:lang w:val="eu-ES" w:eastAsia="en-US" w:bidi="ar-SA"/>
        </w:rPr>
        <w:t xml:space="preserve"> </w:t>
      </w:r>
      <w:r>
        <w:rPr>
          <w:rFonts w:ascii="TimesNewRomanPS-BoldMT" w:eastAsia="Calibri" w:hAnsi="TimesNewRomanPS-BoldMT" w:cs="TimesNewRomanPS-BoldMT"/>
          <w:i/>
          <w:iCs/>
          <w:sz w:val="22"/>
          <w:szCs w:val="22"/>
          <w:lang w:val="eu-ES" w:eastAsia="en-US" w:bidi="ar-SA"/>
        </w:rPr>
        <w:t>beraien</w:t>
      </w:r>
      <w:r w:rsidRPr="007D422B">
        <w:rPr>
          <w:rFonts w:ascii="TimesNewRomanPS-BoldMT" w:eastAsia="Calibri" w:hAnsi="TimesNewRomanPS-BoldMT" w:cs="TimesNewRomanPS-BoldMT"/>
          <w:i/>
          <w:iCs/>
          <w:sz w:val="22"/>
          <w:szCs w:val="22"/>
          <w:lang w:val="eu-ES" w:eastAsia="en-US" w:bidi="ar-SA"/>
        </w:rPr>
        <w:t xml:space="preserve"> egungo kontserbazio-egoerari buruzkoa ere</w:t>
      </w:r>
      <w:r w:rsidRPr="00B40025">
        <w:rPr>
          <w:rFonts w:ascii="TimesNewRomanPS-BoldMT" w:eastAsia="Calibri" w:hAnsi="TimesNewRomanPS-BoldMT" w:cs="TimesNewRomanPS-BoldMT"/>
          <w:i/>
          <w:iCs/>
          <w:sz w:val="22"/>
          <w:szCs w:val="22"/>
          <w:lang w:val="eu-ES" w:eastAsia="en-US" w:bidi="ar-SA"/>
        </w:rPr>
        <w:t>”</w:t>
      </w:r>
      <w:r w:rsidRPr="007D422B">
        <w:rPr>
          <w:rFonts w:ascii="TimesNewRomanPS-BoldMT" w:eastAsia="Calibri" w:hAnsi="TimesNewRomanPS-BoldMT" w:cs="TimesNewRomanPS-BoldMT"/>
          <w:sz w:val="22"/>
          <w:szCs w:val="22"/>
          <w:lang w:val="eu-ES" w:eastAsia="en-US" w:bidi="ar-SA"/>
        </w:rPr>
        <w:t>, eskaera egiteko arrazoiak azaldu gabe.</w:t>
      </w:r>
    </w:p>
    <w:p w14:paraId="2A974864" w14:textId="77777777" w:rsidR="00347D93"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B40025">
        <w:rPr>
          <w:rFonts w:ascii="TimesNewRomanPS-BoldMT" w:eastAsia="Calibri" w:hAnsi="TimesNewRomanPS-BoldMT" w:cs="TimesNewRomanPS-BoldMT"/>
          <w:sz w:val="22"/>
          <w:szCs w:val="22"/>
          <w:lang w:val="eu-ES" w:eastAsia="en-US" w:bidi="ar-SA"/>
        </w:rPr>
        <w:t>Eskaera hori informazio publikoa eskuratzeko eskubidearen babesean aurkeztu da. Eskubide hori artikulu hauetan jasota dago: Arabako Lurralde Historikoko Sektore Publikoaren Gardentasunari, Herritarren Parte-hartzeari eta Gobernu Onari buruzko otsailaren 8ko 1/2017 Foru Arauaren (aurrerantzean, 1/2017 Foru Araua) 30.artikuluan eta Gardentasunari, informazio publikoa eskuratzeko bideari eta gobernu onari buruzko abenduaren 9ko 19/2013 Legearen (aurrerantzean, GIBGOL) 12. artikuluan.</w:t>
      </w:r>
    </w:p>
    <w:p w14:paraId="08C0FAB9" w14:textId="77777777" w:rsidR="00347D93"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B40025">
        <w:rPr>
          <w:rFonts w:ascii="TimesNewRomanPS-BoldMT" w:eastAsia="Calibri" w:hAnsi="TimesNewRomanPS-BoldMT" w:cs="TimesNewRomanPS-BoldMT"/>
          <w:sz w:val="22"/>
          <w:szCs w:val="22"/>
          <w:lang w:val="eu-ES" w:eastAsia="en-US" w:bidi="ar-SA"/>
        </w:rPr>
        <w:t>Lehenik eta behin, jendaurreko informazio-eskaera ez onartzeko arrazoirik dagoen aztertu behar da. Ildo horretatik, 1/2017 Foru Arauaren 34. artikuluaren lehen apartatuan jasotzen denez, "Oinarrizko legerian aurreikusitako sarbide-eskaerak ez onartzeko arrazoiak aplikatuko dira". Beraz, bada GIBGOLerako arau-igorpen bat, zeinak 18.1 artikuluan ezartzen baititu</w:t>
      </w:r>
      <w:r>
        <w:rPr>
          <w:rFonts w:ascii="TimesNewRomanPS-BoldMT" w:eastAsia="Calibri" w:hAnsi="TimesNewRomanPS-BoldMT" w:cs="TimesNewRomanPS-BoldMT"/>
          <w:sz w:val="22"/>
          <w:szCs w:val="22"/>
          <w:lang w:val="eu-ES" w:eastAsia="en-US" w:bidi="ar-SA"/>
        </w:rPr>
        <w:t xml:space="preserve"> </w:t>
      </w:r>
      <w:r w:rsidRPr="00B40025">
        <w:rPr>
          <w:rFonts w:ascii="TimesNewRomanPS-BoldMT" w:eastAsia="Calibri" w:hAnsi="TimesNewRomanPS-BoldMT" w:cs="TimesNewRomanPS-BoldMT"/>
          <w:sz w:val="22"/>
          <w:szCs w:val="22"/>
          <w:lang w:val="eu-ES" w:eastAsia="en-US" w:bidi="ar-SA"/>
        </w:rPr>
        <w:t xml:space="preserve"> ez onartzeko arrazoiak</w:t>
      </w:r>
      <w:r>
        <w:rPr>
          <w:rFonts w:ascii="TimesNewRomanPS-BoldMT" w:eastAsia="Calibri" w:hAnsi="TimesNewRomanPS-BoldMT" w:cs="TimesNewRomanPS-BoldMT"/>
          <w:sz w:val="22"/>
          <w:szCs w:val="22"/>
          <w:lang w:val="eu-ES" w:eastAsia="en-US" w:bidi="ar-SA"/>
        </w:rPr>
        <w:t>:</w:t>
      </w:r>
    </w:p>
    <w:p w14:paraId="6E5F4F3D" w14:textId="77777777" w:rsidR="00347D93" w:rsidRPr="00B40025"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sz w:val="22"/>
          <w:szCs w:val="22"/>
          <w:lang w:val="eu-ES" w:eastAsia="en-US" w:bidi="ar-SA"/>
        </w:rPr>
      </w:pPr>
      <w:r>
        <w:rPr>
          <w:rFonts w:ascii="TimesNewRomanPS-BoldMT" w:eastAsia="Calibri" w:hAnsi="TimesNewRomanPS-BoldMT" w:cs="TimesNewRomanPS-BoldMT"/>
          <w:sz w:val="22"/>
          <w:szCs w:val="22"/>
          <w:lang w:val="eu-ES" w:eastAsia="en-US" w:bidi="ar-SA"/>
        </w:rPr>
        <w:t>“</w:t>
      </w:r>
      <w:r w:rsidRPr="00B40025">
        <w:rPr>
          <w:rFonts w:ascii="TimesNewRomanPS-BoldMT" w:eastAsia="Calibri" w:hAnsi="TimesNewRomanPS-BoldMT" w:cs="TimesNewRomanPS-BoldMT"/>
          <w:i/>
          <w:iCs/>
          <w:sz w:val="22"/>
          <w:szCs w:val="22"/>
          <w:lang w:val="eu-ES" w:eastAsia="en-US" w:bidi="ar-SA"/>
        </w:rPr>
        <w:t>1. Ez dira izapidetzeko onartuko, ebazpen arrazoitu bidez, honako eskabide hauek:</w:t>
      </w:r>
    </w:p>
    <w:p w14:paraId="596FD4AA" w14:textId="77777777" w:rsidR="00347D93" w:rsidRPr="00B40025"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B40025">
        <w:rPr>
          <w:rFonts w:ascii="TimesNewRomanPS-BoldMT" w:eastAsia="Calibri" w:hAnsi="TimesNewRomanPS-BoldMT" w:cs="TimesNewRomanPS-BoldMT"/>
          <w:i/>
          <w:iCs/>
          <w:sz w:val="22"/>
          <w:szCs w:val="22"/>
          <w:lang w:val="eu-ES" w:eastAsia="en-US" w:bidi="ar-SA"/>
        </w:rPr>
        <w:lastRenderedPageBreak/>
        <w:t>a) Egiteko bidean den informazioari edo argitarapen orokorrerako bidean den informazioari buruzkoak.</w:t>
      </w:r>
    </w:p>
    <w:p w14:paraId="323E6130" w14:textId="77777777" w:rsidR="00347D93" w:rsidRPr="00B40025"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B40025">
        <w:rPr>
          <w:rFonts w:ascii="TimesNewRomanPS-BoldMT" w:eastAsia="Calibri" w:hAnsi="TimesNewRomanPS-BoldMT" w:cs="TimesNewRomanPS-BoldMT"/>
          <w:i/>
          <w:iCs/>
          <w:sz w:val="22"/>
          <w:szCs w:val="22"/>
          <w:lang w:val="eu-ES" w:eastAsia="en-US" w:bidi="ar-SA"/>
        </w:rPr>
        <w:t>b) Informazio osagarriari edo laguntzarako informazioari buruzkoak; esate baterako, halako informaziotzat hartzen da, oharretan, zirriborroetan, iritzietan, laburpenetan, barne komunikazio eta txostenetan edo</w:t>
      </w:r>
      <w:r>
        <w:rPr>
          <w:rFonts w:ascii="TimesNewRomanPS-BoldMT" w:eastAsia="Calibri" w:hAnsi="TimesNewRomanPS-BoldMT" w:cs="TimesNewRomanPS-BoldMT"/>
          <w:i/>
          <w:iCs/>
          <w:sz w:val="22"/>
          <w:szCs w:val="22"/>
          <w:lang w:val="eu-ES" w:eastAsia="en-US" w:bidi="ar-SA"/>
        </w:rPr>
        <w:t xml:space="preserve"> </w:t>
      </w:r>
      <w:r w:rsidRPr="00B40025">
        <w:rPr>
          <w:rFonts w:ascii="TimesNewRomanPS-BoldMT" w:eastAsia="Calibri" w:hAnsi="TimesNewRomanPS-BoldMT" w:cs="TimesNewRomanPS-BoldMT"/>
          <w:i/>
          <w:iCs/>
          <w:sz w:val="22"/>
          <w:szCs w:val="22"/>
          <w:lang w:val="eu-ES" w:eastAsia="en-US" w:bidi="ar-SA"/>
        </w:rPr>
        <w:t>organo edo erakunde administratiboen arteko komunikazio eta txostenetan jasotakoa.</w:t>
      </w:r>
    </w:p>
    <w:p w14:paraId="1E2349B4" w14:textId="77777777" w:rsidR="00347D93" w:rsidRPr="00B40025"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B40025">
        <w:rPr>
          <w:rFonts w:ascii="TimesNewRomanPS-BoldMT" w:eastAsia="Calibri" w:hAnsi="TimesNewRomanPS-BoldMT" w:cs="TimesNewRomanPS-BoldMT"/>
          <w:i/>
          <w:iCs/>
          <w:sz w:val="22"/>
          <w:szCs w:val="22"/>
          <w:lang w:val="eu-ES" w:eastAsia="en-US" w:bidi="ar-SA"/>
        </w:rPr>
        <w:t>c) Hedatzeko, aldez aurretik, berriro prestatzea behar duten informazioari buruzkoak.</w:t>
      </w:r>
    </w:p>
    <w:p w14:paraId="4ACF3B02" w14:textId="77777777" w:rsidR="00347D93" w:rsidRPr="00B40025"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B40025">
        <w:rPr>
          <w:rFonts w:ascii="TimesNewRomanPS-BoldMT" w:eastAsia="Calibri" w:hAnsi="TimesNewRomanPS-BoldMT" w:cs="TimesNewRomanPS-BoldMT"/>
          <w:i/>
          <w:iCs/>
          <w:sz w:val="22"/>
          <w:szCs w:val="22"/>
          <w:lang w:val="eu-ES" w:eastAsia="en-US" w:bidi="ar-SA"/>
        </w:rPr>
        <w:t>d) Eskumena nork daukan ez dakigunean, informazioa ez daukan organo bati zuzendutakoak.</w:t>
      </w:r>
    </w:p>
    <w:p w14:paraId="0B17938C" w14:textId="77777777" w:rsidR="00347D93" w:rsidRPr="00230E8C" w:rsidRDefault="006C5BD3" w:rsidP="00C53A3F">
      <w:pPr>
        <w:pStyle w:val="Normal0"/>
        <w:autoSpaceDE w:val="0"/>
        <w:autoSpaceDN w:val="0"/>
        <w:adjustRightInd w:val="0"/>
        <w:spacing w:after="120"/>
        <w:jc w:val="both"/>
        <w:rPr>
          <w:rFonts w:ascii="TimesNewRomanPS-BoldMT" w:eastAsia="Calibri" w:hAnsi="TimesNewRomanPS-BoldMT" w:cs="TimesNewRomanPS-BoldMT"/>
          <w:b/>
          <w:bCs/>
          <w:i/>
          <w:iCs/>
          <w:sz w:val="22"/>
          <w:szCs w:val="22"/>
          <w:u w:val="single"/>
          <w:lang w:val="eu-ES" w:eastAsia="en-US" w:bidi="ar-SA"/>
        </w:rPr>
      </w:pPr>
      <w:r w:rsidRPr="00B40025">
        <w:rPr>
          <w:rFonts w:ascii="TimesNewRomanPS-BoldMT" w:eastAsia="Calibri" w:hAnsi="TimesNewRomanPS-BoldMT" w:cs="TimesNewRomanPS-BoldMT"/>
          <w:i/>
          <w:iCs/>
          <w:sz w:val="22"/>
          <w:szCs w:val="22"/>
          <w:lang w:val="eu-ES" w:eastAsia="en-US" w:bidi="ar-SA"/>
        </w:rPr>
        <w:t xml:space="preserve">e) Argi eta garbi errepikakorrak direnak </w:t>
      </w:r>
      <w:r w:rsidRPr="00230E8C">
        <w:rPr>
          <w:rFonts w:ascii="TimesNewRomanPS-BoldMT" w:eastAsia="Calibri" w:hAnsi="TimesNewRomanPS-BoldMT" w:cs="TimesNewRomanPS-BoldMT"/>
          <w:i/>
          <w:iCs/>
          <w:sz w:val="22"/>
          <w:szCs w:val="22"/>
          <w:lang w:val="eu-ES" w:eastAsia="en-US" w:bidi="ar-SA"/>
        </w:rPr>
        <w:t>edo neurriz kanpokoak direnak, lege honen gardentasun helburuarekin justifikatu ezin direnak.”</w:t>
      </w:r>
    </w:p>
    <w:p w14:paraId="228410D7" w14:textId="77777777" w:rsidR="00347D93"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360D12">
        <w:rPr>
          <w:rFonts w:ascii="TimesNewRomanPS-BoldMT" w:eastAsia="Calibri" w:hAnsi="TimesNewRomanPS-BoldMT" w:cs="TimesNewRomanPS-BoldMT"/>
          <w:sz w:val="22"/>
          <w:szCs w:val="22"/>
          <w:lang w:val="eu-ES" w:eastAsia="en-US" w:bidi="ar-SA"/>
        </w:rPr>
        <w:t>Azken xedapen horrek, e) idatz-zatian, bi baldintza ezartzen ditu, bertan jasotako ez onartzeko arrazoia gauzatu ahal izateko; abusuzkoa izatea, eta abusuzko izaera horrek legearen xedean babesik ez izatea; beraz, lehenik eta behin helburu hori osatzen duten helburuak definitu behar ditugu.</w:t>
      </w:r>
    </w:p>
    <w:p w14:paraId="3F86DDAD" w14:textId="77777777" w:rsidR="00347D93"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360D12">
        <w:rPr>
          <w:rFonts w:ascii="TimesNewRomanPS-BoldMT" w:eastAsia="Calibri" w:hAnsi="TimesNewRomanPS-BoldMT" w:cs="TimesNewRomanPS-BoldMT"/>
          <w:sz w:val="22"/>
          <w:szCs w:val="22"/>
          <w:lang w:val="eu-ES" w:eastAsia="en-US" w:bidi="ar-SA"/>
        </w:rPr>
        <w:t>GIBGOLen 1. artikuluak legearen xedea definitzen du, eta honako hau xedatzen du:</w:t>
      </w:r>
      <w:r>
        <w:rPr>
          <w:rFonts w:ascii="TimesNewRomanPS-BoldMT" w:eastAsia="Calibri" w:hAnsi="TimesNewRomanPS-BoldMT" w:cs="TimesNewRomanPS-BoldMT"/>
          <w:sz w:val="22"/>
          <w:szCs w:val="22"/>
          <w:lang w:val="eu-ES" w:eastAsia="en-US" w:bidi="ar-SA"/>
        </w:rPr>
        <w:t xml:space="preserve"> “</w:t>
      </w:r>
      <w:r w:rsidRPr="00545AD3">
        <w:rPr>
          <w:rFonts w:ascii="TimesNewRomanPS-BoldMT" w:eastAsia="Calibri" w:hAnsi="TimesNewRomanPS-BoldMT" w:cs="TimesNewRomanPS-BoldMT"/>
          <w:i/>
          <w:iCs/>
          <w:sz w:val="22"/>
          <w:szCs w:val="22"/>
          <w:lang w:val="eu-ES" w:eastAsia="en-US" w:bidi="ar-SA"/>
        </w:rPr>
        <w:t>Lege honen xedeak dira jarduera publikoaren gardentasuna zabaldu eta indartzea, jarduera horri buruzko informazioa eskuratzeko eskubidea arautu eta bermatzea, arduradun publikoek bete beharreko gobernu onaren betebeharrak ezartzea eta horiek ez betetzearen ondoriozko ondorioak ezartzea</w:t>
      </w:r>
      <w:r>
        <w:rPr>
          <w:rFonts w:ascii="TimesNewRomanPS-BoldMT" w:eastAsia="Calibri" w:hAnsi="TimesNewRomanPS-BoldMT" w:cs="TimesNewRomanPS-BoldMT"/>
          <w:sz w:val="22"/>
          <w:szCs w:val="22"/>
          <w:lang w:val="eu-ES" w:eastAsia="en-US" w:bidi="ar-SA"/>
        </w:rPr>
        <w:t>”</w:t>
      </w:r>
    </w:p>
    <w:p w14:paraId="33F2F9F5" w14:textId="77777777" w:rsidR="00347D93" w:rsidRDefault="006C5BD3" w:rsidP="007A56A5">
      <w:pPr>
        <w:pStyle w:val="Normal0"/>
        <w:spacing w:before="120" w:after="120"/>
        <w:jc w:val="both"/>
        <w:rPr>
          <w:rFonts w:ascii="TimesNewRomanPS-BoldMT" w:eastAsia="Calibri" w:hAnsi="TimesNewRomanPS-BoldMT" w:cs="TimesNewRomanPS-BoldMT"/>
          <w:sz w:val="22"/>
          <w:szCs w:val="22"/>
          <w:lang w:val="eu-ES" w:eastAsia="en-US" w:bidi="ar-SA"/>
        </w:rPr>
      </w:pPr>
      <w:r w:rsidRPr="00360D12">
        <w:rPr>
          <w:rFonts w:ascii="TimesNewRomanPS-BoldMT" w:eastAsia="Calibri" w:hAnsi="TimesNewRomanPS-BoldMT" w:cs="TimesNewRomanPS-BoldMT"/>
          <w:sz w:val="22"/>
          <w:szCs w:val="22"/>
          <w:lang w:val="eu-ES" w:eastAsia="en-US" w:bidi="ar-SA"/>
        </w:rPr>
        <w:t>Bestalde, 1/2017 Foru Arauak honako hau ezartzen du:</w:t>
      </w:r>
      <w:r>
        <w:rPr>
          <w:rFonts w:ascii="TimesNewRomanPS-BoldMT" w:eastAsia="Calibri" w:hAnsi="TimesNewRomanPS-BoldMT" w:cs="TimesNewRomanPS-BoldMT"/>
          <w:sz w:val="22"/>
          <w:szCs w:val="22"/>
          <w:lang w:val="eu-ES" w:eastAsia="en-US" w:bidi="ar-SA"/>
        </w:rPr>
        <w:t xml:space="preserve"> </w:t>
      </w:r>
    </w:p>
    <w:p w14:paraId="0B6C0A1E" w14:textId="77777777" w:rsidR="00347D93" w:rsidRPr="00745ED6" w:rsidRDefault="006C5BD3" w:rsidP="00C53A3F">
      <w:pPr>
        <w:pStyle w:val="Normal0"/>
        <w:spacing w:before="120" w:after="120"/>
        <w:contextualSpacing/>
        <w:jc w:val="both"/>
        <w:rPr>
          <w:rFonts w:cs="Times New Roman"/>
          <w:i/>
          <w:iCs/>
          <w:sz w:val="22"/>
          <w:szCs w:val="22"/>
          <w:lang w:val="eu-ES" w:bidi="ar-SA"/>
        </w:rPr>
      </w:pPr>
      <w:r w:rsidRPr="00745ED6">
        <w:rPr>
          <w:rFonts w:cs="Times New Roman"/>
          <w:i/>
          <w:iCs/>
          <w:sz w:val="22"/>
          <w:szCs w:val="22"/>
          <w:lang w:val="eu-ES" w:bidi="ar-SA"/>
        </w:rPr>
        <w:t>“1. artikulua. Xedea:</w:t>
      </w:r>
    </w:p>
    <w:p w14:paraId="4ACCD9C5" w14:textId="77777777" w:rsidR="00347D93" w:rsidRPr="00745ED6" w:rsidRDefault="006C5BD3" w:rsidP="007A56A5">
      <w:pPr>
        <w:pStyle w:val="Normal0"/>
        <w:spacing w:after="120"/>
        <w:jc w:val="both"/>
        <w:rPr>
          <w:rFonts w:cs="Times New Roman"/>
          <w:i/>
          <w:iCs/>
          <w:sz w:val="22"/>
          <w:szCs w:val="22"/>
          <w:lang w:val="eu-ES" w:bidi="ar-SA"/>
        </w:rPr>
      </w:pPr>
      <w:r w:rsidRPr="00745ED6">
        <w:rPr>
          <w:rFonts w:cs="Times New Roman"/>
          <w:i/>
          <w:iCs/>
          <w:sz w:val="22"/>
          <w:szCs w:val="22"/>
          <w:lang w:val="eu-ES" w:bidi="ar-SA"/>
        </w:rPr>
        <w:t>Foru arau honen xedea da ondoko hauek arautzea Arabako Lurralde Historikoko sektore publikoaren eremuan: administrazio jardunaren gardentasuna eta publikotasuna; gobernu ona; informazioa publikoa eskuratzeko eskubidea; politika publikoen ebaluazioa; herritarrek Arabako Lurralde Historikoko gai publikoetan parte hartzeko modua.</w:t>
      </w:r>
    </w:p>
    <w:p w14:paraId="2FCB2F3D" w14:textId="77777777" w:rsidR="00347D93" w:rsidRPr="00745ED6" w:rsidRDefault="006C5BD3" w:rsidP="00C53A3F">
      <w:pPr>
        <w:pStyle w:val="Normal0"/>
        <w:spacing w:before="120" w:after="120"/>
        <w:contextualSpacing/>
        <w:jc w:val="both"/>
        <w:rPr>
          <w:i/>
          <w:iCs/>
          <w:sz w:val="22"/>
          <w:szCs w:val="22"/>
          <w:lang w:val="eu-ES" w:bidi="ar-SA"/>
        </w:rPr>
      </w:pPr>
      <w:r w:rsidRPr="00745ED6">
        <w:rPr>
          <w:i/>
          <w:iCs/>
          <w:sz w:val="22"/>
          <w:szCs w:val="22"/>
          <w:lang w:val="eu-ES" w:bidi="ar-SA"/>
        </w:rPr>
        <w:t>2. artikulua. Helburuak:</w:t>
      </w:r>
    </w:p>
    <w:p w14:paraId="20DFF461" w14:textId="77777777" w:rsidR="00347D93" w:rsidRPr="00745ED6" w:rsidRDefault="006C5BD3" w:rsidP="007A56A5">
      <w:pPr>
        <w:pStyle w:val="Normal0"/>
        <w:spacing w:after="120"/>
        <w:contextualSpacing/>
        <w:jc w:val="both"/>
        <w:rPr>
          <w:i/>
          <w:iCs/>
          <w:sz w:val="22"/>
          <w:szCs w:val="22"/>
          <w:lang w:val="eu-ES" w:bidi="ar-SA"/>
        </w:rPr>
      </w:pPr>
      <w:r w:rsidRPr="00745ED6">
        <w:rPr>
          <w:i/>
          <w:iCs/>
          <w:sz w:val="22"/>
          <w:szCs w:val="22"/>
          <w:lang w:val="eu-ES" w:bidi="ar-SA"/>
        </w:rPr>
        <w:t>Arau honek helburu hauek lortu nahi ditu:</w:t>
      </w:r>
    </w:p>
    <w:p w14:paraId="4AAEF013" w14:textId="77777777" w:rsidR="00347D93" w:rsidRPr="00745ED6" w:rsidRDefault="006C5BD3" w:rsidP="007A56A5">
      <w:pPr>
        <w:pStyle w:val="Normal0"/>
        <w:spacing w:after="120"/>
        <w:contextualSpacing/>
        <w:jc w:val="both"/>
        <w:rPr>
          <w:i/>
          <w:iCs/>
          <w:sz w:val="22"/>
          <w:szCs w:val="22"/>
          <w:lang w:val="eu-ES" w:bidi="ar-SA"/>
        </w:rPr>
      </w:pPr>
      <w:r w:rsidRPr="00745ED6">
        <w:rPr>
          <w:i/>
          <w:iCs/>
          <w:sz w:val="22"/>
          <w:szCs w:val="22"/>
          <w:lang w:val="eu-ES" w:bidi="ar-SA"/>
        </w:rPr>
        <w:t>a) Herritarrek gobernuaren kudeaketa eta politika publikoak gainbegiratzeko eta kontrolatzeko tresna izatea. Foru Arau honen 20. artikuluan eta ondorengoetan garatuko diren ekintza zehatzekin gauzatuko da.</w:t>
      </w:r>
    </w:p>
    <w:p w14:paraId="343CE3A4" w14:textId="77777777" w:rsidR="00347D93" w:rsidRPr="00745ED6" w:rsidRDefault="006C5BD3" w:rsidP="007A56A5">
      <w:pPr>
        <w:pStyle w:val="Normal0"/>
        <w:spacing w:after="120"/>
        <w:contextualSpacing/>
        <w:jc w:val="both"/>
        <w:rPr>
          <w:i/>
          <w:iCs/>
          <w:sz w:val="22"/>
          <w:szCs w:val="22"/>
          <w:lang w:val="eu-ES" w:bidi="ar-SA"/>
        </w:rPr>
      </w:pPr>
      <w:r w:rsidRPr="00745ED6">
        <w:rPr>
          <w:i/>
          <w:iCs/>
          <w:sz w:val="22"/>
          <w:szCs w:val="22"/>
          <w:lang w:val="eu-ES" w:bidi="ar-SA"/>
        </w:rPr>
        <w:t>b) Herritarrei aditzera ematea zein diren gobernuaren plangintza eta konpromiso estrategikoak, publikotasun aktiboaren printzipioa sendotuz.</w:t>
      </w:r>
    </w:p>
    <w:p w14:paraId="1EF5E325" w14:textId="77777777" w:rsidR="00347D93" w:rsidRPr="00745ED6" w:rsidRDefault="006C5BD3" w:rsidP="007A56A5">
      <w:pPr>
        <w:pStyle w:val="Normal0"/>
        <w:spacing w:after="120"/>
        <w:contextualSpacing/>
        <w:jc w:val="both"/>
        <w:rPr>
          <w:i/>
          <w:iCs/>
          <w:sz w:val="22"/>
          <w:szCs w:val="22"/>
          <w:lang w:val="eu-ES" w:bidi="ar-SA"/>
        </w:rPr>
      </w:pPr>
      <w:r w:rsidRPr="00745ED6">
        <w:rPr>
          <w:i/>
          <w:iCs/>
          <w:sz w:val="22"/>
          <w:szCs w:val="22"/>
          <w:lang w:val="eu-ES" w:bidi="ar-SA"/>
        </w:rPr>
        <w:t>c) Sustatzea herritarrek eskuragarri edukitzea Foru Administrazioak eta berari lotutako eta beraren mendeko erakundeek duten informazioa.</w:t>
      </w:r>
    </w:p>
    <w:p w14:paraId="5A17D0BD" w14:textId="77777777" w:rsidR="00347D93" w:rsidRPr="00745ED6" w:rsidRDefault="006C5BD3" w:rsidP="007A56A5">
      <w:pPr>
        <w:pStyle w:val="Normal0"/>
        <w:spacing w:after="120"/>
        <w:contextualSpacing/>
        <w:jc w:val="both"/>
        <w:rPr>
          <w:i/>
          <w:iCs/>
          <w:sz w:val="22"/>
          <w:szCs w:val="22"/>
          <w:lang w:val="eu-ES" w:bidi="ar-SA"/>
        </w:rPr>
      </w:pPr>
      <w:r w:rsidRPr="00745ED6">
        <w:rPr>
          <w:i/>
          <w:iCs/>
          <w:sz w:val="22"/>
          <w:szCs w:val="22"/>
          <w:lang w:val="eu-ES" w:bidi="ar-SA"/>
        </w:rPr>
        <w:t>d) Herritarren artean eta Arabako Lurralde Historikoko sektore publikoan gai publikoetan erantzunkidetasunez parte hartzeko kultura eta ohiturak sortzen laguntzea, kontsulten bidez edo bestelako mekanismo batzuen bidez; dinamika horiek baliatzeko zailtasun handienak dituzten  sektoreen ahalduntzea sustatuko da.</w:t>
      </w:r>
    </w:p>
    <w:p w14:paraId="5EAFDBBE" w14:textId="77777777" w:rsidR="00347D93" w:rsidRPr="00745ED6" w:rsidRDefault="006C5BD3" w:rsidP="007A56A5">
      <w:pPr>
        <w:pStyle w:val="Normal0"/>
        <w:spacing w:after="120"/>
        <w:contextualSpacing/>
        <w:jc w:val="both"/>
        <w:rPr>
          <w:sz w:val="22"/>
          <w:szCs w:val="22"/>
          <w:lang w:val="eu-ES" w:bidi="ar-SA"/>
        </w:rPr>
      </w:pPr>
      <w:r w:rsidRPr="00745ED6">
        <w:rPr>
          <w:i/>
          <w:iCs/>
          <w:sz w:val="22"/>
          <w:szCs w:val="22"/>
          <w:lang w:val="eu-ES" w:bidi="ar-SA"/>
        </w:rPr>
        <w:t>e) Politika publikoen ebaluazioa sustatzea, ebaluatzeko betebeharrari eta ebaluazio horren emaitzak aditzera emateko betebeharrari dagokionez</w:t>
      </w:r>
      <w:r w:rsidRPr="00745ED6">
        <w:rPr>
          <w:sz w:val="22"/>
          <w:szCs w:val="22"/>
          <w:lang w:val="eu-ES" w:bidi="ar-SA"/>
        </w:rPr>
        <w:t>”</w:t>
      </w:r>
    </w:p>
    <w:p w14:paraId="1B8DF63F" w14:textId="77777777" w:rsidR="00347D93" w:rsidRPr="00745ED6" w:rsidRDefault="006C5BD3" w:rsidP="007A56A5">
      <w:pPr>
        <w:pStyle w:val="Normal0"/>
        <w:spacing w:after="120"/>
        <w:jc w:val="both"/>
        <w:rPr>
          <w:rFonts w:ascii="TimesNewRomanPS-BoldMT" w:eastAsia="Calibri" w:hAnsi="TimesNewRomanPS-BoldMT" w:cs="TimesNewRomanPS-BoldMT"/>
          <w:sz w:val="22"/>
          <w:szCs w:val="22"/>
          <w:lang w:val="eu-ES" w:eastAsia="en-US" w:bidi="ar-SA"/>
        </w:rPr>
      </w:pPr>
      <w:r w:rsidRPr="00745ED6">
        <w:rPr>
          <w:sz w:val="22"/>
          <w:szCs w:val="22"/>
          <w:lang w:val="eu-ES" w:bidi="ar-SA"/>
        </w:rPr>
        <w:br/>
      </w:r>
      <w:r w:rsidRPr="00745ED6">
        <w:rPr>
          <w:rFonts w:ascii="TimesNewRomanPS-BoldMT" w:eastAsia="Calibri" w:hAnsi="TimesNewRomanPS-BoldMT" w:cs="TimesNewRomanPS-BoldMT"/>
          <w:sz w:val="22"/>
          <w:szCs w:val="22"/>
          <w:lang w:val="eu-ES" w:eastAsia="en-US" w:bidi="ar-SA"/>
        </w:rPr>
        <w:t>Horiek horrela, bidezkoa da irizpen haztatua ematea eskaeraren helburuaren eta gardentasun araudiaren helburuaren balizko abusuzko izaeraren artean.</w:t>
      </w:r>
    </w:p>
    <w:p w14:paraId="302C89C8" w14:textId="77777777"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Bere idazkian, eskatzaileak bi eskaera bereizi egiten ditu, horietako bat ere arrazoitu gabe.</w:t>
      </w:r>
    </w:p>
    <w:p w14:paraId="37AE8EA8" w14:textId="77777777"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 xml:space="preserve">Lehenengoari buruz, </w:t>
      </w:r>
      <w:r w:rsidRPr="00745ED6">
        <w:rPr>
          <w:rFonts w:ascii="TimesNewRomanPS-BoldMT" w:eastAsia="Calibri" w:hAnsi="TimesNewRomanPS-BoldMT" w:cs="TimesNewRomanPS-BoldMT"/>
          <w:i/>
          <w:iCs/>
          <w:sz w:val="22"/>
          <w:szCs w:val="22"/>
          <w:lang w:val="eu-ES" w:eastAsia="en-US" w:bidi="ar-SA"/>
        </w:rPr>
        <w:t>“1.- Iruña-Veleiako pieza eta material arkeologikoen deskribapena: Iruña-Veleiako aztarnategian Arabako Foru Aldundiaren zaintzapean dauden pieza eta elementu arkeologikoen zerrenda zehatza, horien deskribapenarekin batera. Bertan, aurkikuntzaren data, kontserbazio-egoera, inbentario-zenbakia eta bestelako informazio esanguratsua jaso behar da</w:t>
      </w:r>
      <w:r w:rsidRPr="00745ED6">
        <w:rPr>
          <w:rFonts w:ascii="TimesNewRomanPS-BoldMT" w:eastAsia="Calibri" w:hAnsi="TimesNewRomanPS-BoldMT" w:cs="TimesNewRomanPS-BoldMT"/>
          <w:sz w:val="22"/>
          <w:szCs w:val="22"/>
          <w:lang w:val="eu-ES" w:eastAsia="en-US" w:bidi="ar-SA"/>
        </w:rPr>
        <w:t>" adierazi behar da gaur egun, Arabako Arkeologia Museoan, Iruña-Veleia aztarnategian egindako esku-hartzeetatik eratorritako milaka erregistro arkeologiko daudela. Beraz, eskatutako informazioa prestatzeko, museoko teknikariek aldez aurretik egin beharreko lanak Arabako ondare arkeologikoa kudeatzeko funtsezko funtzioak ez betetzea ekarriko luke. Gainera, eskatutako datu kopuru ikaragarriak ez dirudi inolako loturarik duenik aplikatu beharreko araudiaren helburuarekin, kontrol publikoari eta kontuak emateari buruzkoarekin, baizik eta eskatzailearen helburu pribatu baten ondorio dela dirudi.</w:t>
      </w:r>
    </w:p>
    <w:p w14:paraId="3EA38412" w14:textId="77777777"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Aipatzekoa da Gardentasunaren eta Gobernu Onaren Kontseiluaren uztailaren 14ko CI/003/2016 interpretazio-irizpidean azaldutakoa. Irizpide horrek 2.2 atalean definitzen ditu eskaerak abusuzko izaera duela ondorioztatzeko baldintzak, eta honako hau adierazten du:</w:t>
      </w:r>
    </w:p>
    <w:p w14:paraId="220E737E" w14:textId="77777777"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sz w:val="22"/>
          <w:szCs w:val="22"/>
          <w:lang w:val="eu-ES" w:eastAsia="en-US" w:bidi="ar-SA"/>
        </w:rPr>
        <w:lastRenderedPageBreak/>
        <w:t>"1</w:t>
      </w:r>
      <w:r w:rsidRPr="00745ED6">
        <w:rPr>
          <w:rFonts w:ascii="TimesNewRomanPS-BoldMT" w:eastAsia="Calibri" w:hAnsi="TimesNewRomanPS-BoldMT" w:cs="TimesNewRomanPS-BoldMT"/>
          <w:i/>
          <w:iCs/>
          <w:sz w:val="22"/>
          <w:szCs w:val="22"/>
          <w:lang w:val="eu-ES" w:eastAsia="en-US" w:bidi="ar-SA"/>
        </w:rPr>
        <w:t xml:space="preserve">. Hala, eskaera bat </w:t>
      </w:r>
      <w:r w:rsidRPr="008C2536">
        <w:rPr>
          <w:rFonts w:ascii="TimesNewRomanPS-BoldMT" w:eastAsia="Calibri" w:hAnsi="TimesNewRomanPS-BoldMT" w:cs="TimesNewRomanPS-BoldMT"/>
          <w:b/>
          <w:bCs/>
          <w:i/>
          <w:iCs/>
          <w:sz w:val="22"/>
          <w:szCs w:val="22"/>
          <w:u w:val="single"/>
          <w:lang w:val="eu-ES" w:eastAsia="en-US" w:bidi="ar-SA"/>
        </w:rPr>
        <w:t>abusuzkotzat</w:t>
      </w:r>
      <w:r w:rsidRPr="00745ED6">
        <w:rPr>
          <w:rFonts w:ascii="TimesNewRomanPS-BoldMT" w:eastAsia="Calibri" w:hAnsi="TimesNewRomanPS-BoldMT" w:cs="TimesNewRomanPS-BoldMT"/>
          <w:i/>
          <w:iCs/>
          <w:sz w:val="22"/>
          <w:szCs w:val="22"/>
          <w:lang w:val="eu-ES" w:eastAsia="en-US" w:bidi="ar-SA"/>
        </w:rPr>
        <w:t xml:space="preserve"> jo daiteke jarraian aipatzen diren kasuetako batean edo elementuren batean dagoenean:</w:t>
      </w:r>
    </w:p>
    <w:p w14:paraId="1F717128"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Oro har, Kode Zibilaren 7.2 artikuluan jasotako eta jurisprudentziak bermatutako eskubide-abusuaren kontzeptuaren barnean</w:t>
      </w:r>
      <w:r w:rsidRPr="00745ED6">
        <w:rPr>
          <w:rFonts w:ascii="TimesNewRomanPS-BoldMT" w:eastAsia="Calibri" w:hAnsi="TimesNewRomanPS-BoldMT" w:cs="TimesNewRomanPS-BoldMT"/>
          <w:i/>
          <w:iCs/>
          <w:color w:val="FF0000"/>
          <w:sz w:val="22"/>
          <w:szCs w:val="22"/>
          <w:lang w:val="eu-ES" w:eastAsia="en-US" w:bidi="ar-SA"/>
        </w:rPr>
        <w:t xml:space="preserve"> </w:t>
      </w:r>
      <w:r w:rsidRPr="00745ED6">
        <w:rPr>
          <w:rFonts w:ascii="TimesNewRomanPS-BoldMT" w:eastAsia="Calibri" w:hAnsi="TimesNewRomanPS-BoldMT" w:cs="TimesNewRomanPS-BoldMT"/>
          <w:i/>
          <w:iCs/>
          <w:sz w:val="22"/>
          <w:szCs w:val="22"/>
          <w:lang w:val="eu-ES" w:eastAsia="en-US" w:bidi="ar-SA"/>
        </w:rPr>
        <w:t>daudela jotzen den kasuetan, hau da: "egitezko omisio orok, egilearen asmoagatik, xedeagatik edo hura gauzatzeko inguruabarrengatik, nabarmen gainditzen baditu eskubide baten egikaritzaren muga normalak".</w:t>
      </w:r>
    </w:p>
    <w:p w14:paraId="5E0ED0D7"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b/>
          <w:bCs/>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xml:space="preserve">- </w:t>
      </w:r>
      <w:r w:rsidRPr="00230E8C">
        <w:rPr>
          <w:rFonts w:ascii="TimesNewRomanPS-BoldMT" w:eastAsia="Calibri" w:hAnsi="TimesNewRomanPS-BoldMT" w:cs="TimesNewRomanPS-BoldMT"/>
          <w:i/>
          <w:iCs/>
          <w:sz w:val="22"/>
          <w:szCs w:val="22"/>
          <w:lang w:val="eu-ES" w:eastAsia="en-US" w:bidi="ar-SA"/>
        </w:rPr>
        <w:t>Artatua izanez gero, informazioa ematera behartuta dauden subjektuen gainerako kudeaketa geldiaraztera behartzen duen tratamendua behar duenean, beren lanaren eta agindutako zerbitzu publikoaren bidezko arreta ekitatiboa eragotziz, eta adierazle objektiboetan oinarritutako haztapen arrazoitu baten arabera hala ondorioztatzen denean.</w:t>
      </w:r>
    </w:p>
    <w:p w14:paraId="796EA29E"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Hirugarrenen eskubideak arriskuan jartzen dituenean.</w:t>
      </w:r>
    </w:p>
    <w:p w14:paraId="2461716D" w14:textId="77777777" w:rsidR="00347D93" w:rsidRPr="00230E8C"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xml:space="preserve">- Arauen, ohituren edo fede onaren aurkakoa </w:t>
      </w:r>
      <w:r w:rsidRPr="00230E8C">
        <w:rPr>
          <w:rFonts w:ascii="TimesNewRomanPS-BoldMT" w:eastAsia="Calibri" w:hAnsi="TimesNewRomanPS-BoldMT" w:cs="TimesNewRomanPS-BoldMT"/>
          <w:sz w:val="22"/>
          <w:szCs w:val="22"/>
          <w:lang w:val="eu-ES" w:eastAsia="en-US" w:bidi="ar-SA"/>
        </w:rPr>
        <w:t>denean.</w:t>
      </w:r>
    </w:p>
    <w:p w14:paraId="494916F9" w14:textId="77777777" w:rsidR="00347D93" w:rsidRPr="00230E8C"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230E8C">
        <w:rPr>
          <w:rFonts w:ascii="TimesNewRomanPS-BoldMT" w:eastAsia="Calibri" w:hAnsi="TimesNewRomanPS-BoldMT" w:cs="TimesNewRomanPS-BoldMT"/>
          <w:sz w:val="22"/>
          <w:szCs w:val="22"/>
          <w:lang w:val="eu-ES" w:eastAsia="en-US" w:bidi="ar-SA"/>
        </w:rPr>
        <w:t>2. Eskaera legearen helburuarekin justifikatuta</w:t>
      </w:r>
      <w:r w:rsidRPr="00230E8C">
        <w:rPr>
          <w:rFonts w:ascii="TimesNewRomanPS-BoldMT" w:eastAsia="Calibri" w:hAnsi="TimesNewRomanPS-BoldMT" w:cs="TimesNewRomanPS-BoldMT"/>
          <w:b/>
          <w:bCs/>
          <w:sz w:val="22"/>
          <w:szCs w:val="22"/>
          <w:u w:val="single"/>
          <w:lang w:val="eu-ES" w:eastAsia="en-US" w:bidi="ar-SA"/>
        </w:rPr>
        <w:t xml:space="preserve"> </w:t>
      </w:r>
      <w:r w:rsidRPr="00230E8C">
        <w:rPr>
          <w:rFonts w:ascii="TimesNewRomanPS-BoldMT" w:eastAsia="Calibri" w:hAnsi="TimesNewRomanPS-BoldMT" w:cs="TimesNewRomanPS-BoldMT"/>
          <w:sz w:val="22"/>
          <w:szCs w:val="22"/>
          <w:lang w:val="eu-ES" w:eastAsia="en-US" w:bidi="ar-SA"/>
        </w:rPr>
        <w:t>dagoela ulertuko da, interes legitimo hauetan oinarritzen denean:</w:t>
      </w:r>
    </w:p>
    <w:p w14:paraId="14032706"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Arduradun publikoen jarduna aztertzea.</w:t>
      </w:r>
    </w:p>
    <w:p w14:paraId="57FCDF7B"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Erabaki publikoak nola hartzen diren jakitea</w:t>
      </w:r>
    </w:p>
    <w:p w14:paraId="1B164468"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Funts publikoak nola erabiltzen diren jakitea</w:t>
      </w:r>
    </w:p>
    <w:p w14:paraId="404B11A3" w14:textId="77777777" w:rsidR="00347D93" w:rsidRPr="00745ED6" w:rsidRDefault="006C5BD3" w:rsidP="00C53A3F">
      <w:pPr>
        <w:pStyle w:val="Normal0"/>
        <w:autoSpaceDE w:val="0"/>
        <w:autoSpaceDN w:val="0"/>
        <w:adjustRightInd w:val="0"/>
        <w:spacing w:after="120"/>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Erakunde publikoek zer irizpideren arabera jarduten duten jakitea.</w:t>
      </w:r>
    </w:p>
    <w:p w14:paraId="1AF07B79" w14:textId="77777777" w:rsidR="00347D93" w:rsidRPr="00230E8C" w:rsidRDefault="006C5BD3" w:rsidP="007A56A5">
      <w:pPr>
        <w:pStyle w:val="Normal0"/>
        <w:autoSpaceDE w:val="0"/>
        <w:autoSpaceDN w:val="0"/>
        <w:adjustRightInd w:val="0"/>
        <w:spacing w:before="120" w:after="120"/>
        <w:contextualSpacing/>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xml:space="preserve">Ondorioz, </w:t>
      </w:r>
      <w:r w:rsidRPr="00230E8C">
        <w:rPr>
          <w:rFonts w:ascii="TimesNewRomanPS-BoldMT" w:eastAsia="Calibri" w:hAnsi="TimesNewRomanPS-BoldMT" w:cs="TimesNewRomanPS-BoldMT"/>
          <w:sz w:val="22"/>
          <w:szCs w:val="22"/>
          <w:lang w:val="eu-ES" w:eastAsia="en-US" w:bidi="ar-SA"/>
        </w:rPr>
        <w:t>ez da Legearen xedearekin justifikatuta egongo honako kasu hauetan:</w:t>
      </w:r>
    </w:p>
    <w:p w14:paraId="16BDA1F5" w14:textId="77777777" w:rsidR="00347D93" w:rsidRPr="00230E8C" w:rsidRDefault="006C5BD3" w:rsidP="00C53A3F">
      <w:pPr>
        <w:pStyle w:val="Normal0"/>
        <w:autoSpaceDE w:val="0"/>
        <w:autoSpaceDN w:val="0"/>
        <w:adjustRightInd w:val="0"/>
        <w:spacing w:after="120"/>
        <w:contextualSpacing/>
        <w:jc w:val="both"/>
        <w:rPr>
          <w:rFonts w:ascii="TimesNewRomanPS-BoldMT" w:eastAsia="Calibri" w:hAnsi="TimesNewRomanPS-BoldMT" w:cs="TimesNewRomanPS-BoldMT"/>
          <w:sz w:val="22"/>
          <w:szCs w:val="22"/>
          <w:lang w:val="eu-ES" w:eastAsia="en-US" w:bidi="ar-SA"/>
        </w:rPr>
      </w:pPr>
      <w:r w:rsidRPr="00230E8C">
        <w:rPr>
          <w:rFonts w:ascii="TimesNewRomanPS-BoldMT" w:eastAsia="Calibri" w:hAnsi="TimesNewRomanPS-BoldMT" w:cs="TimesNewRomanPS-BoldMT"/>
          <w:sz w:val="22"/>
          <w:szCs w:val="22"/>
          <w:lang w:val="eu-ES" w:eastAsia="en-US" w:bidi="ar-SA"/>
        </w:rPr>
        <w:t>- Aurretik adierazitako xedeetako batera ere bideratu ezin denean eta adierazle objektiboetan oinarritutako haztapen arrazoitu baten arabera hala ondorioztatzen denean.</w:t>
      </w:r>
    </w:p>
    <w:p w14:paraId="03FAF50C" w14:textId="77777777" w:rsidR="00347D93" w:rsidRPr="00745ED6" w:rsidRDefault="006C5BD3" w:rsidP="007A56A5">
      <w:pPr>
        <w:pStyle w:val="Normal0"/>
        <w:autoSpaceDE w:val="0"/>
        <w:autoSpaceDN w:val="0"/>
        <w:adjustRightInd w:val="0"/>
        <w:spacing w:after="120"/>
        <w:contextualSpacing/>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GIBGOLen 13. artikuluaren definizioaren arabera, informazio publikotzat hartzen ez den informazioa lortzea badu helburu argi eta garbia.</w:t>
      </w:r>
    </w:p>
    <w:p w14:paraId="4D9773F2" w14:textId="77777777" w:rsidR="00347D93" w:rsidRPr="00745ED6" w:rsidRDefault="006C5BD3" w:rsidP="00C53A3F">
      <w:pPr>
        <w:pStyle w:val="Normal0"/>
        <w:autoSpaceDE w:val="0"/>
        <w:autoSpaceDN w:val="0"/>
        <w:adjustRightInd w:val="0"/>
        <w:spacing w:after="120"/>
        <w:jc w:val="both"/>
        <w:rPr>
          <w:rFonts w:ascii="TimesNewRomanPS-BoldMT" w:eastAsia="Calibri" w:hAnsi="TimesNewRomanPS-BoldMT" w:cs="TimesNewRomanPS-BoldMT"/>
          <w:i/>
          <w:iCs/>
          <w:sz w:val="22"/>
          <w:szCs w:val="22"/>
          <w:lang w:val="eu-ES" w:eastAsia="en-US" w:bidi="ar-SA"/>
        </w:rPr>
      </w:pPr>
      <w:r w:rsidRPr="00745ED6">
        <w:rPr>
          <w:rFonts w:ascii="TimesNewRomanPS-BoldMT" w:eastAsia="Calibri" w:hAnsi="TimesNewRomanPS-BoldMT" w:cs="TimesNewRomanPS-BoldMT"/>
          <w:i/>
          <w:iCs/>
          <w:sz w:val="22"/>
          <w:szCs w:val="22"/>
          <w:lang w:val="eu-ES" w:eastAsia="en-US" w:bidi="ar-SA"/>
        </w:rPr>
        <w:t>- Legez kontrako zibil edo penal bat edo administrazio-falta bat egitea xede edo ondorio izan dezakeenean."</w:t>
      </w:r>
    </w:p>
    <w:p w14:paraId="4647F9A8" w14:textId="77777777"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Horrenbestez, eta horren guztiaren ondorioz,</w:t>
      </w:r>
      <w:r w:rsidRPr="00745ED6">
        <w:rPr>
          <w:rFonts w:ascii="TimesNewRomanPS-BoldMT" w:eastAsia="Calibri" w:hAnsi="TimesNewRomanPS-BoldMT" w:cs="TimesNewRomanPS-BoldMT"/>
          <w:i/>
          <w:iCs/>
          <w:sz w:val="22"/>
          <w:szCs w:val="22"/>
          <w:lang w:val="eu-ES" w:eastAsia="en-US" w:bidi="ar-SA"/>
        </w:rPr>
        <w:t>“1.- Iruña-Veleiako pieza eta material arkeologikoen deskribapena: Iruña-Veleiako aztarnategian Arabako Foru Aldundiaren zaintzapean dauden pieza eta elementu arkeologikoen zerrenda zehatza, horien deskribapenarekin batera. Bertan, aurkikuntzaren data, kontserbazio-egoera, inbentario-zenbakia eta bestelako informazio esanguratsua jaso behar da</w:t>
      </w:r>
      <w:r w:rsidRPr="00745ED6">
        <w:rPr>
          <w:rFonts w:ascii="TimesNewRomanPS-BoldMT" w:eastAsia="Calibri" w:hAnsi="TimesNewRomanPS-BoldMT" w:cs="TimesNewRomanPS-BoldMT"/>
          <w:sz w:val="22"/>
          <w:szCs w:val="22"/>
          <w:lang w:val="eu-ES" w:eastAsia="en-US" w:bidi="ar-SA"/>
        </w:rPr>
        <w:t>" informazio eskaera abusuzkotzat jotzen da, legearen xedearekin justifikatzen ez dena.</w:t>
      </w:r>
    </w:p>
    <w:p w14:paraId="52418DB4" w14:textId="77777777" w:rsidR="00347D93"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Hala, esan genezake eskatutako informazioa ez dela informazio publiko bat, ikerketa-lan baten xedea baizik. Horrekin lotuta, Euskal Kultura Ondareari buruzko maiatzaren 9ko 6/2019 Legeak, azaroaren 30eko 14/2023 Legeak aldatuak, honako hau arautzen du 32.2 artikuluan: “</w:t>
      </w:r>
      <w:r w:rsidRPr="00745ED6">
        <w:rPr>
          <w:rFonts w:ascii="TimesNewRomanPS-BoldMT" w:eastAsia="Calibri" w:hAnsi="TimesNewRomanPS-BoldMT" w:cs="TimesNewRomanPS-BoldMT"/>
          <w:i/>
          <w:iCs/>
          <w:sz w:val="22"/>
          <w:szCs w:val="22"/>
          <w:lang w:val="eu-ES" w:eastAsia="en-US" w:bidi="ar-SA"/>
        </w:rPr>
        <w:t>2. Era berean, kultura-ondasunen titularrek ikertzeko aukera eman behar diete, nahitaez, dagokion foru-aldundiaren berariazko baimena duten ikertzaileei. Baimena eman ahal izateko, aurrez eskari arrazoitua egin beharko da. Baina ukatu egin ahal izango da –edo baldintzak jarri–, baldin eta beharrezkoa bada kultura-ondasuna behar bezala babesteko edo horren ezaugarriek hala gomendatzen badute</w:t>
      </w:r>
      <w:r w:rsidRPr="00745ED6">
        <w:rPr>
          <w:rFonts w:ascii="TimesNewRomanPS-BoldMT" w:eastAsia="Calibri" w:hAnsi="TimesNewRomanPS-BoldMT" w:cs="TimesNewRomanPS-BoldMT"/>
          <w:sz w:val="22"/>
          <w:szCs w:val="22"/>
          <w:lang w:val="eu-ES" w:eastAsia="en-US" w:bidi="ar-SA"/>
        </w:rPr>
        <w:t>.” Araudi hau aplikatu behar da, GIBGOLen lehenengo xedapen gehigarriak (“</w:t>
      </w:r>
      <w:r w:rsidRPr="00745ED6">
        <w:rPr>
          <w:rFonts w:ascii="TimesNewRomanPS-BoldMT" w:eastAsia="Calibri" w:hAnsi="TimesNewRomanPS-BoldMT" w:cs="TimesNewRomanPS-BoldMT"/>
          <w:i/>
          <w:iCs/>
          <w:sz w:val="22"/>
          <w:szCs w:val="22"/>
          <w:lang w:val="eu-ES" w:eastAsia="en-US" w:bidi="ar-SA"/>
        </w:rPr>
        <w:t>Informazio publikoa eskuratzeko eskubidea: arauketa bereziak</w:t>
      </w:r>
      <w:r w:rsidRPr="00745ED6">
        <w:rPr>
          <w:rFonts w:ascii="TimesNewRomanPS-BoldMT" w:eastAsia="Calibri" w:hAnsi="TimesNewRomanPS-BoldMT" w:cs="TimesNewRomanPS-BoldMT"/>
          <w:sz w:val="22"/>
          <w:szCs w:val="22"/>
          <w:lang w:val="eu-ES" w:eastAsia="en-US" w:bidi="ar-SA"/>
        </w:rPr>
        <w:t>”). egiten duen igorpena dela eta: “</w:t>
      </w:r>
      <w:r w:rsidRPr="00745ED6">
        <w:rPr>
          <w:rFonts w:ascii="TimesNewRomanPS-BoldMT" w:eastAsia="Calibri" w:hAnsi="TimesNewRomanPS-BoldMT" w:cs="TimesNewRomanPS-BoldMT"/>
          <w:i/>
          <w:iCs/>
          <w:sz w:val="22"/>
          <w:szCs w:val="22"/>
          <w:lang w:val="eu-ES" w:eastAsia="en-US" w:bidi="ar-SA"/>
        </w:rPr>
        <w:t>2. Araudi espezifiko baten pean izango dira, lege honetan ezarritako araudia osagarri dutela, informazioa eskuratzeko araubide juridiko espezifikoa duten gaiak</w:t>
      </w:r>
      <w:r w:rsidRPr="00745ED6">
        <w:rPr>
          <w:rFonts w:ascii="TimesNewRomanPS-BoldMT" w:eastAsia="Calibri" w:hAnsi="TimesNewRomanPS-BoldMT" w:cs="TimesNewRomanPS-BoldMT"/>
          <w:sz w:val="22"/>
          <w:szCs w:val="22"/>
          <w:lang w:val="eu-ES" w:eastAsia="en-US" w:bidi="ar-SA"/>
        </w:rPr>
        <w:t>”.</w:t>
      </w:r>
    </w:p>
    <w:p w14:paraId="37E60CE8" w14:textId="77777777" w:rsidR="00347D93" w:rsidRPr="00745ED6" w:rsidRDefault="006C5BD3" w:rsidP="00337608">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337608">
        <w:rPr>
          <w:rFonts w:ascii="TimesNewRomanPS-BoldMT" w:eastAsia="Calibri" w:hAnsi="TimesNewRomanPS-BoldMT" w:cs="TimesNewRomanPS-BoldMT"/>
          <w:sz w:val="22"/>
          <w:szCs w:val="22"/>
          <w:lang w:val="eu-ES" w:eastAsia="en-US" w:bidi="ar-SA"/>
        </w:rPr>
        <w:t>Eskatzaileak planteatutako bigarren gaiari dagokionez, "2.</w:t>
      </w:r>
      <w:r>
        <w:rPr>
          <w:rFonts w:ascii="TimesNewRomanPS-BoldMT" w:eastAsia="Calibri" w:hAnsi="TimesNewRomanPS-BoldMT" w:cs="TimesNewRomanPS-BoldMT"/>
          <w:sz w:val="22"/>
          <w:szCs w:val="22"/>
          <w:lang w:val="eu-ES" w:eastAsia="en-US" w:bidi="ar-SA"/>
        </w:rPr>
        <w:t xml:space="preserve"> </w:t>
      </w:r>
      <w:r w:rsidRPr="00545AD3">
        <w:rPr>
          <w:rFonts w:ascii="TimesNewRomanPS-BoldMT" w:eastAsia="Calibri" w:hAnsi="TimesNewRomanPS-BoldMT" w:cs="TimesNewRomanPS-BoldMT"/>
          <w:i/>
          <w:iCs/>
          <w:sz w:val="22"/>
          <w:szCs w:val="22"/>
          <w:lang w:val="eu-ES" w:eastAsia="en-US" w:bidi="ar-SA"/>
        </w:rPr>
        <w:t>Kontserbazio eta azalpen baldintzak: Material horiek zaintzen neurri eta baldintzei buruzko informazioa, baita beraien egungo kontserbazio egoerari buruzkoa ere</w:t>
      </w:r>
      <w:r w:rsidRPr="00337608">
        <w:rPr>
          <w:rFonts w:ascii="TimesNewRomanPS-BoldMT" w:eastAsia="Calibri" w:hAnsi="TimesNewRomanPS-BoldMT" w:cs="TimesNewRomanPS-BoldMT"/>
          <w:sz w:val="22"/>
          <w:szCs w:val="22"/>
          <w:lang w:val="eu-ES" w:eastAsia="en-US" w:bidi="ar-SA"/>
        </w:rPr>
        <w:t>", ez dago informazio publikoa eskuratzeko eskubidearen mugetako bat ere, ezta gardentasun-araudian ez onartzeko aurreikusitako kausarik ere, eta, beraz, bidezkoa da eskaera baiestea.</w:t>
      </w:r>
    </w:p>
    <w:p w14:paraId="0F89E3F2" w14:textId="77777777" w:rsidR="00347D93" w:rsidRPr="00745ED6" w:rsidRDefault="006C5BD3" w:rsidP="00B31C51">
      <w:pPr>
        <w:pStyle w:val="Normal0"/>
        <w:autoSpaceDE w:val="0"/>
        <w:autoSpaceDN w:val="0"/>
        <w:adjustRightInd w:val="0"/>
        <w:spacing w:after="48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Horregatik, apirilaren 16ko 72/2020 Foru Aginduaren bidez (uztailaren 8ko 203/2021 Foru Aginduak aldatu zuen) emaniko eskuordetzaren ondorioz dagozkidan ahalmenak erabiliz; izan ere, Kultura Zuzendaritzako titularrari eskuordetzen zaio informazio publikorako sarbideko eskaerak ebazteko eskumena,</w:t>
      </w:r>
    </w:p>
    <w:p w14:paraId="37FA6F37" w14:textId="77777777" w:rsidR="00347D93" w:rsidRPr="00745ED6" w:rsidRDefault="006C5BD3" w:rsidP="009277FF">
      <w:pPr>
        <w:pStyle w:val="Normal0"/>
        <w:autoSpaceDE w:val="0"/>
        <w:autoSpaceDN w:val="0"/>
        <w:adjustRightInd w:val="0"/>
        <w:spacing w:before="240" w:after="480"/>
        <w:jc w:val="center"/>
        <w:rPr>
          <w:rFonts w:ascii="TimesNewRomanPS-BoldMT" w:eastAsia="Calibri" w:hAnsi="TimesNewRomanPS-BoldMT" w:cs="TimesNewRomanPS-BoldMT"/>
          <w:b/>
          <w:bCs/>
          <w:sz w:val="22"/>
          <w:szCs w:val="22"/>
          <w:lang w:val="eu-ES" w:eastAsia="en-US" w:bidi="ar-SA"/>
        </w:rPr>
      </w:pPr>
      <w:r w:rsidRPr="00745ED6">
        <w:rPr>
          <w:rFonts w:ascii="TimesNewRomanPS-BoldMT" w:eastAsia="Calibri" w:hAnsi="TimesNewRomanPS-BoldMT" w:cs="TimesNewRomanPS-BoldMT"/>
          <w:b/>
          <w:bCs/>
          <w:sz w:val="22"/>
          <w:szCs w:val="22"/>
          <w:lang w:val="eu-ES" w:eastAsia="en-US" w:bidi="ar-SA"/>
        </w:rPr>
        <w:t>EBAZTEN DUT</w:t>
      </w:r>
    </w:p>
    <w:p w14:paraId="1D896294" w14:textId="4B1ADA5E" w:rsidR="00347D93" w:rsidRPr="00745ED6" w:rsidRDefault="006C5BD3" w:rsidP="007A56A5">
      <w:pPr>
        <w:pStyle w:val="Normal0"/>
        <w:autoSpaceDE w:val="0"/>
        <w:autoSpaceDN w:val="0"/>
        <w:adjustRightInd w:val="0"/>
        <w:spacing w:after="120"/>
        <w:jc w:val="both"/>
        <w:rPr>
          <w:rFonts w:ascii="TimesNewRomanPS-BoldMT" w:eastAsia="Calibri" w:hAnsi="TimesNewRomanPS-BoldMT" w:cs="TimesNewRomanPS-BoldMT"/>
          <w:sz w:val="22"/>
          <w:szCs w:val="22"/>
          <w:lang w:val="eu-ES" w:eastAsia="en-US" w:bidi="ar-SA"/>
        </w:rPr>
      </w:pPr>
      <w:r w:rsidRPr="00745ED6">
        <w:rPr>
          <w:rFonts w:ascii="TimesNewRomanPS-BoldMT" w:eastAsia="Calibri" w:hAnsi="TimesNewRomanPS-BoldMT" w:cs="TimesNewRomanPS-BoldMT"/>
          <w:sz w:val="22"/>
          <w:szCs w:val="22"/>
          <w:lang w:val="eu-ES" w:eastAsia="en-US" w:bidi="ar-SA"/>
        </w:rPr>
        <w:t>Lehenengoa</w:t>
      </w:r>
      <w:r>
        <w:rPr>
          <w:rFonts w:ascii="TimesNewRomanPS-BoldMT" w:eastAsia="Calibri" w:hAnsi="TimesNewRomanPS-BoldMT" w:cs="TimesNewRomanPS-BoldMT"/>
          <w:sz w:val="22"/>
          <w:szCs w:val="22"/>
          <w:lang w:val="eu-ES" w:eastAsia="en-US" w:bidi="ar-SA"/>
        </w:rPr>
        <w:t>.</w:t>
      </w:r>
      <w:r w:rsidRPr="00745ED6">
        <w:rPr>
          <w:rFonts w:ascii="TimesNewRomanPS-BoldMT" w:eastAsia="Calibri" w:hAnsi="TimesNewRomanPS-BoldMT" w:cs="TimesNewRomanPS-BoldMT"/>
          <w:sz w:val="22"/>
          <w:szCs w:val="22"/>
          <w:lang w:val="eu-ES" w:eastAsia="en-US" w:bidi="ar-SA"/>
        </w:rPr>
        <w:t xml:space="preserve">- Partzialki baiestea </w:t>
      </w:r>
      <w:proofErr w:type="spellStart"/>
      <w:r w:rsidR="008E74FD" w:rsidRPr="008E74FD">
        <w:rPr>
          <w:rFonts w:ascii="TimesNewRomanPS-BoldMT" w:eastAsia="Calibri" w:hAnsi="TimesNewRomanPS-BoldMT" w:cs="TimesNewRomanPS-BoldMT"/>
          <w:sz w:val="22"/>
          <w:szCs w:val="22"/>
          <w:highlight w:val="black"/>
          <w:lang w:val="eu-ES" w:eastAsia="en-US" w:bidi="ar-SA"/>
        </w:rPr>
        <w:t>XXXXX</w:t>
      </w:r>
      <w:r w:rsidRPr="00745ED6">
        <w:rPr>
          <w:rFonts w:ascii="TimesNewRomanPS-BoldMT" w:eastAsia="Calibri" w:hAnsi="TimesNewRomanPS-BoldMT" w:cs="TimesNewRomanPS-BoldMT"/>
          <w:sz w:val="22"/>
          <w:szCs w:val="22"/>
          <w:lang w:val="eu-ES" w:eastAsia="en-US" w:bidi="ar-SA"/>
        </w:rPr>
        <w:t>k</w:t>
      </w:r>
      <w:proofErr w:type="spellEnd"/>
      <w:r w:rsidRPr="00745ED6">
        <w:rPr>
          <w:rFonts w:ascii="TimesNewRomanPS-BoldMT" w:eastAsia="Calibri" w:hAnsi="TimesNewRomanPS-BoldMT" w:cs="TimesNewRomanPS-BoldMT"/>
          <w:sz w:val="22"/>
          <w:szCs w:val="22"/>
          <w:lang w:val="eu-ES" w:eastAsia="en-US" w:bidi="ar-SA"/>
        </w:rPr>
        <w:t>, irailaren 24an informazio publikoa eskuratzeko aurkeztutako eskaera, eta honako informazio hau ematea:</w:t>
      </w:r>
    </w:p>
    <w:p w14:paraId="3A979A30" w14:textId="77777777" w:rsidR="00347D93" w:rsidRPr="00745ED6" w:rsidRDefault="006C5BD3" w:rsidP="007A56A5">
      <w:pPr>
        <w:pStyle w:val="Prrafodelista"/>
        <w:numPr>
          <w:ilvl w:val="0"/>
          <w:numId w:val="5"/>
        </w:numPr>
        <w:tabs>
          <w:tab w:val="left" w:pos="993"/>
        </w:tabs>
        <w:spacing w:after="120"/>
        <w:jc w:val="both"/>
        <w:rPr>
          <w:rFonts w:cs="Arial"/>
          <w:sz w:val="22"/>
          <w:lang w:val="eu-ES"/>
        </w:rPr>
      </w:pPr>
      <w:r w:rsidRPr="00745ED6">
        <w:rPr>
          <w:rFonts w:ascii="TimesNewRomanPS-BoldMT" w:eastAsia="Calibri" w:hAnsi="TimesNewRomanPS-BoldMT" w:cs="TimesNewRomanPS-BoldMT"/>
          <w:sz w:val="22"/>
          <w:szCs w:val="22"/>
          <w:lang w:val="eu-ES" w:bidi="ar-SA"/>
        </w:rPr>
        <w:lastRenderedPageBreak/>
        <w:t xml:space="preserve">Iruña-Veleia aztarnategian 2010etik berreskuratutako materialei buruzko informazio guztia eskura daiteke, Iruña-Veleiako 2010-2020 Plan Zuzentzailearen testuinguruan, esteka honetan: </w:t>
      </w:r>
      <w:hyperlink r:id="rId8" w:anchor="basesdedatos" w:history="1">
        <w:r w:rsidRPr="00745ED6">
          <w:rPr>
            <w:rStyle w:val="Hyperlink0"/>
            <w:sz w:val="22"/>
            <w:lang w:val="eu-ES"/>
          </w:rPr>
          <w:t>https://web.araba.eus/es/patrimonio-arqueologico/memoria-iruna-veleia#basesdedatos</w:t>
        </w:r>
      </w:hyperlink>
    </w:p>
    <w:p w14:paraId="6502F5C8" w14:textId="77777777" w:rsidR="00347D93" w:rsidRPr="00745ED6" w:rsidRDefault="006C5BD3" w:rsidP="007A56A5">
      <w:pPr>
        <w:pStyle w:val="Prrafodelista"/>
        <w:numPr>
          <w:ilvl w:val="0"/>
          <w:numId w:val="6"/>
        </w:numPr>
        <w:autoSpaceDE w:val="0"/>
        <w:autoSpaceDN w:val="0"/>
        <w:adjustRightInd w:val="0"/>
        <w:spacing w:after="120"/>
        <w:jc w:val="both"/>
        <w:rPr>
          <w:rFonts w:ascii="TimesNewRomanPS-BoldMT" w:eastAsia="Calibri" w:hAnsi="TimesNewRomanPS-BoldMT" w:cs="TimesNewRomanPS-BoldMT"/>
          <w:sz w:val="22"/>
          <w:szCs w:val="22"/>
          <w:lang w:val="eu-ES" w:bidi="ar-SA"/>
        </w:rPr>
      </w:pPr>
      <w:r w:rsidRPr="00745ED6">
        <w:rPr>
          <w:rFonts w:ascii="TimesNewRomanPS-BoldMT" w:eastAsia="Calibri" w:hAnsi="TimesNewRomanPS-BoldMT" w:cs="TimesNewRomanPS-BoldMT"/>
          <w:sz w:val="22"/>
          <w:szCs w:val="22"/>
          <w:lang w:val="eu-ES" w:bidi="ar-SA"/>
        </w:rPr>
        <w:t>Ikerketa-proiektua bada, material arkeologikoak eta horien inbentarioak kontsulta daitezke, Arabako Arkeologia Museoaren barne-protokoloak betez. Gainera, gaur egun Iruña-Veleiako ehun pieza inguru daude erakusketa iraunkorrean, baina horien kopurua aldatu egin daiteke diskurtso museografikoaren, azterketa puntualen edo objektuen kontserbazio-beharren arabera. Bibat Museoko bigarren eta hirugarren solairuetan ikus daitezke pieza horiek guztiak.</w:t>
      </w:r>
    </w:p>
    <w:p w14:paraId="3D9BEB66" w14:textId="77777777" w:rsidR="00347D93" w:rsidRPr="00745ED6" w:rsidRDefault="006C5BD3" w:rsidP="007A56A5">
      <w:pPr>
        <w:pStyle w:val="Prrafodelista"/>
        <w:numPr>
          <w:ilvl w:val="0"/>
          <w:numId w:val="6"/>
        </w:numPr>
        <w:autoSpaceDE w:val="0"/>
        <w:autoSpaceDN w:val="0"/>
        <w:adjustRightInd w:val="0"/>
        <w:spacing w:after="120"/>
        <w:jc w:val="both"/>
        <w:rPr>
          <w:rFonts w:ascii="TimesNewRomanPS-BoldMT" w:eastAsia="Calibri" w:hAnsi="TimesNewRomanPS-BoldMT" w:cs="TimesNewRomanPS-BoldMT"/>
          <w:sz w:val="22"/>
          <w:szCs w:val="22"/>
          <w:lang w:val="eu-ES" w:bidi="ar-SA"/>
        </w:rPr>
      </w:pPr>
      <w:r w:rsidRPr="00745ED6">
        <w:rPr>
          <w:rFonts w:ascii="TimesNewRomanPS-BoldMT" w:eastAsia="Calibri" w:hAnsi="TimesNewRomanPS-BoldMT" w:cs="TimesNewRomanPS-BoldMT"/>
          <w:sz w:val="22"/>
          <w:szCs w:val="22"/>
          <w:lang w:val="eu-ES" w:bidi="ar-SA"/>
        </w:rPr>
        <w:t>Iruña-Veleiako aztarnategiko material arkeologikoak Bibat Arabako Arkeologia Museoan horretarako dauden gordailuetan daude biltegiratuta. Museo hori Eusko Jaurlaritzak izendatu zuen Arabako Lurralde Historikoan aurkitutako material arkeologikoen biltegi ofizial gisa. Probintziako gainerako material arkeologikoak bezala, Iruña-Veleiako materialak plastikozko edo kartoizko kaxetan gordetzen dira, piezak plastikozko poltsetan babestuta eta etiketatuta eta/edo siglatuta. Ingurumen-baldintzek prebentziozko kontserbaziorako gomendatutako parametroei jarraitzen diete, 18 eta 22º C arteko tenperaturarekin eta hezetasun erlatibo aldakorrarekin, material motaren arabera, % 50eko batez bestekoarekin. Nolanahi ere, piezak kontserbatzeko baldintzak ingurumen-baldintzen eta objektuaren historiaren araberakoak dira (piezak erauzteko uneko egoera, jasandako tratamenduak eta zaharberritzeak, etab.).</w:t>
      </w:r>
    </w:p>
    <w:p w14:paraId="21A2778E" w14:textId="77777777" w:rsidR="00347D93" w:rsidRDefault="006C5BD3" w:rsidP="007A56A5">
      <w:pPr>
        <w:pStyle w:val="Normal0"/>
        <w:autoSpaceDE w:val="0"/>
        <w:autoSpaceDN w:val="0"/>
        <w:adjustRightInd w:val="0"/>
        <w:spacing w:after="120"/>
        <w:jc w:val="both"/>
        <w:rPr>
          <w:sz w:val="22"/>
          <w:szCs w:val="22"/>
          <w:lang w:val="eu-ES"/>
        </w:rPr>
      </w:pPr>
      <w:r>
        <w:rPr>
          <w:rFonts w:ascii="TimesNewRomanPS-BoldMT" w:eastAsia="Calibri" w:hAnsi="TimesNewRomanPS-BoldMT" w:cs="TimesNewRomanPS-BoldMT"/>
          <w:sz w:val="22"/>
          <w:szCs w:val="22"/>
          <w:lang w:val="es-ES" w:eastAsia="en-US" w:bidi="ar-SA"/>
        </w:rPr>
        <w:t>Bigarrena.-</w:t>
      </w:r>
      <w:r>
        <w:rPr>
          <w:sz w:val="22"/>
          <w:szCs w:val="22"/>
          <w:lang w:val="eu-ES"/>
        </w:rPr>
        <w:t xml:space="preserve"> </w:t>
      </w:r>
      <w:r w:rsidRPr="00B01A63">
        <w:rPr>
          <w:sz w:val="22"/>
          <w:szCs w:val="22"/>
          <w:lang w:val="eu-ES"/>
        </w:rPr>
        <w:t>Ebazpen honek administrazio bidea amaitzen du. Haren aurka administrazioarekiko auzi errekurtsoa aurkeztu ahal izango da bi hilabeteko epean, edo aldez aurretik eta nahi izanez gero, erreklamazioa Gardentasunaren eta Gobernamendu Onaren Foru Kontseiluari, hilabeteko epean; kasu batean nahiz bestean, ebazpen hau jakinarazten denetik aurrera hasiko da kontatzen epea.</w:t>
      </w:r>
    </w:p>
    <w:p w14:paraId="70D151B5" w14:textId="77777777" w:rsidR="00347D93" w:rsidRPr="0024407B" w:rsidRDefault="006C5BD3" w:rsidP="00DE3F4D">
      <w:pPr>
        <w:pStyle w:val="Normal0"/>
        <w:spacing w:before="240"/>
        <w:jc w:val="both"/>
        <w:rPr>
          <w:rFonts w:cs="Times New Roman"/>
          <w:sz w:val="22"/>
          <w:szCs w:val="22"/>
        </w:rPr>
      </w:pPr>
      <w:r w:rsidRPr="0024407B">
        <w:rPr>
          <w:rFonts w:cs="Times New Roman"/>
          <w:sz w:val="22"/>
          <w:szCs w:val="22"/>
        </w:rPr>
        <w:t>Vitoria-Gasteiz.</w:t>
      </w:r>
    </w:p>
    <w:p w14:paraId="293885C4" w14:textId="77777777" w:rsidR="00347D93" w:rsidRPr="008543B5" w:rsidRDefault="006C5BD3" w:rsidP="00B677B2">
      <w:pPr>
        <w:pStyle w:val="Normal0"/>
        <w:spacing w:before="1560" w:after="60" w:line="240" w:lineRule="exact"/>
        <w:rPr>
          <w:b/>
          <w:sz w:val="22"/>
          <w:szCs w:val="22"/>
          <w:lang w:val="es-ES"/>
        </w:rPr>
      </w:pPr>
      <w:r>
        <w:rPr>
          <w:b/>
          <w:sz w:val="22"/>
          <w:szCs w:val="22"/>
          <w:lang w:val="es-ES"/>
        </w:rPr>
        <w:t>María Inmaculada Sánchez Arbe</w:t>
      </w:r>
    </w:p>
    <w:p w14:paraId="7870712A" w14:textId="77777777" w:rsidR="00347D93" w:rsidRDefault="006C5BD3" w:rsidP="00B677B2">
      <w:pPr>
        <w:pStyle w:val="Normal0"/>
        <w:spacing w:after="20"/>
      </w:pPr>
      <w:r>
        <w:rPr>
          <w:sz w:val="22"/>
          <w:szCs w:val="22"/>
          <w:lang w:val="es-ES"/>
        </w:rPr>
        <w:t>Directora de Cultura</w:t>
      </w:r>
    </w:p>
    <w:bookmarkEnd w:id="0"/>
    <w:p w14:paraId="0CB2449C"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DFEBAF6"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057423D"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E94F3F4"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35FB0A8"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908EEC7"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6BD28A6"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1CD58C5"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DD37022"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38197C7"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DA87573"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2AE938C"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E5F2260"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2B67F69"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E42C45F"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2745990"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49CB644" w14:textId="77777777" w:rsidR="00347D93"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B091715" w14:textId="77777777" w:rsidR="00347D93" w:rsidRPr="00663BA9"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6C76C4E" w14:textId="77777777" w:rsidR="00347D93" w:rsidRPr="00663BA9" w:rsidRDefault="00347D93"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B92A07D" w14:textId="77777777" w:rsidR="00347D93" w:rsidRPr="00663BA9" w:rsidRDefault="00347D93" w:rsidP="00663BA9">
      <w:pPr>
        <w:pStyle w:val="Textoindependiente"/>
        <w:spacing w:after="0"/>
        <w:rPr>
          <w:rFonts w:cs="Arial"/>
          <w:color w:val="4F81BD" w:themeColor="accent1"/>
          <w:sz w:val="16"/>
          <w:szCs w:val="16"/>
          <w:u w:val="single"/>
        </w:rPr>
      </w:pPr>
    </w:p>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820"/>
        <w:gridCol w:w="284"/>
        <w:gridCol w:w="4820"/>
      </w:tblGrid>
      <w:tr w:rsidR="00933074" w14:paraId="4EFD09E8" w14:textId="77777777" w:rsidTr="005C6341">
        <w:tc>
          <w:tcPr>
            <w:tcW w:w="4820" w:type="dxa"/>
          </w:tcPr>
          <w:p w14:paraId="33239F12" w14:textId="77777777" w:rsidR="00347D93" w:rsidRPr="00663BA9" w:rsidRDefault="006C5BD3" w:rsidP="005C6341">
            <w:pPr>
              <w:pStyle w:val="Sangra2detindependiente"/>
              <w:tabs>
                <w:tab w:val="clear" w:pos="1702"/>
              </w:tabs>
              <w:spacing w:before="240"/>
              <w:ind w:right="0" w:firstLine="0"/>
              <w:jc w:val="both"/>
              <w:rPr>
                <w:rFonts w:cs="Arial"/>
                <w:color w:val="4F81BD" w:themeColor="accent1"/>
                <w:sz w:val="16"/>
                <w:szCs w:val="16"/>
              </w:rPr>
            </w:pPr>
            <w:r w:rsidRPr="00663BA9">
              <w:rPr>
                <w:rFonts w:ascii="Arial" w:hAnsi="Arial" w:cs="Arial"/>
                <w:sz w:val="16"/>
                <w:szCs w:val="16"/>
              </w:rPr>
              <w:t>Adeitasunez,</w:t>
            </w:r>
          </w:p>
        </w:tc>
        <w:tc>
          <w:tcPr>
            <w:tcW w:w="284" w:type="dxa"/>
          </w:tcPr>
          <w:p w14:paraId="789A5033" w14:textId="77777777" w:rsidR="00347D93" w:rsidRPr="00663BA9" w:rsidRDefault="00347D93" w:rsidP="005C6341">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5303AC7D" w14:textId="77777777" w:rsidR="00347D93" w:rsidRPr="00663BA9" w:rsidRDefault="006C5BD3" w:rsidP="005C6341">
            <w:pPr>
              <w:pStyle w:val="Sangra2detindependiente"/>
              <w:tabs>
                <w:tab w:val="clear" w:pos="1702"/>
              </w:tabs>
              <w:spacing w:before="240"/>
              <w:ind w:right="0" w:firstLine="0"/>
              <w:jc w:val="both"/>
              <w:rPr>
                <w:rFonts w:ascii="Arial" w:hAnsi="Arial" w:cs="Arial"/>
                <w:sz w:val="16"/>
                <w:szCs w:val="16"/>
              </w:rPr>
            </w:pPr>
            <w:r w:rsidRPr="00663BA9">
              <w:rPr>
                <w:rFonts w:ascii="Arial" w:hAnsi="Arial" w:cs="Arial"/>
                <w:sz w:val="16"/>
                <w:szCs w:val="16"/>
              </w:rPr>
              <w:t>Atentamente,</w:t>
            </w:r>
          </w:p>
        </w:tc>
      </w:tr>
      <w:tr w:rsidR="00933074" w14:paraId="2D4DB1CA" w14:textId="77777777" w:rsidTr="005C6341">
        <w:tc>
          <w:tcPr>
            <w:tcW w:w="4820" w:type="dxa"/>
          </w:tcPr>
          <w:p w14:paraId="5C71E298" w14:textId="77777777" w:rsidR="00347D93" w:rsidRPr="003A0FD1" w:rsidRDefault="006C5BD3" w:rsidP="005C6341">
            <w:pPr>
              <w:pStyle w:val="Sangra2detindependiente"/>
              <w:tabs>
                <w:tab w:val="clear" w:pos="1702"/>
              </w:tabs>
              <w:spacing w:before="240"/>
              <w:ind w:right="0" w:firstLine="0"/>
              <w:jc w:val="both"/>
              <w:rPr>
                <w:rFonts w:ascii="Arial" w:hAnsi="Arial" w:cs="Arial"/>
                <w:sz w:val="16"/>
                <w:szCs w:val="16"/>
              </w:rPr>
            </w:pPr>
            <w:r w:rsidRPr="003A0FD1">
              <w:rPr>
                <w:rFonts w:ascii="Arial" w:hAnsi="Arial" w:cs="Arial"/>
                <w:noProof/>
                <w:sz w:val="16"/>
                <w:szCs w:val="16"/>
              </w:rPr>
              <w:t>2024ko</w:t>
            </w:r>
            <w:r w:rsidRPr="003A0FD1">
              <w:rPr>
                <w:rFonts w:ascii="Arial" w:hAnsi="Arial" w:cs="Arial"/>
                <w:sz w:val="16"/>
                <w:szCs w:val="16"/>
              </w:rPr>
              <w:t xml:space="preserve"> </w:t>
            </w:r>
            <w:r w:rsidRPr="003A0FD1">
              <w:rPr>
                <w:rFonts w:ascii="Arial" w:hAnsi="Arial" w:cs="Arial"/>
                <w:noProof/>
                <w:sz w:val="16"/>
                <w:szCs w:val="16"/>
              </w:rPr>
              <w:t>abenduaren</w:t>
            </w:r>
            <w:r w:rsidRPr="003A0FD1">
              <w:rPr>
                <w:rFonts w:ascii="Arial" w:hAnsi="Arial" w:cs="Arial"/>
                <w:sz w:val="16"/>
                <w:szCs w:val="16"/>
              </w:rPr>
              <w:t xml:space="preserve"> 26a</w:t>
            </w:r>
          </w:p>
        </w:tc>
        <w:tc>
          <w:tcPr>
            <w:tcW w:w="284" w:type="dxa"/>
          </w:tcPr>
          <w:p w14:paraId="180ECED7" w14:textId="77777777" w:rsidR="00347D93" w:rsidRPr="00426B3C" w:rsidRDefault="00347D93" w:rsidP="005C6341">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0B21DDFC" w14:textId="77777777" w:rsidR="00347D93" w:rsidRPr="003A0FD1" w:rsidRDefault="006C5BD3" w:rsidP="005C6341">
            <w:pPr>
              <w:pStyle w:val="Sangra2detindependiente"/>
              <w:tabs>
                <w:tab w:val="clear" w:pos="1702"/>
              </w:tabs>
              <w:spacing w:before="240"/>
              <w:ind w:right="0" w:firstLine="0"/>
              <w:jc w:val="both"/>
              <w:rPr>
                <w:rFonts w:ascii="Arial" w:hAnsi="Arial" w:cs="Arial"/>
                <w:sz w:val="16"/>
                <w:szCs w:val="16"/>
              </w:rPr>
            </w:pPr>
            <w:r>
              <w:rPr>
                <w:rFonts w:ascii="Arial" w:hAnsi="Arial" w:cs="Arial"/>
                <w:noProof/>
                <w:sz w:val="16"/>
                <w:szCs w:val="16"/>
              </w:rPr>
              <w:t>26 de</w:t>
            </w:r>
            <w:r>
              <w:rPr>
                <w:rFonts w:ascii="Arial" w:hAnsi="Arial" w:cs="Arial"/>
                <w:sz w:val="16"/>
                <w:szCs w:val="16"/>
              </w:rPr>
              <w:t xml:space="preserve"> diciembre de 2024</w:t>
            </w:r>
          </w:p>
        </w:tc>
      </w:tr>
    </w:tbl>
    <w:p w14:paraId="18AA506D" w14:textId="77777777" w:rsidR="00347D93" w:rsidRPr="00426B3C" w:rsidRDefault="00347D93" w:rsidP="00EE0139">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sectPr w:rsidR="00347D93" w:rsidRPr="00426B3C" w:rsidSect="00E53B88">
      <w:headerReference w:type="default" r:id="rId9"/>
      <w:footerReference w:type="default" r:id="rId10"/>
      <w:headerReference w:type="first" r:id="rId11"/>
      <w:footerReference w:type="first" r:id="rId12"/>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4AA0" w14:textId="77777777" w:rsidR="00896965" w:rsidRDefault="00896965">
      <w:r>
        <w:separator/>
      </w:r>
    </w:p>
  </w:endnote>
  <w:endnote w:type="continuationSeparator" w:id="0">
    <w:p w14:paraId="1BB92FA4" w14:textId="77777777" w:rsidR="00896965" w:rsidRDefault="0089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933074" w14:paraId="7269F87D" w14:textId="77777777" w:rsidTr="00E47DB3">
      <w:trPr>
        <w:trHeight w:val="567"/>
      </w:trPr>
      <w:tc>
        <w:tcPr>
          <w:tcW w:w="9921" w:type="dxa"/>
        </w:tcPr>
        <w:p w14:paraId="2BC652FA" w14:textId="77777777" w:rsidR="00347D93" w:rsidRPr="00E47DB3" w:rsidRDefault="006C5BD3"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p>
      </w:tc>
    </w:tr>
  </w:tbl>
  <w:p w14:paraId="666ED209" w14:textId="77777777" w:rsidR="00347D93" w:rsidRDefault="00347D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9A0" w14:textId="77777777" w:rsidR="00347D93" w:rsidRPr="0013291F" w:rsidRDefault="006C5BD3" w:rsidP="00BE3C89">
    <w:pPr>
      <w:pBdr>
        <w:bottom w:val="single" w:sz="4" w:space="1" w:color="auto"/>
      </w:pBdr>
      <w:spacing w:line="180" w:lineRule="exact"/>
      <w:rPr>
        <w:sz w:val="22"/>
      </w:rPr>
    </w:pPr>
    <w:r w:rsidRPr="0013291F">
      <w:rPr>
        <w:rFonts w:ascii="Arial" w:hAnsi="Arial"/>
        <w:noProof/>
        <w:color w:val="000000"/>
        <w:sz w:val="14"/>
      </w:rPr>
      <w:t>CORE05</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933074" w14:paraId="79883A96" w14:textId="77777777" w:rsidTr="005C6341">
      <w:trPr>
        <w:trHeight w:val="433"/>
      </w:trPr>
      <w:tc>
        <w:tcPr>
          <w:tcW w:w="4323" w:type="dxa"/>
        </w:tcPr>
        <w:p w14:paraId="4A7828DB" w14:textId="77777777" w:rsidR="00347D93" w:rsidRPr="0013291F" w:rsidRDefault="006C5BD3" w:rsidP="005C6341">
          <w:pPr>
            <w:pStyle w:val="Textoindependiente"/>
            <w:spacing w:after="113" w:line="220" w:lineRule="exact"/>
            <w:ind w:left="11"/>
            <w:jc w:val="left"/>
            <w:rPr>
              <w:rFonts w:cs="Arial"/>
              <w:b/>
              <w:sz w:val="16"/>
              <w:szCs w:val="16"/>
            </w:rPr>
          </w:pPr>
          <w:r w:rsidRPr="0013291F">
            <w:rPr>
              <w:rFonts w:cs="Arial"/>
              <w:b/>
              <w:sz w:val="16"/>
              <w:szCs w:val="16"/>
            </w:rPr>
            <w:t>Berdintasun, Euskara eta Gobernantza Saila</w:t>
          </w:r>
        </w:p>
        <w:p w14:paraId="7EC42934" w14:textId="77777777" w:rsidR="00347D93" w:rsidRPr="0013291F" w:rsidRDefault="006C5BD3" w:rsidP="005C6341">
          <w:pPr>
            <w:pStyle w:val="Textoindependiente"/>
            <w:spacing w:after="113" w:line="220" w:lineRule="exact"/>
            <w:ind w:left="11"/>
            <w:jc w:val="left"/>
            <w:rPr>
              <w:rFonts w:cs="Arial"/>
              <w:sz w:val="16"/>
              <w:szCs w:val="16"/>
            </w:rPr>
          </w:pPr>
          <w:r w:rsidRPr="0013291F">
            <w:rPr>
              <w:rFonts w:cs="Arial"/>
              <w:b/>
              <w:sz w:val="16"/>
              <w:szCs w:val="16"/>
            </w:rPr>
            <w:t>Departamento de Igualdad, Euskera y Gobernanza</w:t>
          </w:r>
        </w:p>
      </w:tc>
      <w:tc>
        <w:tcPr>
          <w:tcW w:w="3118" w:type="dxa"/>
        </w:tcPr>
        <w:p w14:paraId="466DB351" w14:textId="77777777" w:rsidR="00347D93" w:rsidRPr="0013291F" w:rsidRDefault="006C5BD3" w:rsidP="005C6341">
          <w:pPr>
            <w:pStyle w:val="Textoindependiente"/>
            <w:spacing w:before="20" w:after="70" w:line="200" w:lineRule="exact"/>
            <w:ind w:left="40"/>
            <w:jc w:val="left"/>
            <w:rPr>
              <w:rFonts w:cs="Arial"/>
              <w:sz w:val="16"/>
              <w:szCs w:val="16"/>
            </w:rPr>
          </w:pPr>
          <w:r w:rsidRPr="0013291F">
            <w:rPr>
              <w:rFonts w:cs="Arial"/>
              <w:sz w:val="16"/>
              <w:szCs w:val="16"/>
            </w:rPr>
            <w:t>Euskararen eta Gobernu Irekiaren Zuzendaritza</w:t>
          </w:r>
        </w:p>
        <w:p w14:paraId="7984F4FA" w14:textId="77777777" w:rsidR="00347D93" w:rsidRPr="0013291F" w:rsidRDefault="006C5BD3" w:rsidP="005C6341">
          <w:pPr>
            <w:pStyle w:val="Textoindependiente"/>
            <w:spacing w:before="20" w:after="70" w:line="200" w:lineRule="exact"/>
            <w:ind w:left="40"/>
            <w:jc w:val="left"/>
            <w:rPr>
              <w:rFonts w:cs="Arial"/>
              <w:sz w:val="16"/>
              <w:szCs w:val="16"/>
            </w:rPr>
          </w:pPr>
          <w:r w:rsidRPr="0013291F">
            <w:rPr>
              <w:rFonts w:cs="Arial"/>
              <w:sz w:val="16"/>
              <w:szCs w:val="16"/>
            </w:rPr>
            <w:t>Dirección de Euskera y Gobierno Abierto</w:t>
          </w:r>
        </w:p>
      </w:tc>
      <w:tc>
        <w:tcPr>
          <w:tcW w:w="2268" w:type="dxa"/>
        </w:tcPr>
        <w:p w14:paraId="7CB710C1" w14:textId="77777777" w:rsidR="00347D93" w:rsidRPr="0013291F" w:rsidRDefault="006C5BD3"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160AB8B9" w14:textId="77777777" w:rsidR="00347D93" w:rsidRPr="0013291F" w:rsidRDefault="006C5BD3"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345D4762" w14:textId="77777777" w:rsidR="00347D93" w:rsidRPr="0013291F" w:rsidRDefault="006C5BD3"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7A3C9156" w14:textId="77777777" w:rsidR="00347D93" w:rsidRPr="00BE3C89" w:rsidRDefault="00347D93"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4956" w14:textId="77777777" w:rsidR="00896965" w:rsidRDefault="00896965">
      <w:r>
        <w:separator/>
      </w:r>
    </w:p>
  </w:footnote>
  <w:footnote w:type="continuationSeparator" w:id="0">
    <w:p w14:paraId="28E18032" w14:textId="77777777" w:rsidR="00896965" w:rsidRDefault="0089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933074" w14:paraId="75EEF923" w14:textId="77777777" w:rsidTr="001A0E0E">
      <w:trPr>
        <w:cantSplit/>
        <w:trHeight w:hRule="exact" w:val="567"/>
      </w:trPr>
      <w:tc>
        <w:tcPr>
          <w:tcW w:w="4536" w:type="dxa"/>
          <w:vAlign w:val="center"/>
        </w:tcPr>
        <w:p w14:paraId="60B8242C" w14:textId="77777777" w:rsidR="00347D93" w:rsidRDefault="00347D93" w:rsidP="0078412B">
          <w:pPr>
            <w:pStyle w:val="Encabezado"/>
          </w:pPr>
        </w:p>
      </w:tc>
      <w:tc>
        <w:tcPr>
          <w:tcW w:w="851" w:type="dxa"/>
          <w:vMerge w:val="restart"/>
          <w:vAlign w:val="center"/>
        </w:tcPr>
        <w:p w14:paraId="13508C45" w14:textId="77777777" w:rsidR="00347D93" w:rsidRDefault="006C5BD3" w:rsidP="0078412B">
          <w:pPr>
            <w:pStyle w:val="Encabezado"/>
            <w:jc w:val="center"/>
          </w:pPr>
          <w:r>
            <w:rPr>
              <w:noProof/>
              <w:lang w:val="es-ES"/>
            </w:rPr>
            <w:drawing>
              <wp:inline distT="0" distB="0" distL="0" distR="0" wp14:anchorId="10C1C16A" wp14:editId="7425B87D">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1421F635" w14:textId="77777777" w:rsidR="00347D93" w:rsidRDefault="00347D93" w:rsidP="0078412B">
          <w:pPr>
            <w:pStyle w:val="Encabezado"/>
          </w:pPr>
        </w:p>
      </w:tc>
    </w:tr>
    <w:tr w:rsidR="00933074" w14:paraId="5B92CADC" w14:textId="77777777" w:rsidTr="001A0E0E">
      <w:trPr>
        <w:cantSplit/>
        <w:trHeight w:hRule="exact" w:val="567"/>
      </w:trPr>
      <w:tc>
        <w:tcPr>
          <w:tcW w:w="4536" w:type="dxa"/>
          <w:vAlign w:val="center"/>
        </w:tcPr>
        <w:p w14:paraId="6BD8A228" w14:textId="77777777" w:rsidR="00347D93" w:rsidRDefault="00347D93" w:rsidP="0078412B">
          <w:pPr>
            <w:pStyle w:val="Encabezado"/>
          </w:pPr>
        </w:p>
      </w:tc>
      <w:tc>
        <w:tcPr>
          <w:tcW w:w="851" w:type="dxa"/>
          <w:vMerge/>
          <w:vAlign w:val="center"/>
        </w:tcPr>
        <w:p w14:paraId="70D1CED7" w14:textId="77777777" w:rsidR="00347D93" w:rsidRDefault="00347D93" w:rsidP="0078412B">
          <w:pPr>
            <w:pStyle w:val="Encabezado"/>
            <w:jc w:val="center"/>
          </w:pPr>
        </w:p>
      </w:tc>
      <w:tc>
        <w:tcPr>
          <w:tcW w:w="4536" w:type="dxa"/>
          <w:vAlign w:val="center"/>
        </w:tcPr>
        <w:p w14:paraId="3BF9071E" w14:textId="77777777" w:rsidR="00347D93" w:rsidRDefault="00347D93" w:rsidP="0078412B">
          <w:pPr>
            <w:pStyle w:val="Encabezado"/>
          </w:pPr>
        </w:p>
      </w:tc>
    </w:tr>
  </w:tbl>
  <w:p w14:paraId="297D4645" w14:textId="77777777" w:rsidR="00347D93" w:rsidRPr="0013766D" w:rsidRDefault="00347D93">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933074" w14:paraId="63F43AED" w14:textId="77777777" w:rsidTr="001F2BE9">
      <w:trPr>
        <w:trHeight w:val="2041"/>
      </w:trPr>
      <w:tc>
        <w:tcPr>
          <w:tcW w:w="3969" w:type="dxa"/>
        </w:tcPr>
        <w:p w14:paraId="7C75AC2D" w14:textId="77777777" w:rsidR="00347D93" w:rsidRPr="007F2571" w:rsidRDefault="006C5BD3"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662385B6" wp14:editId="7BCD87BB">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495B4531" w14:textId="77777777" w:rsidR="00347D93" w:rsidRDefault="00347D93" w:rsidP="00470015">
          <w:pPr>
            <w:pStyle w:val="Piedepgina"/>
            <w:rPr>
              <w:rFonts w:ascii="Arial" w:hAnsi="Arial" w:cs="Arial"/>
              <w:b/>
              <w:bCs/>
              <w:color w:val="808080" w:themeColor="background1" w:themeShade="80"/>
              <w:sz w:val="12"/>
              <w:szCs w:val="12"/>
              <w:lang w:val="es-ES"/>
            </w:rPr>
          </w:pPr>
        </w:p>
        <w:p w14:paraId="4D7A329B" w14:textId="77777777" w:rsidR="00347D93" w:rsidRPr="000B6392" w:rsidRDefault="00347D93" w:rsidP="00470015">
          <w:pPr>
            <w:pStyle w:val="Encabezado"/>
            <w:rPr>
              <w:rFonts w:ascii="Arial" w:hAnsi="Arial" w:cs="Arial"/>
              <w:b/>
              <w:color w:val="808080" w:themeColor="background1" w:themeShade="80"/>
              <w:sz w:val="16"/>
              <w:szCs w:val="16"/>
            </w:rPr>
          </w:pPr>
        </w:p>
      </w:tc>
    </w:tr>
  </w:tbl>
  <w:p w14:paraId="2B856F0A" w14:textId="77777777" w:rsidR="00347D93" w:rsidRPr="0013766D" w:rsidRDefault="00347D93"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D304CEEE"/>
    <w:lvl w:ilvl="0" w:tplc="5D9CB092">
      <w:numFmt w:val="bullet"/>
      <w:lvlText w:val="-"/>
      <w:lvlJc w:val="left"/>
      <w:pPr>
        <w:ind w:left="720" w:hanging="360"/>
      </w:pPr>
      <w:rPr>
        <w:rFonts w:ascii="Times New Roman" w:eastAsia="Times New Roman" w:hAnsi="Times New Roman" w:cs="Times New Roman" w:hint="default"/>
        <w:i/>
      </w:rPr>
    </w:lvl>
    <w:lvl w:ilvl="1" w:tplc="530ED8E0" w:tentative="1">
      <w:start w:val="1"/>
      <w:numFmt w:val="bullet"/>
      <w:lvlText w:val="o"/>
      <w:lvlJc w:val="left"/>
      <w:pPr>
        <w:ind w:left="1440" w:hanging="360"/>
      </w:pPr>
      <w:rPr>
        <w:rFonts w:ascii="Courier New" w:hAnsi="Courier New" w:cs="Courier New" w:hint="default"/>
      </w:rPr>
    </w:lvl>
    <w:lvl w:ilvl="2" w:tplc="BDC4A7B6" w:tentative="1">
      <w:start w:val="1"/>
      <w:numFmt w:val="bullet"/>
      <w:lvlText w:val=""/>
      <w:lvlJc w:val="left"/>
      <w:pPr>
        <w:ind w:left="2160" w:hanging="360"/>
      </w:pPr>
      <w:rPr>
        <w:rFonts w:ascii="Wingdings" w:hAnsi="Wingdings" w:hint="default"/>
      </w:rPr>
    </w:lvl>
    <w:lvl w:ilvl="3" w:tplc="760E63B2" w:tentative="1">
      <w:start w:val="1"/>
      <w:numFmt w:val="bullet"/>
      <w:lvlText w:val=""/>
      <w:lvlJc w:val="left"/>
      <w:pPr>
        <w:ind w:left="2880" w:hanging="360"/>
      </w:pPr>
      <w:rPr>
        <w:rFonts w:ascii="Symbol" w:hAnsi="Symbol" w:hint="default"/>
      </w:rPr>
    </w:lvl>
    <w:lvl w:ilvl="4" w:tplc="25F0BB70" w:tentative="1">
      <w:start w:val="1"/>
      <w:numFmt w:val="bullet"/>
      <w:lvlText w:val="o"/>
      <w:lvlJc w:val="left"/>
      <w:pPr>
        <w:ind w:left="3600" w:hanging="360"/>
      </w:pPr>
      <w:rPr>
        <w:rFonts w:ascii="Courier New" w:hAnsi="Courier New" w:cs="Courier New" w:hint="default"/>
      </w:rPr>
    </w:lvl>
    <w:lvl w:ilvl="5" w:tplc="31201480" w:tentative="1">
      <w:start w:val="1"/>
      <w:numFmt w:val="bullet"/>
      <w:lvlText w:val=""/>
      <w:lvlJc w:val="left"/>
      <w:pPr>
        <w:ind w:left="4320" w:hanging="360"/>
      </w:pPr>
      <w:rPr>
        <w:rFonts w:ascii="Wingdings" w:hAnsi="Wingdings" w:hint="default"/>
      </w:rPr>
    </w:lvl>
    <w:lvl w:ilvl="6" w:tplc="E716E74C" w:tentative="1">
      <w:start w:val="1"/>
      <w:numFmt w:val="bullet"/>
      <w:lvlText w:val=""/>
      <w:lvlJc w:val="left"/>
      <w:pPr>
        <w:ind w:left="5040" w:hanging="360"/>
      </w:pPr>
      <w:rPr>
        <w:rFonts w:ascii="Symbol" w:hAnsi="Symbol" w:hint="default"/>
      </w:rPr>
    </w:lvl>
    <w:lvl w:ilvl="7" w:tplc="E2EE6BB4" w:tentative="1">
      <w:start w:val="1"/>
      <w:numFmt w:val="bullet"/>
      <w:lvlText w:val="o"/>
      <w:lvlJc w:val="left"/>
      <w:pPr>
        <w:ind w:left="5760" w:hanging="360"/>
      </w:pPr>
      <w:rPr>
        <w:rFonts w:ascii="Courier New" w:hAnsi="Courier New" w:cs="Courier New" w:hint="default"/>
      </w:rPr>
    </w:lvl>
    <w:lvl w:ilvl="8" w:tplc="60260DE0" w:tentative="1">
      <w:start w:val="1"/>
      <w:numFmt w:val="bullet"/>
      <w:lvlText w:val=""/>
      <w:lvlJc w:val="left"/>
      <w:pPr>
        <w:ind w:left="6480" w:hanging="360"/>
      </w:pPr>
      <w:rPr>
        <w:rFonts w:ascii="Wingdings" w:hAnsi="Wingdings" w:hint="default"/>
      </w:rPr>
    </w:lvl>
  </w:abstractNum>
  <w:abstractNum w:abstractNumId="5" w15:restartNumberingAfterBreak="0">
    <w:nsid w:val="6AAC21F9"/>
    <w:multiLevelType w:val="hybridMultilevel"/>
    <w:tmpl w:val="BD502EE2"/>
    <w:lvl w:ilvl="0" w:tplc="90D82B66">
      <w:numFmt w:val="bullet"/>
      <w:lvlText w:val="-"/>
      <w:lvlJc w:val="left"/>
      <w:pPr>
        <w:ind w:left="720" w:hanging="360"/>
      </w:pPr>
      <w:rPr>
        <w:rFonts w:ascii="TimesNewRomanPS-BoldMT" w:eastAsia="Calibri" w:hAnsi="TimesNewRomanPS-BoldMT" w:cs="TimesNewRomanPS-BoldMT" w:hint="default"/>
      </w:rPr>
    </w:lvl>
    <w:lvl w:ilvl="1" w:tplc="3822CF1A" w:tentative="1">
      <w:start w:val="1"/>
      <w:numFmt w:val="bullet"/>
      <w:lvlText w:val="o"/>
      <w:lvlJc w:val="left"/>
      <w:pPr>
        <w:ind w:left="1440" w:hanging="360"/>
      </w:pPr>
      <w:rPr>
        <w:rFonts w:ascii="Courier New" w:hAnsi="Courier New" w:cs="Courier New" w:hint="default"/>
      </w:rPr>
    </w:lvl>
    <w:lvl w:ilvl="2" w:tplc="AF82A09C" w:tentative="1">
      <w:start w:val="1"/>
      <w:numFmt w:val="bullet"/>
      <w:lvlText w:val=""/>
      <w:lvlJc w:val="left"/>
      <w:pPr>
        <w:ind w:left="2160" w:hanging="360"/>
      </w:pPr>
      <w:rPr>
        <w:rFonts w:ascii="Wingdings" w:hAnsi="Wingdings" w:hint="default"/>
      </w:rPr>
    </w:lvl>
    <w:lvl w:ilvl="3" w:tplc="26B424DE" w:tentative="1">
      <w:start w:val="1"/>
      <w:numFmt w:val="bullet"/>
      <w:lvlText w:val=""/>
      <w:lvlJc w:val="left"/>
      <w:pPr>
        <w:ind w:left="2880" w:hanging="360"/>
      </w:pPr>
      <w:rPr>
        <w:rFonts w:ascii="Symbol" w:hAnsi="Symbol" w:hint="default"/>
      </w:rPr>
    </w:lvl>
    <w:lvl w:ilvl="4" w:tplc="ACD4ED9E" w:tentative="1">
      <w:start w:val="1"/>
      <w:numFmt w:val="bullet"/>
      <w:lvlText w:val="o"/>
      <w:lvlJc w:val="left"/>
      <w:pPr>
        <w:ind w:left="3600" w:hanging="360"/>
      </w:pPr>
      <w:rPr>
        <w:rFonts w:ascii="Courier New" w:hAnsi="Courier New" w:cs="Courier New" w:hint="default"/>
      </w:rPr>
    </w:lvl>
    <w:lvl w:ilvl="5" w:tplc="78667B2A" w:tentative="1">
      <w:start w:val="1"/>
      <w:numFmt w:val="bullet"/>
      <w:lvlText w:val=""/>
      <w:lvlJc w:val="left"/>
      <w:pPr>
        <w:ind w:left="4320" w:hanging="360"/>
      </w:pPr>
      <w:rPr>
        <w:rFonts w:ascii="Wingdings" w:hAnsi="Wingdings" w:hint="default"/>
      </w:rPr>
    </w:lvl>
    <w:lvl w:ilvl="6" w:tplc="945E5510" w:tentative="1">
      <w:start w:val="1"/>
      <w:numFmt w:val="bullet"/>
      <w:lvlText w:val=""/>
      <w:lvlJc w:val="left"/>
      <w:pPr>
        <w:ind w:left="5040" w:hanging="360"/>
      </w:pPr>
      <w:rPr>
        <w:rFonts w:ascii="Symbol" w:hAnsi="Symbol" w:hint="default"/>
      </w:rPr>
    </w:lvl>
    <w:lvl w:ilvl="7" w:tplc="DACA2EB2" w:tentative="1">
      <w:start w:val="1"/>
      <w:numFmt w:val="bullet"/>
      <w:lvlText w:val="o"/>
      <w:lvlJc w:val="left"/>
      <w:pPr>
        <w:ind w:left="5760" w:hanging="360"/>
      </w:pPr>
      <w:rPr>
        <w:rFonts w:ascii="Courier New" w:hAnsi="Courier New" w:cs="Courier New" w:hint="default"/>
      </w:rPr>
    </w:lvl>
    <w:lvl w:ilvl="8" w:tplc="C0C4A03C" w:tentative="1">
      <w:start w:val="1"/>
      <w:numFmt w:val="bullet"/>
      <w:lvlText w:val=""/>
      <w:lvlJc w:val="left"/>
      <w:pPr>
        <w:ind w:left="6480" w:hanging="360"/>
      </w:pPr>
      <w:rPr>
        <w:rFonts w:ascii="Wingdings" w:hAnsi="Wingdings" w:hint="default"/>
      </w:rPr>
    </w:lvl>
  </w:abstractNum>
  <w:num w:numId="1" w16cid:durableId="1502814966">
    <w:abstractNumId w:val="0"/>
  </w:num>
  <w:num w:numId="2" w16cid:durableId="1787774601">
    <w:abstractNumId w:val="2"/>
  </w:num>
  <w:num w:numId="3" w16cid:durableId="742293185">
    <w:abstractNumId w:val="1"/>
  </w:num>
  <w:num w:numId="4" w16cid:durableId="420762390">
    <w:abstractNumId w:val="3"/>
  </w:num>
  <w:num w:numId="5" w16cid:durableId="1157304917">
    <w:abstractNumId w:val="4"/>
  </w:num>
  <w:num w:numId="6" w16cid:durableId="633486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4"/>
    <w:rsid w:val="00347D93"/>
    <w:rsid w:val="0040262B"/>
    <w:rsid w:val="006C5BD3"/>
    <w:rsid w:val="007A4F35"/>
    <w:rsid w:val="00896965"/>
    <w:rsid w:val="008E74FD"/>
    <w:rsid w:val="00933074"/>
    <w:rsid w:val="00A26A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FDD26"/>
  <w15:docId w15:val="{CC59BFDF-1DAE-461A-830A-8D51377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Heading20">
    <w:name w:val="Heading 2_0"/>
    <w:basedOn w:val="Normal0"/>
    <w:next w:val="Normal0"/>
    <w:link w:val="Ttulo2Car"/>
    <w:qFormat/>
    <w:rsid w:val="00234E28"/>
    <w:pPr>
      <w:keepNext/>
      <w:jc w:val="both"/>
      <w:outlineLvl w:val="1"/>
    </w:pPr>
    <w:rPr>
      <w:b/>
      <w:sz w:val="22"/>
      <w:lang w:eastAsia="en-US"/>
    </w:rPr>
  </w:style>
  <w:style w:type="paragraph" w:customStyle="1" w:styleId="Normal0">
    <w:name w:val="Normal_0"/>
    <w:qFormat/>
    <w:rsid w:val="00234E28"/>
    <w:rPr>
      <w:rFonts w:ascii="Times New Roman" w:hAnsi="Times New Roman" w:cs="Wingdings"/>
      <w:lang w:val="es-ES_tradnl" w:bidi="or-IN"/>
    </w:rPr>
  </w:style>
  <w:style w:type="character" w:customStyle="1" w:styleId="Ttulo2Car">
    <w:name w:val="Título 2 Car"/>
    <w:basedOn w:val="Fuentedeprrafopredeter"/>
    <w:link w:val="Heading20"/>
    <w:rsid w:val="00234E28"/>
    <w:rPr>
      <w:rFonts w:ascii="Times New Roman" w:eastAsia="Times New Roman" w:hAnsi="Times New Roman" w:cs="Wingdings"/>
      <w:b/>
      <w:szCs w:val="20"/>
      <w:lang w:val="es-ES_tradnl" w:eastAsia="es-ES" w:bidi="or-IN"/>
    </w:rPr>
  </w:style>
  <w:style w:type="character" w:customStyle="1" w:styleId="Hyperlink0">
    <w:name w:val="Hyperlink_0"/>
    <w:basedOn w:val="Fuentedeprrafopredeter"/>
    <w:uiPriority w:val="99"/>
    <w:unhideWhenUsed/>
    <w:rsid w:val="006350D7"/>
    <w:rPr>
      <w:rFonts w:ascii="Times New Roman" w:hAnsi="Times New Roman"/>
      <w:lang w:eastAsia="en-US"/>
    </w:rPr>
  </w:style>
  <w:style w:type="paragraph" w:styleId="Prrafodelista">
    <w:name w:val="List Paragraph"/>
    <w:basedOn w:val="Normal0"/>
    <w:uiPriority w:val="34"/>
    <w:qFormat/>
    <w:rsid w:val="001C0B75"/>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s/patrimonio-arqueologico/memoria-iruna-vele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740A2-288E-4031-B573-AE301E2B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4</Pages>
  <Words>1489</Words>
  <Characters>11484</Characters>
  <Application>Microsoft Office Word</Application>
  <DocSecurity>0</DocSecurity>
  <Lines>95</Lines>
  <Paragraphs>25</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2025-02-20T08:28:00Z</dcterms:created>
  <dcterms:modified xsi:type="dcterms:W3CDTF">2025-02-21T09:41:00Z</dcterms:modified>
</cp:coreProperties>
</file>