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F6337" w14:textId="767F91E6" w:rsidR="008D7389" w:rsidRPr="00BB3597" w:rsidRDefault="008D7389" w:rsidP="00443844">
      <w:pPr>
        <w:tabs>
          <w:tab w:val="left" w:pos="993"/>
        </w:tabs>
        <w:spacing w:before="240" w:after="240"/>
        <w:ind w:left="993" w:hanging="993"/>
        <w:jc w:val="center"/>
        <w:rPr>
          <w:b/>
          <w:sz w:val="22"/>
        </w:rPr>
      </w:pPr>
      <w:r w:rsidRPr="00BB3597">
        <w:rPr>
          <w:b/>
          <w:sz w:val="22"/>
        </w:rPr>
        <w:t>ANEXO</w:t>
      </w:r>
      <w:r>
        <w:rPr>
          <w:b/>
          <w:sz w:val="22"/>
        </w:rPr>
        <w:t xml:space="preserve"> II</w:t>
      </w:r>
    </w:p>
    <w:p w14:paraId="352DF100" w14:textId="77777777" w:rsidR="008D7389" w:rsidRDefault="008D7389" w:rsidP="008D7389">
      <w:pPr>
        <w:tabs>
          <w:tab w:val="left" w:pos="993"/>
        </w:tabs>
        <w:rPr>
          <w:sz w:val="22"/>
        </w:rPr>
      </w:pPr>
    </w:p>
    <w:tbl>
      <w:tblPr>
        <w:tblW w:w="8897" w:type="dxa"/>
        <w:tblLayout w:type="fixed"/>
        <w:tblLook w:val="04A0" w:firstRow="1" w:lastRow="0" w:firstColumn="1" w:lastColumn="0" w:noHBand="0" w:noVBand="1"/>
      </w:tblPr>
      <w:tblGrid>
        <w:gridCol w:w="4361"/>
        <w:gridCol w:w="283"/>
        <w:gridCol w:w="4253"/>
      </w:tblGrid>
      <w:tr w:rsidR="008D7389" w:rsidRPr="002C48B7" w14:paraId="41A1E0A8" w14:textId="77777777" w:rsidTr="00580FAF">
        <w:tc>
          <w:tcPr>
            <w:tcW w:w="4361" w:type="dxa"/>
            <w:shd w:val="clear" w:color="auto" w:fill="auto"/>
          </w:tcPr>
          <w:p w14:paraId="44372EBA" w14:textId="57CB111B" w:rsidR="00443844" w:rsidRPr="00373630" w:rsidRDefault="004D0BC9" w:rsidP="00580FAF">
            <w:pPr>
              <w:tabs>
                <w:tab w:val="left" w:pos="993"/>
              </w:tabs>
              <w:spacing w:after="320"/>
              <w:rPr>
                <w:b/>
                <w:sz w:val="22"/>
              </w:rPr>
            </w:pPr>
            <w:r w:rsidRPr="004D0BC9">
              <w:rPr>
                <w:b/>
                <w:sz w:val="22"/>
              </w:rPr>
              <w:t>FORU ARAU PROIEKTUA, ZEINAK BERRESTEN BAITU LANKIDETZA-HITZARMENA EUSKAL AUTONOMIA ERKIDEGOKO ADMINISTRAZIO OROKORRARREKIN, IGNACIO ALDECOA KULTUR ETXEA ETA MUSEOETAKO NAHIZ KULTURA ETA KIROL SAILARI ATXIKITAKO ZERBITZUETAKO LIBURUTEGIAK EUSKADIKO IRAKURKETA PUBLIKOKO SAREAN MANTENTZEKO</w:t>
            </w:r>
            <w:r w:rsidR="00443844">
              <w:rPr>
                <w:b/>
                <w:sz w:val="22"/>
              </w:rPr>
              <w:t>.</w:t>
            </w:r>
            <w:r w:rsidR="00443844" w:rsidRPr="00443844">
              <w:rPr>
                <w:b/>
                <w:sz w:val="22"/>
              </w:rPr>
              <w:t xml:space="preserve"> </w:t>
            </w:r>
          </w:p>
          <w:p w14:paraId="4F249946" w14:textId="77777777" w:rsidR="008D7389" w:rsidRPr="00373630" w:rsidRDefault="008D7389" w:rsidP="00580FAF">
            <w:pPr>
              <w:tabs>
                <w:tab w:val="left" w:pos="993"/>
              </w:tabs>
              <w:rPr>
                <w:sz w:val="22"/>
              </w:rPr>
            </w:pPr>
          </w:p>
        </w:tc>
        <w:tc>
          <w:tcPr>
            <w:tcW w:w="283" w:type="dxa"/>
          </w:tcPr>
          <w:p w14:paraId="4A18E500" w14:textId="77777777" w:rsidR="008D7389" w:rsidRPr="002C48B7" w:rsidRDefault="008D7389" w:rsidP="00580FAF">
            <w:pPr>
              <w:tabs>
                <w:tab w:val="left" w:pos="993"/>
              </w:tabs>
              <w:spacing w:after="360"/>
              <w:rPr>
                <w:b/>
                <w:sz w:val="22"/>
              </w:rPr>
            </w:pPr>
          </w:p>
        </w:tc>
        <w:tc>
          <w:tcPr>
            <w:tcW w:w="4253" w:type="dxa"/>
            <w:shd w:val="clear" w:color="auto" w:fill="auto"/>
          </w:tcPr>
          <w:p w14:paraId="38161149" w14:textId="2AA821A1" w:rsidR="008D7389" w:rsidRPr="003650FC" w:rsidRDefault="008D7389" w:rsidP="00580FAF">
            <w:pPr>
              <w:tabs>
                <w:tab w:val="left" w:pos="993"/>
              </w:tabs>
              <w:spacing w:after="320"/>
              <w:rPr>
                <w:sz w:val="22"/>
              </w:rPr>
            </w:pPr>
            <w:r w:rsidRPr="003650FC">
              <w:rPr>
                <w:b/>
                <w:sz w:val="22"/>
              </w:rPr>
              <w:t>PROYECTO DE NORMA FORAL DE RATIFICACIÓN DEL CONVENIO DE COLABORACIÓN CON LA ADMINISTRACIÓN GENERAL DE LA COMUNIDAD AUTÓNOMA DEL PAÍS VASCO PARA LA PERMANENCIA DE LA CASA DE LA CULTURA IGNACIO ALDECOA Y LAS BIBLIOTECAS DE LOS MUSEOS Y DE LOS SERVICIOS ADSCRITOS AL DEPARTAMENTO DE CULTURA Y DEPORTE EN LA RED DE LECTURA PÚBLICA DE EUSKADI.</w:t>
            </w:r>
          </w:p>
        </w:tc>
      </w:tr>
      <w:tr w:rsidR="008D7389" w:rsidRPr="003650FC" w14:paraId="07460372" w14:textId="77777777" w:rsidTr="00580FAF">
        <w:tc>
          <w:tcPr>
            <w:tcW w:w="4361" w:type="dxa"/>
            <w:shd w:val="clear" w:color="auto" w:fill="auto"/>
          </w:tcPr>
          <w:p w14:paraId="134DCADF" w14:textId="77777777" w:rsidR="008D7389" w:rsidRPr="003650FC" w:rsidRDefault="008D7389" w:rsidP="008D7389">
            <w:pPr>
              <w:pStyle w:val="Textoindependiente"/>
              <w:jc w:val="left"/>
              <w:rPr>
                <w:rFonts w:cs="Times New Roman"/>
                <w:b w:val="0"/>
                <w:lang w:val="eu-ES"/>
              </w:rPr>
            </w:pPr>
            <w:r w:rsidRPr="003650FC">
              <w:rPr>
                <w:rFonts w:cs="Times New Roman"/>
                <w:b w:val="0"/>
                <w:lang w:val="eu-ES"/>
              </w:rPr>
              <w:t>Euskal Autonomia Erkidegoko Autonomia Estatutuaren 10.20 artikuluaren arabera, Euskal Autonomia Erkidegoak eskumen esklusiboa du liburutegien arloan, baldin eta Estatuaren titulartasunekoak ez badira.</w:t>
            </w:r>
          </w:p>
          <w:p w14:paraId="2A6C7D1E" w14:textId="77777777" w:rsidR="008D7389" w:rsidRPr="003650FC" w:rsidRDefault="008D7389" w:rsidP="008D7389">
            <w:pPr>
              <w:pStyle w:val="Textoindependiente"/>
              <w:spacing w:after="720"/>
              <w:jc w:val="left"/>
              <w:rPr>
                <w:rFonts w:cs="Times New Roman"/>
                <w:b w:val="0"/>
                <w:lang w:val="eu-ES"/>
              </w:rPr>
            </w:pPr>
            <w:r w:rsidRPr="003650FC">
              <w:rPr>
                <w:rFonts w:cs="Times New Roman"/>
                <w:b w:val="0"/>
                <w:lang w:val="eu-ES"/>
              </w:rPr>
              <w:t>Eskumenen aitorpen hori, Euskal Autonomia Erkidegoaren lurralde-eremuan, Autonomia Erkidego Osorako Erakundeen eta bertako Kondaira-lurraldeetako foruzko ihardutze-erakundeen arteko harremanei buruzko azaroaren 25eko legeak jasotzen duen eskumen-banaketarekin uztartu behar da, aldundiei bere titulartasuneko liburutegien eskumen esklusiboa ematen dien neurrian. Ildo horretan, arau beraren 7.a) 12. artikulua adierazten da, eta adierazten da lurralde historikoetako foru-organoek eskumen esklusiboa dutela liburutegien arloan, eta horietako bakoitzaren araubide juridiko pribatiboaren arabera baliatuko dutela eskumen hori.</w:t>
            </w:r>
          </w:p>
          <w:p w14:paraId="1F08B2E7" w14:textId="77777777" w:rsidR="008D7389" w:rsidRPr="003650FC" w:rsidRDefault="008D7389" w:rsidP="008D7389">
            <w:pPr>
              <w:pStyle w:val="Textoindependiente"/>
              <w:spacing w:after="480"/>
              <w:jc w:val="left"/>
              <w:rPr>
                <w:rFonts w:cs="Times New Roman"/>
                <w:b w:val="0"/>
                <w:lang w:val="eu-ES"/>
              </w:rPr>
            </w:pPr>
            <w:r w:rsidRPr="003650FC">
              <w:rPr>
                <w:rFonts w:cs="Times New Roman"/>
                <w:b w:val="0"/>
                <w:lang w:val="eu-ES"/>
              </w:rPr>
              <w:t xml:space="preserve">Euskadiko Liburutegiei buruzko urriaren 26ko 11/2007 Legeak 6.2 artikuluan ezartzen duenez, Eusko Jaurlaritzan kulturaren alorreko eskumenak dituen sailari dagokio Euskadiko Liburutegi Sistemak eskaintzen dituen liburutegi-zerbitzuen plangintza garatzea. Eskumen horrek Euskal Autonomia Erkidegoaren eskumeneko titulartasun </w:t>
            </w:r>
            <w:r w:rsidRPr="003650FC">
              <w:rPr>
                <w:rFonts w:cs="Times New Roman"/>
                <w:b w:val="0"/>
                <w:lang w:val="eu-ES"/>
              </w:rPr>
              <w:lastRenderedPageBreak/>
              <w:t>publikoko liburutegi guztiak hartuko ditu eraginpean, bai eta titulartasun pribatukoak, foru-aldundienak edo Estatuarenak ere, borondatez sartzen badira Euskadiko Liburutegi Sistemara edo Euskadiko Irakurketa Publikoko Sarera.</w:t>
            </w:r>
          </w:p>
          <w:p w14:paraId="2BC41AF1" w14:textId="77777777" w:rsidR="008D7389" w:rsidRPr="003650FC" w:rsidRDefault="008D7389" w:rsidP="008D7389">
            <w:pPr>
              <w:pStyle w:val="Textoindependiente"/>
              <w:spacing w:after="600"/>
              <w:jc w:val="left"/>
              <w:rPr>
                <w:rFonts w:cs="Times New Roman"/>
                <w:b w:val="0"/>
                <w:lang w:val="eu-ES"/>
              </w:rPr>
            </w:pPr>
            <w:r w:rsidRPr="003650FC">
              <w:rPr>
                <w:rFonts w:cs="Times New Roman"/>
                <w:b w:val="0"/>
                <w:lang w:val="eu-ES"/>
              </w:rPr>
              <w:t>Era berean, azken lege horrek 13.4 artikuluan hain zuzen ere, ezarritakoari jarraituz, Euskadiko Irakurketa Publikoko Sarearen helburu nagusia da herritarrei beren kultura- eta informazio-erregistroetara sartzeko aukera ematea, bai eta ahalik eta sarbide zabalena ematea ere erabilera publiko orokorreko kanpoko liburutegietako zerbitzuetan eskuragarri dauden informazio- eta kultura-edukietara. Aurreko araudia osatuz, 13.2.b) eta 19. artikuluetan aurreikusten du erabilera publiko orokorreko liburutegiak Euskadiko irakurketa publikoko sarean sartzea, dagozkien hitzarmenen bidez.</w:t>
            </w:r>
          </w:p>
          <w:p w14:paraId="1D4A4CEB" w14:textId="77777777" w:rsidR="008D7389" w:rsidRPr="003650FC" w:rsidRDefault="008D7389" w:rsidP="00F76B68">
            <w:pPr>
              <w:pStyle w:val="Textoindependiente"/>
              <w:spacing w:after="400"/>
              <w:jc w:val="left"/>
              <w:rPr>
                <w:rFonts w:cs="Times New Roman"/>
                <w:b w:val="0"/>
                <w:lang w:val="eu-ES"/>
              </w:rPr>
            </w:pPr>
            <w:r w:rsidRPr="003650FC">
              <w:rPr>
                <w:rFonts w:cs="Times New Roman"/>
                <w:b w:val="0"/>
                <w:lang w:val="eu-ES"/>
              </w:rPr>
              <w:t>Foru esparruan, Arabako Foru Aldundiak kudeatzen ditu Ignacio Aldecoa Kultur Etxea eta Kultura eta Kirol Sailari atxikitako museoen eta zerbitzuen liburutegiak.</w:t>
            </w:r>
          </w:p>
          <w:p w14:paraId="69A39A5E" w14:textId="4675A425" w:rsidR="008D7389" w:rsidRPr="003650FC" w:rsidRDefault="008D7389" w:rsidP="00F76B68">
            <w:pPr>
              <w:pStyle w:val="Textoindependiente"/>
              <w:spacing w:after="760"/>
              <w:jc w:val="left"/>
              <w:rPr>
                <w:rFonts w:cs="Times New Roman"/>
                <w:b w:val="0"/>
                <w:lang w:val="eu-ES"/>
              </w:rPr>
            </w:pPr>
            <w:r w:rsidRPr="003650FC">
              <w:rPr>
                <w:rFonts w:cs="Times New Roman"/>
                <w:b w:val="0"/>
                <w:lang w:val="eu-ES"/>
              </w:rPr>
              <w:t>Beraz, bi erakundeek lankidetza-hitzarmen bat sinatu nahi dute Ignacio Aldecoa Kultur Etxea eta Kultura eta Kirol Sailari atxikitako museoetako eta zerbitzuetako liburutegiak Euskadiko Irakurketa Publikoko Sarean mantentzeko</w:t>
            </w:r>
          </w:p>
          <w:p w14:paraId="6BC54FF2" w14:textId="77777777" w:rsidR="008D7389" w:rsidRPr="003650FC" w:rsidRDefault="008D7389" w:rsidP="00F76B68">
            <w:pPr>
              <w:pStyle w:val="Textoindependiente"/>
              <w:spacing w:after="480"/>
              <w:jc w:val="left"/>
              <w:rPr>
                <w:rFonts w:cs="Times New Roman"/>
                <w:b w:val="0"/>
                <w:lang w:val="eu-ES"/>
              </w:rPr>
            </w:pPr>
            <w:r w:rsidRPr="003650FC">
              <w:rPr>
                <w:rFonts w:cs="Times New Roman"/>
                <w:b w:val="0"/>
                <w:lang w:val="eu-ES"/>
              </w:rPr>
              <w:t xml:space="preserve">Arabako Foru Aldundiaren Foru Gobernu Kontseiluak aipatutako lankidetza hitzarmena sinatzea erabaki du. </w:t>
            </w:r>
          </w:p>
          <w:p w14:paraId="06080EC1" w14:textId="219527B2" w:rsidR="008D7389" w:rsidRPr="003650FC" w:rsidRDefault="008D7389" w:rsidP="00F76B68">
            <w:pPr>
              <w:pStyle w:val="Textoindependiente"/>
              <w:spacing w:after="480"/>
              <w:jc w:val="left"/>
              <w:rPr>
                <w:rFonts w:cs="Times New Roman"/>
                <w:b w:val="0"/>
                <w:lang w:val="eu-ES"/>
              </w:rPr>
            </w:pPr>
            <w:r w:rsidRPr="003650FC">
              <w:rPr>
                <w:rFonts w:cs="Times New Roman"/>
                <w:b w:val="0"/>
                <w:lang w:val="eu-ES"/>
              </w:rPr>
              <w:t>Arabako Lurralde Historiko</w:t>
            </w:r>
            <w:r w:rsidR="00AE6A62">
              <w:rPr>
                <w:rFonts w:cs="Times New Roman"/>
                <w:b w:val="0"/>
                <w:lang w:val="eu-ES"/>
              </w:rPr>
              <w:t>aren</w:t>
            </w:r>
            <w:r w:rsidRPr="003650FC">
              <w:rPr>
                <w:rFonts w:cs="Times New Roman"/>
                <w:b w:val="0"/>
                <w:lang w:val="eu-ES"/>
              </w:rPr>
              <w:t xml:space="preserve"> </w:t>
            </w:r>
            <w:r w:rsidR="00B75C77">
              <w:rPr>
                <w:rFonts w:cs="Times New Roman"/>
                <w:b w:val="0"/>
                <w:lang w:val="eu-ES"/>
              </w:rPr>
              <w:t>E</w:t>
            </w:r>
            <w:r w:rsidRPr="003650FC">
              <w:rPr>
                <w:rFonts w:cs="Times New Roman"/>
                <w:b w:val="0"/>
                <w:lang w:val="eu-ES"/>
              </w:rPr>
              <w:t xml:space="preserve">rakunde </w:t>
            </w:r>
            <w:r w:rsidR="00B75C77">
              <w:rPr>
                <w:rFonts w:cs="Times New Roman"/>
                <w:b w:val="0"/>
                <w:lang w:val="eu-ES"/>
              </w:rPr>
              <w:t>A</w:t>
            </w:r>
            <w:r w:rsidRPr="003650FC">
              <w:rPr>
                <w:rFonts w:cs="Times New Roman"/>
                <w:b w:val="0"/>
                <w:lang w:val="eu-ES"/>
              </w:rPr>
              <w:t xml:space="preserve">ntolamenduari buruzko 1983ko martxoaren 7ko Foru Arauak 6.2.b) </w:t>
            </w:r>
            <w:r w:rsidR="00F76B68" w:rsidRPr="003650FC">
              <w:rPr>
                <w:rFonts w:cs="Times New Roman"/>
                <w:b w:val="0"/>
                <w:lang w:val="eu-ES"/>
              </w:rPr>
              <w:t xml:space="preserve">3 </w:t>
            </w:r>
            <w:r w:rsidRPr="003650FC">
              <w:rPr>
                <w:rFonts w:cs="Times New Roman"/>
                <w:b w:val="0"/>
                <w:lang w:val="eu-ES"/>
              </w:rPr>
              <w:t xml:space="preserve">artikuluan eta Batzar Nagusien Funtzionamendu Arautegiari buruzko apirilaren 22ko 17/2013 Foru Arauak 145.2 artikuluan xedatzen dute Batzar Nagusiei dagokiela berrestea Foru Aldundiak egindako proposamenak, Eusko </w:t>
            </w:r>
            <w:r w:rsidRPr="003650FC">
              <w:rPr>
                <w:rFonts w:cs="Times New Roman"/>
                <w:b w:val="0"/>
                <w:lang w:val="eu-ES"/>
              </w:rPr>
              <w:lastRenderedPageBreak/>
              <w:t>Jaurlaritzarekin, Estatuarekin eta beste lurralde historiko, autonomia erkidego edo probintzia batzuekin sinatutako hitzarmenen arloan.</w:t>
            </w:r>
          </w:p>
          <w:p w14:paraId="7EE8271F" w14:textId="6D67707D" w:rsidR="008D7389" w:rsidRPr="003650FC" w:rsidRDefault="00F76B68" w:rsidP="00F76B68">
            <w:pPr>
              <w:pStyle w:val="Default"/>
              <w:spacing w:after="200"/>
              <w:rPr>
                <w:sz w:val="22"/>
                <w:lang w:val="eu-ES"/>
              </w:rPr>
            </w:pPr>
            <w:r w:rsidRPr="003650FC">
              <w:rPr>
                <w:sz w:val="22"/>
                <w:lang w:val="eu-ES"/>
              </w:rPr>
              <w:t>Arabako Foru Aldundiaren Gobernu, Antolaketa eta Araubide Juridikoari buruzko martxoaren 15eko 10/2023 Foru Arauaren 6.1.b) 3. artikuluan xedatutakoa</w:t>
            </w:r>
            <w:r w:rsidR="00AE6A62">
              <w:rPr>
                <w:sz w:val="22"/>
                <w:lang w:val="eu-ES"/>
              </w:rPr>
              <w:t xml:space="preserve"> aztertu da</w:t>
            </w:r>
            <w:r w:rsidRPr="003650FC">
              <w:rPr>
                <w:sz w:val="22"/>
                <w:lang w:val="eu-ES"/>
              </w:rPr>
              <w:t>.</w:t>
            </w:r>
          </w:p>
          <w:p w14:paraId="4A9B3F9D" w14:textId="7F91799D" w:rsidR="00F76B68" w:rsidRPr="003650FC" w:rsidRDefault="00F76B68" w:rsidP="00F76B68">
            <w:pPr>
              <w:pStyle w:val="Default"/>
              <w:spacing w:after="200"/>
              <w:rPr>
                <w:sz w:val="22"/>
                <w:lang w:val="eu-ES"/>
              </w:rPr>
            </w:pPr>
          </w:p>
        </w:tc>
        <w:tc>
          <w:tcPr>
            <w:tcW w:w="283" w:type="dxa"/>
          </w:tcPr>
          <w:p w14:paraId="40E43543" w14:textId="77777777" w:rsidR="008D7389" w:rsidRPr="003650FC" w:rsidRDefault="008D7389" w:rsidP="00580FAF">
            <w:pPr>
              <w:pStyle w:val="Textoindependiente"/>
              <w:jc w:val="left"/>
              <w:rPr>
                <w:b w:val="0"/>
                <w:lang w:val="eu-ES"/>
              </w:rPr>
            </w:pPr>
          </w:p>
        </w:tc>
        <w:tc>
          <w:tcPr>
            <w:tcW w:w="4253" w:type="dxa"/>
            <w:shd w:val="clear" w:color="auto" w:fill="auto"/>
          </w:tcPr>
          <w:p w14:paraId="06F2079C" w14:textId="77777777" w:rsidR="008D7389" w:rsidRPr="003650FC" w:rsidRDefault="008D7389" w:rsidP="008D7389">
            <w:pPr>
              <w:pStyle w:val="Textoindependiente"/>
              <w:jc w:val="left"/>
              <w:rPr>
                <w:rFonts w:cs="Times New Roman"/>
                <w:b w:val="0"/>
                <w:lang w:val="eu-ES"/>
              </w:rPr>
            </w:pPr>
            <w:r w:rsidRPr="003650FC">
              <w:rPr>
                <w:rFonts w:cs="Times New Roman"/>
                <w:b w:val="0"/>
                <w:lang w:val="eu-ES"/>
              </w:rPr>
              <w:t>El Estatuto de Autonomía del País Vasco, en su artículo 10.20, establece que corresponde a la Comunidad Autónoma del País Vasco la competencia exclusiva en materia de bibliotecas que no sean de titularidad estatal.</w:t>
            </w:r>
          </w:p>
          <w:p w14:paraId="0E1A9B2E" w14:textId="77777777" w:rsidR="008D7389" w:rsidRPr="003650FC" w:rsidRDefault="008D7389" w:rsidP="008D7389">
            <w:pPr>
              <w:pStyle w:val="Textoindependiente"/>
              <w:jc w:val="left"/>
              <w:rPr>
                <w:rFonts w:cs="Times New Roman"/>
                <w:b w:val="0"/>
                <w:lang w:val="eu-ES"/>
              </w:rPr>
            </w:pPr>
            <w:r w:rsidRPr="003650FC">
              <w:rPr>
                <w:rFonts w:cs="Times New Roman"/>
                <w:b w:val="0"/>
                <w:lang w:val="eu-ES"/>
              </w:rPr>
              <w:t xml:space="preserve">Tal reconocimiento competencial, en el ámbito territorial de la Comunidad Autónoma de Euskadi, ha de conjugarse con la distribución competencial operada por la Ley 27/1983, de 25 de noviembre, de Relaciones entre las Instituciones Comunes de la Comunidad Autónoma y los Órganos Forales de sus Territorios Históricos, en cuanto atribuye a las diputaciones competencia exclusiva en lo relativo a bibliotecas bajo su titularidad. En este sentido se expresa el artículo 7. a) 12. de la misma norma, indicando que los Órganos Forales de los Territorios Históricos tienen competencia exclusiva, que ejercitarán de acuerdo con el régimen jurídico privativo de cada uno de ellos, en la materia de bibliotecas. </w:t>
            </w:r>
          </w:p>
          <w:p w14:paraId="2DBFED55" w14:textId="77777777" w:rsidR="008D7389" w:rsidRPr="003650FC" w:rsidRDefault="008D7389" w:rsidP="008D7389">
            <w:pPr>
              <w:pStyle w:val="Textoindependiente"/>
              <w:jc w:val="left"/>
              <w:rPr>
                <w:rFonts w:cs="Times New Roman"/>
                <w:b w:val="0"/>
                <w:lang w:val="eu-ES"/>
              </w:rPr>
            </w:pPr>
            <w:r w:rsidRPr="003650FC">
              <w:rPr>
                <w:rFonts w:cs="Times New Roman"/>
                <w:b w:val="0"/>
                <w:lang w:val="eu-ES"/>
              </w:rPr>
              <w:t xml:space="preserve">La Ley 11/2007, de 26 de octubre, de Bibliotecas de Euskadi establece en su artículo 6.2 que al departamento del Gobierno Vasco competente en materia de cultura le corresponderá desarrollar la planificación de los servicios bibliotecarios ofrecidos por el Sistema Bibliotecario de Euskadi, ejerciendo esta competencia sobre </w:t>
            </w:r>
            <w:r w:rsidRPr="003650FC">
              <w:rPr>
                <w:rFonts w:cs="Times New Roman"/>
                <w:b w:val="0"/>
                <w:lang w:val="eu-ES"/>
              </w:rPr>
              <w:lastRenderedPageBreak/>
              <w:t xml:space="preserve">todas las bibliotecas de titularidad pública de competencia de la comunidad autónoma, así como sobre aquellas otras bibliotecas de titularidad privada, foral o estatal que se incorporen voluntariamente al Sistema Bibliotecario de Euskadi o a la Red de Lectura Pública de Euskadi. </w:t>
            </w:r>
          </w:p>
          <w:p w14:paraId="3700A381" w14:textId="77777777" w:rsidR="008D7389" w:rsidRPr="003650FC" w:rsidRDefault="008D7389" w:rsidP="008D7389">
            <w:pPr>
              <w:pStyle w:val="Textoindependiente"/>
              <w:jc w:val="left"/>
              <w:rPr>
                <w:rFonts w:cs="Times New Roman"/>
                <w:b w:val="0"/>
                <w:lang w:val="eu-ES"/>
              </w:rPr>
            </w:pPr>
            <w:r w:rsidRPr="003650FC">
              <w:rPr>
                <w:rFonts w:cs="Times New Roman"/>
                <w:b w:val="0"/>
                <w:lang w:val="eu-ES"/>
              </w:rPr>
              <w:t>Asimismo, esta última ley establece en su artículo 13.4 que la Red de Lectura Pública de Euskadi tiene como objeto primordial proporcionar a los ciudadanos el acceso a sus registros culturales y de información, así como el más amplio acceso posible a los contenidos informativos y culturales externos disponibles en el conjunto de servicios de las bibliotecas de uso público general. Completando la regulación anterior, también establece en sus artículos 13.2.b) y 19, la integración de las bibliotecas de uso público general en la Red de Lectura Pública de Euskadi, mediante los correspondientes convenios.</w:t>
            </w:r>
          </w:p>
          <w:p w14:paraId="2E8D6C99" w14:textId="77777777" w:rsidR="008D7389" w:rsidRPr="003650FC" w:rsidRDefault="008D7389" w:rsidP="008D7389">
            <w:pPr>
              <w:pStyle w:val="Textoindependiente"/>
              <w:jc w:val="left"/>
              <w:rPr>
                <w:rFonts w:cs="Times New Roman"/>
                <w:b w:val="0"/>
                <w:lang w:val="eu-ES"/>
              </w:rPr>
            </w:pPr>
            <w:r w:rsidRPr="003650FC">
              <w:rPr>
                <w:rFonts w:cs="Times New Roman"/>
                <w:b w:val="0"/>
                <w:lang w:val="eu-ES"/>
              </w:rPr>
              <w:t xml:space="preserve">En el ámbito foral, la Diputación Foral de Álava gestiona la Casa de Cultura Ignacio Aldecoa y las bibliotecas de los museos y de los servicios adscritos al Departamento de Cultura y Deporte. </w:t>
            </w:r>
          </w:p>
          <w:p w14:paraId="028BF02B" w14:textId="77777777" w:rsidR="008D7389" w:rsidRPr="003650FC" w:rsidRDefault="008D7389" w:rsidP="008D7389">
            <w:pPr>
              <w:pStyle w:val="Textoindependiente"/>
              <w:jc w:val="left"/>
              <w:rPr>
                <w:rFonts w:cs="Times New Roman"/>
                <w:b w:val="0"/>
                <w:lang w:val="eu-ES"/>
              </w:rPr>
            </w:pPr>
            <w:r w:rsidRPr="003650FC">
              <w:rPr>
                <w:rFonts w:cs="Times New Roman"/>
                <w:b w:val="0"/>
                <w:lang w:val="eu-ES"/>
              </w:rPr>
              <w:t>Por lo tanto, ambas instituciones están interesadas en suscribir un convenio de colaboración para la permanencia de la Casa de la Cultura Ignacio Aldecoa y las bibliotecas de los museos y de los servicios adscritos al Departamento de Cultura y Deporte en la Red de Lectura Pública de Euskadi.</w:t>
            </w:r>
          </w:p>
          <w:p w14:paraId="33884EAE" w14:textId="77777777" w:rsidR="008D7389" w:rsidRPr="003650FC" w:rsidRDefault="008D7389" w:rsidP="008D7389">
            <w:pPr>
              <w:tabs>
                <w:tab w:val="left" w:pos="993"/>
              </w:tabs>
              <w:spacing w:after="240"/>
              <w:rPr>
                <w:sz w:val="22"/>
              </w:rPr>
            </w:pPr>
            <w:r w:rsidRPr="003650FC">
              <w:rPr>
                <w:sz w:val="22"/>
              </w:rPr>
              <w:t xml:space="preserve">El Consejo de Gobierno Foral de la Diputación Foral de Álava ha acordado la suscripción del citado Convenio de colaboración </w:t>
            </w:r>
          </w:p>
          <w:p w14:paraId="2694D69F" w14:textId="77777777" w:rsidR="008D7389" w:rsidRPr="003650FC" w:rsidRDefault="008D7389" w:rsidP="008D7389">
            <w:pPr>
              <w:tabs>
                <w:tab w:val="left" w:pos="993"/>
              </w:tabs>
              <w:spacing w:after="240"/>
              <w:rPr>
                <w:sz w:val="22"/>
              </w:rPr>
            </w:pPr>
            <w:r w:rsidRPr="003650FC">
              <w:rPr>
                <w:sz w:val="22"/>
              </w:rPr>
              <w:t xml:space="preserve">De conformidad con lo previsto en el artículo  6.2.b) 3 de la Norma Foral de 7 de marzo de 1983 sobre Organización Institucional del Territorio Histórico de Álava, y en el artículo 145.2 de la Norma Foral 17/2013, de 22 de abril, del Reglamento de Funcionamiento de las Juntas Generales de Álava, corresponde a las Juntas Generales la ratificación de las </w:t>
            </w:r>
            <w:r w:rsidRPr="003650FC">
              <w:rPr>
                <w:sz w:val="22"/>
              </w:rPr>
              <w:lastRenderedPageBreak/>
              <w:t>propuestas de la Diputación Foral en el caso de Convenios con el Gobierno Vasco o el del Estado, con otros Territorios Históricos, Comunidades Autónomas o Provincia.</w:t>
            </w:r>
          </w:p>
          <w:p w14:paraId="36FA6B87" w14:textId="5B6C37D7" w:rsidR="008D7389" w:rsidRPr="003650FC" w:rsidRDefault="008D7389" w:rsidP="008D7389">
            <w:pPr>
              <w:pStyle w:val="Default"/>
              <w:spacing w:after="200"/>
              <w:rPr>
                <w:sz w:val="22"/>
              </w:rPr>
            </w:pPr>
            <w:r w:rsidRPr="003650FC">
              <w:rPr>
                <w:sz w:val="22"/>
              </w:rPr>
              <w:t xml:space="preserve">Visto lo dispuesto en el artículo </w:t>
            </w:r>
            <w:r w:rsidRPr="003650FC">
              <w:rPr>
                <w:sz w:val="22"/>
                <w:szCs w:val="22"/>
              </w:rPr>
              <w:t>6.1.b) 3. de la Norma Foral 10/2023, de 15 de marzo, de gobierno, organización y régimen jurídico de la Diputación Foral de Álava</w:t>
            </w:r>
            <w:r w:rsidR="00F76B68" w:rsidRPr="003650FC">
              <w:rPr>
                <w:sz w:val="22"/>
                <w:szCs w:val="22"/>
              </w:rPr>
              <w:t>.</w:t>
            </w:r>
          </w:p>
          <w:p w14:paraId="0E950DFB" w14:textId="77777777" w:rsidR="008D7389" w:rsidRPr="003650FC" w:rsidRDefault="008D7389" w:rsidP="00580FAF">
            <w:pPr>
              <w:tabs>
                <w:tab w:val="left" w:pos="993"/>
              </w:tabs>
              <w:rPr>
                <w:sz w:val="22"/>
                <w:lang w:val="es-ES"/>
              </w:rPr>
            </w:pPr>
          </w:p>
        </w:tc>
      </w:tr>
      <w:tr w:rsidR="008D7389" w:rsidRPr="002C48B7" w14:paraId="56A6DA3B" w14:textId="77777777" w:rsidTr="00580FAF">
        <w:tc>
          <w:tcPr>
            <w:tcW w:w="4361" w:type="dxa"/>
            <w:shd w:val="clear" w:color="auto" w:fill="auto"/>
          </w:tcPr>
          <w:p w14:paraId="23FED4CD" w14:textId="77777777" w:rsidR="008D7389" w:rsidRPr="003650FC" w:rsidRDefault="008D7389" w:rsidP="00F76B68">
            <w:pPr>
              <w:tabs>
                <w:tab w:val="left" w:pos="993"/>
              </w:tabs>
              <w:spacing w:after="480"/>
              <w:rPr>
                <w:b/>
                <w:sz w:val="22"/>
              </w:rPr>
            </w:pPr>
            <w:r w:rsidRPr="003650FC">
              <w:rPr>
                <w:b/>
                <w:sz w:val="22"/>
              </w:rPr>
              <w:lastRenderedPageBreak/>
              <w:t>Artikulu bakarra</w:t>
            </w:r>
          </w:p>
          <w:p w14:paraId="2710727D" w14:textId="77777777" w:rsidR="00F76B68" w:rsidRPr="003650FC" w:rsidRDefault="00F76B68" w:rsidP="00F76B68">
            <w:pPr>
              <w:tabs>
                <w:tab w:val="left" w:pos="993"/>
              </w:tabs>
              <w:spacing w:after="240"/>
              <w:rPr>
                <w:sz w:val="22"/>
              </w:rPr>
            </w:pPr>
            <w:r w:rsidRPr="003650FC">
              <w:rPr>
                <w:sz w:val="22"/>
              </w:rPr>
              <w:t>Berrestea Eusko Jaurlaritzako Kultura eta Hizkuntza Politika Sailaren eta Arabako Foru Aldundiaren arteko lankidetza-hitzarmena, Ignacio Aldecoa Kultura Etxea eta Kultura eta Kirol Sailari atxikitako museoetako eta zerbitzuetako liburutegiak Euskadiko irakurketa publikoko sarean irauteko.</w:t>
            </w:r>
          </w:p>
          <w:p w14:paraId="02A47313" w14:textId="77777777" w:rsidR="008D7389" w:rsidRPr="003650FC" w:rsidRDefault="008D7389" w:rsidP="00580FAF">
            <w:pPr>
              <w:jc w:val="both"/>
              <w:rPr>
                <w:sz w:val="22"/>
                <w:lang w:val="es-ES"/>
              </w:rPr>
            </w:pPr>
          </w:p>
        </w:tc>
        <w:tc>
          <w:tcPr>
            <w:tcW w:w="283" w:type="dxa"/>
          </w:tcPr>
          <w:p w14:paraId="79DF5D0B" w14:textId="77777777" w:rsidR="008D7389" w:rsidRPr="003650FC" w:rsidRDefault="008D7389" w:rsidP="00580FAF">
            <w:pPr>
              <w:tabs>
                <w:tab w:val="left" w:pos="993"/>
              </w:tabs>
              <w:rPr>
                <w:b/>
                <w:sz w:val="22"/>
              </w:rPr>
            </w:pPr>
          </w:p>
        </w:tc>
        <w:tc>
          <w:tcPr>
            <w:tcW w:w="4253" w:type="dxa"/>
            <w:shd w:val="clear" w:color="auto" w:fill="auto"/>
          </w:tcPr>
          <w:p w14:paraId="0901683B" w14:textId="77777777" w:rsidR="008D7389" w:rsidRPr="003650FC" w:rsidRDefault="008D7389" w:rsidP="00F76B68">
            <w:pPr>
              <w:tabs>
                <w:tab w:val="left" w:pos="993"/>
              </w:tabs>
              <w:spacing w:after="480"/>
              <w:rPr>
                <w:b/>
                <w:sz w:val="22"/>
              </w:rPr>
            </w:pPr>
            <w:r w:rsidRPr="003650FC">
              <w:rPr>
                <w:b/>
                <w:sz w:val="22"/>
              </w:rPr>
              <w:t>Artículo Único</w:t>
            </w:r>
          </w:p>
          <w:p w14:paraId="16084760" w14:textId="599DDB1A" w:rsidR="008D7389" w:rsidRPr="002C48B7" w:rsidRDefault="008D7389" w:rsidP="00580FAF">
            <w:pPr>
              <w:tabs>
                <w:tab w:val="left" w:pos="993"/>
              </w:tabs>
              <w:spacing w:after="240"/>
              <w:rPr>
                <w:sz w:val="22"/>
              </w:rPr>
            </w:pPr>
            <w:r w:rsidRPr="003650FC">
              <w:rPr>
                <w:sz w:val="22"/>
              </w:rPr>
              <w:t>Ratificar el Convenio de colaboración a suscribir entre el Departamento de Cultura y Política Lingüística del Gobierno Vasco y la Diputación Foral de Álava para la permanencia de la Casa de la Cultura Ignacio Aldecoa y las bibliotecas de los museos y de los servicios adscritos al Departamento de Cultura y Deporte en la red de lectura pública de Euskadi.</w:t>
            </w:r>
            <w:r>
              <w:rPr>
                <w:sz w:val="22"/>
              </w:rPr>
              <w:t xml:space="preserve"> </w:t>
            </w:r>
          </w:p>
        </w:tc>
      </w:tr>
    </w:tbl>
    <w:p w14:paraId="5A0EF7A7" w14:textId="77777777" w:rsidR="008D7389" w:rsidRDefault="008D7389" w:rsidP="008D7389"/>
    <w:p w14:paraId="2E4542ED" w14:textId="77777777" w:rsidR="007311B4" w:rsidRDefault="007311B4"/>
    <w:sectPr w:rsidR="007311B4">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2BA0" w14:textId="77777777" w:rsidR="008D7389" w:rsidRDefault="008D7389" w:rsidP="008D7389">
      <w:r>
        <w:separator/>
      </w:r>
    </w:p>
  </w:endnote>
  <w:endnote w:type="continuationSeparator" w:id="0">
    <w:p w14:paraId="09C8F8E1" w14:textId="77777777" w:rsidR="008D7389" w:rsidRDefault="008D7389" w:rsidP="008D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36E1" w14:textId="77777777" w:rsidR="008D7389" w:rsidRDefault="008D7389" w:rsidP="008D7389">
      <w:r>
        <w:separator/>
      </w:r>
    </w:p>
  </w:footnote>
  <w:footnote w:type="continuationSeparator" w:id="0">
    <w:p w14:paraId="40991C1C" w14:textId="77777777" w:rsidR="008D7389" w:rsidRDefault="008D7389" w:rsidP="008D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7A6A" w14:textId="77777777" w:rsidR="008D7389" w:rsidRDefault="008D7389" w:rsidP="008D7389">
    <w:pPr>
      <w:pStyle w:val="Encabezado"/>
    </w:pPr>
  </w:p>
  <w:tbl>
    <w:tblPr>
      <w:tblW w:w="8620" w:type="dxa"/>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28"/>
      <w:gridCol w:w="1361"/>
      <w:gridCol w:w="3431"/>
    </w:tblGrid>
    <w:tr w:rsidR="008D7389" w14:paraId="6BE21ABA" w14:textId="77777777" w:rsidTr="00580FAF">
      <w:trPr>
        <w:cantSplit/>
        <w:trHeight w:val="338"/>
      </w:trPr>
      <w:tc>
        <w:tcPr>
          <w:tcW w:w="3828" w:type="dxa"/>
        </w:tcPr>
        <w:p w14:paraId="3C350E1F" w14:textId="77777777" w:rsidR="008D7389" w:rsidRDefault="008D7389" w:rsidP="008D7389">
          <w:pPr>
            <w:pStyle w:val="Encabezado"/>
          </w:pPr>
        </w:p>
      </w:tc>
      <w:tc>
        <w:tcPr>
          <w:tcW w:w="1361" w:type="dxa"/>
          <w:vMerge w:val="restart"/>
        </w:tcPr>
        <w:p w14:paraId="5A6B9E64" w14:textId="77777777" w:rsidR="008D7389" w:rsidRDefault="008D7389" w:rsidP="008D7389">
          <w:pPr>
            <w:pStyle w:val="Encabezado"/>
            <w:ind w:left="-239"/>
            <w:jc w:val="center"/>
          </w:pPr>
          <w:r>
            <w:rPr>
              <w:noProof/>
              <w:snapToGrid/>
              <w:lang w:val="es-ES"/>
            </w:rPr>
            <w:drawing>
              <wp:inline distT="0" distB="0" distL="0" distR="0" wp14:anchorId="5CBDA062" wp14:editId="71BEAA56">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431" w:type="dxa"/>
        </w:tcPr>
        <w:p w14:paraId="6DA84814" w14:textId="77777777" w:rsidR="008D7389" w:rsidRDefault="008D7389" w:rsidP="008D7389">
          <w:pPr>
            <w:pStyle w:val="Encabezado"/>
            <w:ind w:left="-41"/>
          </w:pPr>
        </w:p>
      </w:tc>
    </w:tr>
    <w:tr w:rsidR="008D7389" w14:paraId="279B8508" w14:textId="77777777" w:rsidTr="00580FAF">
      <w:trPr>
        <w:cantSplit/>
        <w:trHeight w:val="337"/>
      </w:trPr>
      <w:tc>
        <w:tcPr>
          <w:tcW w:w="3828" w:type="dxa"/>
        </w:tcPr>
        <w:p w14:paraId="5C284E53" w14:textId="77777777" w:rsidR="008D7389" w:rsidRDefault="008D7389" w:rsidP="008D7389">
          <w:pPr>
            <w:pStyle w:val="Encabezado"/>
          </w:pPr>
        </w:p>
      </w:tc>
      <w:tc>
        <w:tcPr>
          <w:tcW w:w="1361" w:type="dxa"/>
          <w:vMerge/>
        </w:tcPr>
        <w:p w14:paraId="1151B0A1" w14:textId="77777777" w:rsidR="008D7389" w:rsidRDefault="008D7389" w:rsidP="008D7389">
          <w:pPr>
            <w:pStyle w:val="Encabezado"/>
            <w:jc w:val="center"/>
          </w:pPr>
        </w:p>
      </w:tc>
      <w:tc>
        <w:tcPr>
          <w:tcW w:w="3431" w:type="dxa"/>
        </w:tcPr>
        <w:p w14:paraId="05F1C83D" w14:textId="77777777" w:rsidR="008D7389" w:rsidRDefault="008D7389" w:rsidP="008D7389">
          <w:pPr>
            <w:pStyle w:val="Encabezado"/>
          </w:pPr>
        </w:p>
      </w:tc>
    </w:tr>
  </w:tbl>
  <w:p w14:paraId="144B5894" w14:textId="77777777" w:rsidR="008D7389" w:rsidRDefault="008D7389" w:rsidP="008D7389">
    <w:pPr>
      <w:pStyle w:val="Encabezado"/>
    </w:pPr>
  </w:p>
  <w:p w14:paraId="2991E2FC" w14:textId="77777777" w:rsidR="008D7389" w:rsidRDefault="008D7389" w:rsidP="008D7389">
    <w:pPr>
      <w:pStyle w:val="Encabezado"/>
    </w:pPr>
  </w:p>
  <w:p w14:paraId="7D5CFBF8" w14:textId="77777777" w:rsidR="008D7389" w:rsidRDefault="008D73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89"/>
    <w:rsid w:val="002407DF"/>
    <w:rsid w:val="003650FC"/>
    <w:rsid w:val="00443844"/>
    <w:rsid w:val="004D0BC9"/>
    <w:rsid w:val="007311B4"/>
    <w:rsid w:val="0079618C"/>
    <w:rsid w:val="00817D56"/>
    <w:rsid w:val="008D7389"/>
    <w:rsid w:val="009160F6"/>
    <w:rsid w:val="009B3493"/>
    <w:rsid w:val="009B493C"/>
    <w:rsid w:val="00AE6A62"/>
    <w:rsid w:val="00B75C77"/>
    <w:rsid w:val="00F76B68"/>
    <w:rsid w:val="00FF14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D2AD"/>
  <w15:chartTrackingRefBased/>
  <w15:docId w15:val="{95374FDF-C669-42C8-8F8B-7D397155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89"/>
    <w:pPr>
      <w:spacing w:after="0" w:line="240" w:lineRule="auto"/>
    </w:pPr>
    <w:rPr>
      <w:rFonts w:ascii="Times New Roman" w:eastAsia="Times New Roman" w:hAnsi="Times New Roman" w:cs="Times New Roman"/>
      <w:snapToGrid w:val="0"/>
      <w:kern w:val="0"/>
      <w:sz w:val="20"/>
      <w:szCs w:val="20"/>
      <w:lang w:val="es-ES_tradnl" w:eastAsia="es-ES"/>
      <w14:ligatures w14:val="none"/>
    </w:rPr>
  </w:style>
  <w:style w:type="paragraph" w:styleId="Ttulo1">
    <w:name w:val="heading 1"/>
    <w:basedOn w:val="Normal"/>
    <w:next w:val="Normal"/>
    <w:link w:val="Ttulo1Car"/>
    <w:qFormat/>
    <w:rsid w:val="008D7389"/>
    <w:pPr>
      <w:keepNext/>
      <w:spacing w:after="480"/>
      <w:outlineLvl w:val="0"/>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D7389"/>
    <w:pPr>
      <w:spacing w:after="240"/>
      <w:jc w:val="both"/>
    </w:pPr>
    <w:rPr>
      <w:rFonts w:cs="Arial"/>
      <w:b/>
      <w:snapToGrid/>
      <w:sz w:val="22"/>
      <w:lang w:val="es-ES" w:bidi="or-IN"/>
    </w:rPr>
  </w:style>
  <w:style w:type="character" w:customStyle="1" w:styleId="TextoindependienteCar">
    <w:name w:val="Texto independiente Car"/>
    <w:basedOn w:val="Fuentedeprrafopredeter"/>
    <w:link w:val="Textoindependiente"/>
    <w:semiHidden/>
    <w:rsid w:val="008D7389"/>
    <w:rPr>
      <w:rFonts w:ascii="Times New Roman" w:eastAsia="Times New Roman" w:hAnsi="Times New Roman" w:cs="Arial"/>
      <w:b/>
      <w:kern w:val="0"/>
      <w:szCs w:val="20"/>
      <w:lang w:eastAsia="es-ES" w:bidi="or-IN"/>
      <w14:ligatures w14:val="none"/>
    </w:rPr>
  </w:style>
  <w:style w:type="paragraph" w:styleId="Encabezado">
    <w:name w:val="header"/>
    <w:basedOn w:val="Normal"/>
    <w:link w:val="EncabezadoCar"/>
    <w:unhideWhenUsed/>
    <w:rsid w:val="008D7389"/>
    <w:pPr>
      <w:tabs>
        <w:tab w:val="center" w:pos="4252"/>
        <w:tab w:val="right" w:pos="8504"/>
      </w:tabs>
    </w:pPr>
  </w:style>
  <w:style w:type="character" w:customStyle="1" w:styleId="EncabezadoCar">
    <w:name w:val="Encabezado Car"/>
    <w:basedOn w:val="Fuentedeprrafopredeter"/>
    <w:link w:val="Encabezado"/>
    <w:uiPriority w:val="99"/>
    <w:rsid w:val="008D7389"/>
    <w:rPr>
      <w:rFonts w:ascii="Times New Roman" w:eastAsia="Times New Roman" w:hAnsi="Times New Roman" w:cs="Times New Roman"/>
      <w:snapToGrid w:val="0"/>
      <w:kern w:val="0"/>
      <w:sz w:val="20"/>
      <w:szCs w:val="20"/>
      <w:lang w:val="es-ES_tradnl" w:eastAsia="es-ES"/>
      <w14:ligatures w14:val="none"/>
    </w:rPr>
  </w:style>
  <w:style w:type="paragraph" w:styleId="Piedepgina">
    <w:name w:val="footer"/>
    <w:basedOn w:val="Normal"/>
    <w:link w:val="PiedepginaCar"/>
    <w:uiPriority w:val="99"/>
    <w:unhideWhenUsed/>
    <w:rsid w:val="008D7389"/>
    <w:pPr>
      <w:tabs>
        <w:tab w:val="center" w:pos="4252"/>
        <w:tab w:val="right" w:pos="8504"/>
      </w:tabs>
    </w:pPr>
  </w:style>
  <w:style w:type="character" w:customStyle="1" w:styleId="PiedepginaCar">
    <w:name w:val="Pie de página Car"/>
    <w:basedOn w:val="Fuentedeprrafopredeter"/>
    <w:link w:val="Piedepgina"/>
    <w:uiPriority w:val="99"/>
    <w:rsid w:val="008D7389"/>
    <w:rPr>
      <w:rFonts w:ascii="Times New Roman" w:eastAsia="Times New Roman" w:hAnsi="Times New Roman" w:cs="Times New Roman"/>
      <w:snapToGrid w:val="0"/>
      <w:kern w:val="0"/>
      <w:sz w:val="20"/>
      <w:szCs w:val="20"/>
      <w:lang w:val="es-ES_tradnl" w:eastAsia="es-ES"/>
      <w14:ligatures w14:val="none"/>
    </w:rPr>
  </w:style>
  <w:style w:type="character" w:customStyle="1" w:styleId="Ttulo1Car">
    <w:name w:val="Título 1 Car"/>
    <w:basedOn w:val="Fuentedeprrafopredeter"/>
    <w:link w:val="Ttulo1"/>
    <w:rsid w:val="008D7389"/>
    <w:rPr>
      <w:rFonts w:ascii="Arial" w:eastAsia="Times New Roman" w:hAnsi="Arial" w:cs="Times New Roman"/>
      <w:b/>
      <w:snapToGrid w:val="0"/>
      <w:kern w:val="0"/>
      <w:szCs w:val="20"/>
      <w:lang w:val="es-ES_tradnl" w:eastAsia="es-ES"/>
      <w14:ligatures w14:val="none"/>
    </w:rPr>
  </w:style>
  <w:style w:type="paragraph" w:customStyle="1" w:styleId="Default">
    <w:name w:val="Default"/>
    <w:rsid w:val="008D738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249583">
      <w:bodyDiv w:val="1"/>
      <w:marLeft w:val="0"/>
      <w:marRight w:val="0"/>
      <w:marTop w:val="0"/>
      <w:marBottom w:val="0"/>
      <w:divBdr>
        <w:top w:val="none" w:sz="0" w:space="0" w:color="auto"/>
        <w:left w:val="none" w:sz="0" w:space="0" w:color="auto"/>
        <w:bottom w:val="none" w:sz="0" w:space="0" w:color="auto"/>
        <w:right w:val="none" w:sz="0" w:space="0" w:color="auto"/>
      </w:divBdr>
      <w:divsChild>
        <w:div w:id="608199122">
          <w:marLeft w:val="-225"/>
          <w:marRight w:val="-225"/>
          <w:marTop w:val="0"/>
          <w:marBottom w:val="0"/>
          <w:divBdr>
            <w:top w:val="none" w:sz="0" w:space="0" w:color="auto"/>
            <w:left w:val="none" w:sz="0" w:space="0" w:color="auto"/>
            <w:bottom w:val="none" w:sz="0" w:space="0" w:color="auto"/>
            <w:right w:val="none" w:sz="0" w:space="0" w:color="auto"/>
          </w:divBdr>
          <w:divsChild>
            <w:div w:id="19692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6622</Characters>
  <Application>Microsoft Office Word</Application>
  <DocSecurity>4</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Guede Arana, Susana</dc:creator>
  <cp:keywords/>
  <dc:description/>
  <cp:lastModifiedBy>Urien Salterain, Karoline</cp:lastModifiedBy>
  <cp:revision>2</cp:revision>
  <dcterms:created xsi:type="dcterms:W3CDTF">2024-05-13T10:29:00Z</dcterms:created>
  <dcterms:modified xsi:type="dcterms:W3CDTF">2024-05-13T10:29:00Z</dcterms:modified>
</cp:coreProperties>
</file>