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5" w:type="dxa"/>
        <w:tblLayout w:type="fixed"/>
        <w:tblCellMar>
          <w:left w:w="0" w:type="dxa"/>
          <w:right w:w="0" w:type="dxa"/>
        </w:tblCellMar>
        <w:tblLook w:val="04A0" w:firstRow="1" w:lastRow="0" w:firstColumn="1" w:lastColumn="0" w:noHBand="0" w:noVBand="1"/>
      </w:tblPr>
      <w:tblGrid>
        <w:gridCol w:w="4375"/>
        <w:gridCol w:w="21"/>
        <w:gridCol w:w="4679"/>
      </w:tblGrid>
      <w:tr w:rsidR="001032FB" w14:paraId="2E24D743" w14:textId="77777777" w:rsidTr="00A153A6">
        <w:trPr>
          <w:trHeight w:val="2093"/>
        </w:trPr>
        <w:tc>
          <w:tcPr>
            <w:tcW w:w="4375" w:type="dxa"/>
            <w:hideMark/>
          </w:tcPr>
          <w:p w14:paraId="2A212AF0" w14:textId="77777777" w:rsidR="00BA5C8F" w:rsidRPr="002E6E2A" w:rsidRDefault="00BA5C8F" w:rsidP="00BA5C8F">
            <w:pPr>
              <w:pStyle w:val="Ttulo1"/>
              <w:spacing w:before="120" w:after="120"/>
              <w:jc w:val="both"/>
              <w:rPr>
                <w:rFonts w:ascii="Times New Roman" w:hAnsi="Times New Roman"/>
                <w:b w:val="0"/>
                <w:sz w:val="22"/>
                <w:u w:val="none"/>
                <w:lang w:eastAsia="en-US"/>
              </w:rPr>
            </w:pPr>
            <w:proofErr w:type="spellStart"/>
            <w:r>
              <w:rPr>
                <w:rFonts w:ascii="Times New Roman" w:hAnsi="Times New Roman"/>
                <w:sz w:val="22"/>
                <w:lang w:eastAsia="en-US"/>
              </w:rPr>
              <w:t>Erref</w:t>
            </w:r>
            <w:proofErr w:type="spellEnd"/>
            <w:r>
              <w:rPr>
                <w:rFonts w:ascii="Times New Roman" w:hAnsi="Times New Roman"/>
                <w:sz w:val="22"/>
                <w:lang w:eastAsia="en-US"/>
              </w:rPr>
              <w:t xml:space="preserve"> / </w:t>
            </w:r>
            <w:proofErr w:type="spellStart"/>
            <w:r>
              <w:rPr>
                <w:rFonts w:ascii="Times New Roman" w:hAnsi="Times New Roman"/>
                <w:sz w:val="22"/>
                <w:lang w:eastAsia="en-US"/>
              </w:rPr>
              <w:t>Ref</w:t>
            </w:r>
            <w:proofErr w:type="spellEnd"/>
            <w:r>
              <w:rPr>
                <w:rFonts w:ascii="Times New Roman" w:hAnsi="Times New Roman"/>
                <w:b w:val="0"/>
                <w:sz w:val="22"/>
                <w:u w:val="none"/>
                <w:lang w:eastAsia="en-US"/>
              </w:rPr>
              <w:t xml:space="preserve">: Recurso Especial de DELTA SEGURIDAD, S.A.U., contra la </w:t>
            </w:r>
            <w:r w:rsidRPr="002E6E2A">
              <w:rPr>
                <w:rFonts w:ascii="Times New Roman" w:hAnsi="Times New Roman"/>
                <w:b w:val="0"/>
                <w:sz w:val="22"/>
                <w:u w:val="none"/>
                <w:lang w:eastAsia="en-US"/>
              </w:rPr>
              <w:t>adjudicación de</w:t>
            </w:r>
            <w:r>
              <w:rPr>
                <w:rFonts w:ascii="Times New Roman" w:hAnsi="Times New Roman"/>
                <w:b w:val="0"/>
                <w:sz w:val="22"/>
                <w:u w:val="none"/>
                <w:lang w:eastAsia="en-US"/>
              </w:rPr>
              <w:t xml:space="preserve"> la licitación para la contratación del servicio de vigilancia y seguridad de </w:t>
            </w:r>
            <w:proofErr w:type="spellStart"/>
            <w:r>
              <w:rPr>
                <w:rFonts w:ascii="Times New Roman" w:hAnsi="Times New Roman"/>
                <w:b w:val="0"/>
                <w:sz w:val="22"/>
                <w:u w:val="none"/>
                <w:lang w:eastAsia="en-US"/>
              </w:rPr>
              <w:t>Artium</w:t>
            </w:r>
            <w:proofErr w:type="spellEnd"/>
            <w:r>
              <w:rPr>
                <w:rFonts w:ascii="Times New Roman" w:hAnsi="Times New Roman"/>
                <w:b w:val="0"/>
                <w:sz w:val="22"/>
                <w:u w:val="none"/>
                <w:lang w:eastAsia="en-US"/>
              </w:rPr>
              <w:t xml:space="preserve"> </w:t>
            </w:r>
            <w:proofErr w:type="spellStart"/>
            <w:r>
              <w:rPr>
                <w:rFonts w:ascii="Times New Roman" w:hAnsi="Times New Roman"/>
                <w:b w:val="0"/>
                <w:sz w:val="22"/>
                <w:u w:val="none"/>
                <w:lang w:eastAsia="en-US"/>
              </w:rPr>
              <w:t>Museoa</w:t>
            </w:r>
            <w:proofErr w:type="spellEnd"/>
            <w:r>
              <w:rPr>
                <w:rFonts w:ascii="Times New Roman" w:hAnsi="Times New Roman"/>
                <w:b w:val="0"/>
                <w:sz w:val="22"/>
                <w:u w:val="none"/>
                <w:lang w:eastAsia="en-US"/>
              </w:rPr>
              <w:t>.</w:t>
            </w:r>
          </w:p>
          <w:p w14:paraId="710033FC" w14:textId="55790F21" w:rsidR="001032FB" w:rsidRDefault="00BA5C8F" w:rsidP="00BA5C8F">
            <w:pPr>
              <w:pStyle w:val="Ttulo1"/>
              <w:spacing w:before="120" w:after="120" w:line="276" w:lineRule="auto"/>
              <w:rPr>
                <w:rFonts w:ascii="Times New Roman" w:hAnsi="Times New Roman"/>
                <w:b w:val="0"/>
                <w:sz w:val="22"/>
                <w:lang w:eastAsia="en-US"/>
              </w:rPr>
            </w:pPr>
            <w:proofErr w:type="spellStart"/>
            <w:r>
              <w:rPr>
                <w:rFonts w:ascii="Times New Roman" w:hAnsi="Times New Roman"/>
                <w:sz w:val="22"/>
                <w:lang w:eastAsia="en-US"/>
              </w:rPr>
              <w:t>Esp</w:t>
            </w:r>
            <w:proofErr w:type="spellEnd"/>
            <w:r>
              <w:rPr>
                <w:rFonts w:ascii="Times New Roman" w:hAnsi="Times New Roman"/>
                <w:sz w:val="22"/>
                <w:lang w:eastAsia="en-US"/>
              </w:rPr>
              <w:t xml:space="preserve"> </w:t>
            </w:r>
            <w:proofErr w:type="spellStart"/>
            <w:r>
              <w:rPr>
                <w:rFonts w:ascii="Times New Roman" w:hAnsi="Times New Roman"/>
                <w:sz w:val="22"/>
                <w:lang w:eastAsia="en-US"/>
              </w:rPr>
              <w:t>Zenb</w:t>
            </w:r>
            <w:proofErr w:type="spellEnd"/>
            <w:r>
              <w:rPr>
                <w:rFonts w:ascii="Times New Roman" w:hAnsi="Times New Roman"/>
                <w:sz w:val="22"/>
                <w:lang w:eastAsia="en-US"/>
              </w:rPr>
              <w:t xml:space="preserve"> / Nº </w:t>
            </w:r>
            <w:proofErr w:type="spellStart"/>
            <w:r>
              <w:rPr>
                <w:rFonts w:ascii="Times New Roman" w:hAnsi="Times New Roman"/>
                <w:sz w:val="22"/>
                <w:lang w:eastAsia="en-US"/>
              </w:rPr>
              <w:t>exp</w:t>
            </w:r>
            <w:proofErr w:type="spellEnd"/>
            <w:r>
              <w:rPr>
                <w:rFonts w:ascii="Times New Roman" w:hAnsi="Times New Roman"/>
                <w:b w:val="0"/>
                <w:sz w:val="22"/>
                <w:u w:val="none"/>
                <w:lang w:eastAsia="en-US"/>
              </w:rPr>
              <w:t>: 2024/1</w:t>
            </w:r>
          </w:p>
        </w:tc>
        <w:tc>
          <w:tcPr>
            <w:tcW w:w="21" w:type="dxa"/>
            <w:hideMark/>
          </w:tcPr>
          <w:p w14:paraId="2FD73193" w14:textId="7A19EB15" w:rsidR="001032FB" w:rsidRDefault="001032FB" w:rsidP="001032FB">
            <w:pPr>
              <w:spacing w:before="120" w:after="120" w:line="276" w:lineRule="auto"/>
              <w:rPr>
                <w:lang w:eastAsia="en-US"/>
              </w:rPr>
            </w:pPr>
            <w:r>
              <w:rPr>
                <w:lang w:val="es-ES_tradnl" w:eastAsia="en-US"/>
              </w:rPr>
              <w:t xml:space="preserve"> </w:t>
            </w:r>
          </w:p>
        </w:tc>
        <w:tc>
          <w:tcPr>
            <w:tcW w:w="4679" w:type="dxa"/>
          </w:tcPr>
          <w:p w14:paraId="4F5C8BCD" w14:textId="77777777" w:rsidR="001032FB" w:rsidRDefault="001032FB" w:rsidP="001032FB">
            <w:pPr>
              <w:pStyle w:val="Piedepgina"/>
              <w:tabs>
                <w:tab w:val="clear" w:pos="4252"/>
                <w:tab w:val="right" w:pos="4677"/>
              </w:tabs>
              <w:spacing w:before="120" w:after="120" w:line="276" w:lineRule="auto"/>
              <w:rPr>
                <w:b/>
                <w:lang w:eastAsia="en-US"/>
              </w:rPr>
            </w:pPr>
          </w:p>
          <w:p w14:paraId="20E5E23C" w14:textId="77777777" w:rsidR="001032FB" w:rsidRDefault="001032FB" w:rsidP="001032FB">
            <w:pPr>
              <w:spacing w:line="276" w:lineRule="auto"/>
              <w:jc w:val="center"/>
              <w:rPr>
                <w:b/>
                <w:lang w:eastAsia="en-US"/>
              </w:rPr>
            </w:pPr>
          </w:p>
        </w:tc>
      </w:tr>
    </w:tbl>
    <w:p w14:paraId="1D580EC2" w14:textId="77777777" w:rsidR="00982B25" w:rsidRDefault="00982B25" w:rsidP="0050231A">
      <w:pPr>
        <w:spacing w:after="240" w:line="276" w:lineRule="auto"/>
        <w:jc w:val="both"/>
        <w:rPr>
          <w:b/>
          <w:sz w:val="22"/>
          <w:szCs w:val="22"/>
        </w:rPr>
      </w:pPr>
    </w:p>
    <w:p w14:paraId="69D416AE" w14:textId="7986C144" w:rsidR="00202C87" w:rsidRPr="00202C87" w:rsidRDefault="00202C87" w:rsidP="00202C87">
      <w:pPr>
        <w:spacing w:after="240" w:line="276" w:lineRule="auto"/>
        <w:jc w:val="center"/>
        <w:rPr>
          <w:b/>
          <w:sz w:val="22"/>
          <w:szCs w:val="22"/>
          <w:u w:val="single"/>
        </w:rPr>
      </w:pPr>
      <w:r w:rsidRPr="00202C87">
        <w:rPr>
          <w:b/>
          <w:sz w:val="22"/>
          <w:szCs w:val="22"/>
          <w:u w:val="single"/>
        </w:rPr>
        <w:t>RESOLUCION 3/2024</w:t>
      </w:r>
    </w:p>
    <w:p w14:paraId="2C87E464" w14:textId="77777777" w:rsidR="003E62C9" w:rsidRDefault="003E62C9" w:rsidP="003E62C9">
      <w:pPr>
        <w:spacing w:after="240" w:line="276" w:lineRule="auto"/>
        <w:rPr>
          <w:b/>
          <w:sz w:val="22"/>
          <w:szCs w:val="22"/>
        </w:rPr>
      </w:pPr>
    </w:p>
    <w:p w14:paraId="65514FDC" w14:textId="34C2B433" w:rsidR="003E62C9" w:rsidRPr="003E62C9" w:rsidRDefault="003E62C9" w:rsidP="003E62C9">
      <w:pPr>
        <w:spacing w:after="240" w:line="276" w:lineRule="auto"/>
        <w:rPr>
          <w:bCs/>
          <w:sz w:val="22"/>
          <w:szCs w:val="22"/>
        </w:rPr>
      </w:pPr>
      <w:r w:rsidRPr="003E62C9">
        <w:rPr>
          <w:bCs/>
          <w:sz w:val="22"/>
          <w:szCs w:val="22"/>
        </w:rPr>
        <w:t>En Vitoria-Gasteiz, a 11 de abril de 2024</w:t>
      </w:r>
    </w:p>
    <w:p w14:paraId="040C124B" w14:textId="41B15865" w:rsidR="00982B25" w:rsidRPr="000C6A30" w:rsidRDefault="00982B25" w:rsidP="00982B25">
      <w:pPr>
        <w:spacing w:before="120" w:after="120"/>
        <w:jc w:val="both"/>
        <w:rPr>
          <w:sz w:val="22"/>
        </w:rPr>
      </w:pPr>
      <w:r>
        <w:rPr>
          <w:sz w:val="22"/>
        </w:rPr>
        <w:t xml:space="preserve">El Órgano Administrativo Foral de Recursos Contractuales de la Diputación Foral de Álava ha dictado la siguiente RESOLUCIÓN SOBRE PERIODO PROBATORIO en el Recurso Especial en materia de contratación interpuesto por D. José Antonio Martin Casado, en representación de la mercantil </w:t>
      </w:r>
      <w:r>
        <w:rPr>
          <w:bCs/>
          <w:sz w:val="22"/>
          <w:lang w:eastAsia="en-US"/>
        </w:rPr>
        <w:t xml:space="preserve">DELTA SEGURIDAD, S.A.U, </w:t>
      </w:r>
      <w:r>
        <w:rPr>
          <w:sz w:val="22"/>
        </w:rPr>
        <w:t xml:space="preserve">contra la resolución del Comité Ejecutivo </w:t>
      </w:r>
      <w:r w:rsidRPr="003254F5">
        <w:rPr>
          <w:bCs/>
          <w:sz w:val="22"/>
          <w:lang w:eastAsia="en-US"/>
        </w:rPr>
        <w:t xml:space="preserve">de </w:t>
      </w:r>
      <w:r>
        <w:rPr>
          <w:bCs/>
          <w:sz w:val="22"/>
          <w:lang w:eastAsia="en-US"/>
        </w:rPr>
        <w:t xml:space="preserve">la Fundación </w:t>
      </w:r>
      <w:proofErr w:type="spellStart"/>
      <w:r w:rsidRPr="003254F5">
        <w:rPr>
          <w:bCs/>
          <w:sz w:val="22"/>
          <w:lang w:eastAsia="en-US"/>
        </w:rPr>
        <w:t>Artium</w:t>
      </w:r>
      <w:proofErr w:type="spellEnd"/>
      <w:r w:rsidRPr="003254F5">
        <w:rPr>
          <w:bCs/>
          <w:sz w:val="22"/>
          <w:lang w:eastAsia="en-US"/>
        </w:rPr>
        <w:t xml:space="preserve"> </w:t>
      </w:r>
      <w:r>
        <w:rPr>
          <w:bCs/>
          <w:sz w:val="22"/>
          <w:lang w:eastAsia="en-US"/>
        </w:rPr>
        <w:t>de Álava</w:t>
      </w:r>
      <w:r w:rsidRPr="003254F5">
        <w:rPr>
          <w:bCs/>
          <w:sz w:val="22"/>
          <w:lang w:eastAsia="en-US"/>
        </w:rPr>
        <w:t>,</w:t>
      </w:r>
      <w:r>
        <w:rPr>
          <w:bCs/>
          <w:sz w:val="22"/>
          <w:lang w:eastAsia="en-US"/>
        </w:rPr>
        <w:t xml:space="preserve"> de 12 de febrero de 2024, de adjudicación de la licitación para la contratación d</w:t>
      </w:r>
      <w:r>
        <w:rPr>
          <w:sz w:val="22"/>
        </w:rPr>
        <w:t xml:space="preserve">el servicio de vigilancia y seguridad de </w:t>
      </w:r>
      <w:proofErr w:type="spellStart"/>
      <w:r w:rsidRPr="000C6A30">
        <w:rPr>
          <w:sz w:val="22"/>
        </w:rPr>
        <w:t>Artium</w:t>
      </w:r>
      <w:proofErr w:type="spellEnd"/>
      <w:r w:rsidRPr="000C6A30">
        <w:rPr>
          <w:sz w:val="22"/>
        </w:rPr>
        <w:t xml:space="preserve"> </w:t>
      </w:r>
      <w:proofErr w:type="spellStart"/>
      <w:r w:rsidRPr="000C6A30">
        <w:rPr>
          <w:sz w:val="22"/>
        </w:rPr>
        <w:t>Museoa</w:t>
      </w:r>
      <w:proofErr w:type="spellEnd"/>
      <w:r>
        <w:rPr>
          <w:sz w:val="22"/>
        </w:rPr>
        <w:t xml:space="preserve"> (</w:t>
      </w:r>
      <w:proofErr w:type="spellStart"/>
      <w:r>
        <w:rPr>
          <w:sz w:val="22"/>
        </w:rPr>
        <w:t>expte</w:t>
      </w:r>
      <w:proofErr w:type="spellEnd"/>
      <w:r>
        <w:rPr>
          <w:sz w:val="22"/>
        </w:rPr>
        <w:t xml:space="preserve">. </w:t>
      </w:r>
      <w:r w:rsidRPr="003254F5">
        <w:rPr>
          <w:sz w:val="22"/>
        </w:rPr>
        <w:t>2</w:t>
      </w:r>
      <w:r>
        <w:rPr>
          <w:sz w:val="22"/>
        </w:rPr>
        <w:t>0</w:t>
      </w:r>
      <w:r w:rsidRPr="003254F5">
        <w:rPr>
          <w:sz w:val="22"/>
        </w:rPr>
        <w:t>2</w:t>
      </w:r>
      <w:r>
        <w:rPr>
          <w:sz w:val="22"/>
        </w:rPr>
        <w:t>308).</w:t>
      </w:r>
    </w:p>
    <w:p w14:paraId="5E267E04" w14:textId="77777777" w:rsidR="00982B25" w:rsidRDefault="00982B25" w:rsidP="00982B25">
      <w:pPr>
        <w:tabs>
          <w:tab w:val="left" w:pos="3261"/>
        </w:tabs>
        <w:spacing w:after="120" w:line="276" w:lineRule="auto"/>
        <w:jc w:val="both"/>
        <w:rPr>
          <w:sz w:val="22"/>
        </w:rPr>
      </w:pPr>
      <w:r>
        <w:rPr>
          <w:sz w:val="22"/>
        </w:rPr>
        <w:t>Son partes en dicho recurso: como RECURRENTE, DELTA SEGURIDAD, S.A.U,</w:t>
      </w:r>
      <w:r w:rsidRPr="003254F5">
        <w:rPr>
          <w:sz w:val="22"/>
        </w:rPr>
        <w:t xml:space="preserve"> </w:t>
      </w:r>
      <w:r>
        <w:rPr>
          <w:sz w:val="22"/>
        </w:rPr>
        <w:t>y, como DEMANDADA FUNDACIÓN ARTIUM DE ÁLAVA.</w:t>
      </w:r>
    </w:p>
    <w:p w14:paraId="05BD5731" w14:textId="77777777" w:rsidR="00982B25" w:rsidRDefault="00982B25" w:rsidP="00982B25">
      <w:pPr>
        <w:spacing w:before="120" w:after="120"/>
        <w:jc w:val="both"/>
        <w:rPr>
          <w:sz w:val="22"/>
        </w:rPr>
      </w:pPr>
      <w:r>
        <w:rPr>
          <w:sz w:val="22"/>
        </w:rPr>
        <w:t>Visto el recurso especial interpuesto, este Órgano efectúa las siguientes consideraciones:</w:t>
      </w:r>
    </w:p>
    <w:p w14:paraId="4BC6B051" w14:textId="77777777" w:rsidR="00982B25" w:rsidRDefault="00982B25" w:rsidP="00982B25">
      <w:pPr>
        <w:spacing w:after="120"/>
        <w:jc w:val="center"/>
        <w:rPr>
          <w:b/>
          <w:sz w:val="22"/>
        </w:rPr>
      </w:pPr>
    </w:p>
    <w:p w14:paraId="2066F223" w14:textId="77777777" w:rsidR="00982B25" w:rsidRDefault="00982B25" w:rsidP="00982B25">
      <w:pPr>
        <w:spacing w:after="120"/>
        <w:jc w:val="center"/>
        <w:rPr>
          <w:b/>
          <w:sz w:val="22"/>
        </w:rPr>
      </w:pPr>
      <w:r>
        <w:rPr>
          <w:b/>
          <w:sz w:val="22"/>
        </w:rPr>
        <w:t>ANTECEDENTES DE HECHO</w:t>
      </w:r>
    </w:p>
    <w:p w14:paraId="2863F2F8" w14:textId="77777777" w:rsidR="00982B25" w:rsidRDefault="00982B25" w:rsidP="00982B25">
      <w:pPr>
        <w:pStyle w:val="Estilo1"/>
        <w:tabs>
          <w:tab w:val="left" w:pos="567"/>
        </w:tabs>
        <w:ind w:firstLine="0"/>
        <w:rPr>
          <w:b/>
          <w:sz w:val="22"/>
          <w:szCs w:val="22"/>
          <w:lang w:val="es-ES"/>
        </w:rPr>
      </w:pPr>
    </w:p>
    <w:p w14:paraId="1D6CEE29" w14:textId="77777777" w:rsidR="00982B25" w:rsidRPr="000C6A30" w:rsidRDefault="00982B25" w:rsidP="00982B25">
      <w:pPr>
        <w:spacing w:before="120" w:after="240"/>
        <w:jc w:val="both"/>
        <w:rPr>
          <w:sz w:val="22"/>
        </w:rPr>
      </w:pPr>
      <w:r>
        <w:rPr>
          <w:b/>
          <w:iCs/>
          <w:sz w:val="22"/>
        </w:rPr>
        <w:t>Primero</w:t>
      </w:r>
      <w:r w:rsidRPr="00F07DDD">
        <w:rPr>
          <w:b/>
          <w:iCs/>
          <w:sz w:val="22"/>
        </w:rPr>
        <w:t>.</w:t>
      </w:r>
      <w:r>
        <w:rPr>
          <w:b/>
          <w:iCs/>
          <w:sz w:val="22"/>
        </w:rPr>
        <w:t xml:space="preserve"> </w:t>
      </w:r>
      <w:r>
        <w:rPr>
          <w:bCs/>
          <w:iCs/>
          <w:sz w:val="22"/>
        </w:rPr>
        <w:t xml:space="preserve">Con fecha 5 de marzo de 2024 tiene entrada en el Registro Electrónico Común de la Diputación Foral de Álava escrito de recurso especial en materia de contratación interpuesto por </w:t>
      </w:r>
      <w:r w:rsidRPr="00C76D50">
        <w:rPr>
          <w:bCs/>
          <w:iCs/>
          <w:sz w:val="22"/>
        </w:rPr>
        <w:t xml:space="preserve">DELTA SEGURIDAD, S.A.U, </w:t>
      </w:r>
      <w:r>
        <w:rPr>
          <w:sz w:val="22"/>
        </w:rPr>
        <w:t xml:space="preserve">contra la resolución del Comité Ejecutivo </w:t>
      </w:r>
      <w:r w:rsidRPr="003254F5">
        <w:rPr>
          <w:bCs/>
          <w:sz w:val="22"/>
          <w:lang w:eastAsia="en-US"/>
        </w:rPr>
        <w:t xml:space="preserve">de </w:t>
      </w:r>
      <w:r>
        <w:rPr>
          <w:bCs/>
          <w:sz w:val="22"/>
          <w:lang w:eastAsia="en-US"/>
        </w:rPr>
        <w:t xml:space="preserve">la Fundación </w:t>
      </w:r>
      <w:proofErr w:type="spellStart"/>
      <w:r w:rsidRPr="003254F5">
        <w:rPr>
          <w:bCs/>
          <w:sz w:val="22"/>
          <w:lang w:eastAsia="en-US"/>
        </w:rPr>
        <w:t>Artium</w:t>
      </w:r>
      <w:proofErr w:type="spellEnd"/>
      <w:r w:rsidRPr="003254F5">
        <w:rPr>
          <w:bCs/>
          <w:sz w:val="22"/>
          <w:lang w:eastAsia="en-US"/>
        </w:rPr>
        <w:t xml:space="preserve"> </w:t>
      </w:r>
      <w:r>
        <w:rPr>
          <w:bCs/>
          <w:sz w:val="22"/>
          <w:lang w:eastAsia="en-US"/>
        </w:rPr>
        <w:t>de Álava</w:t>
      </w:r>
      <w:r w:rsidRPr="003254F5">
        <w:rPr>
          <w:bCs/>
          <w:sz w:val="22"/>
          <w:lang w:eastAsia="en-US"/>
        </w:rPr>
        <w:t>,</w:t>
      </w:r>
      <w:r>
        <w:rPr>
          <w:bCs/>
          <w:sz w:val="22"/>
          <w:lang w:eastAsia="en-US"/>
        </w:rPr>
        <w:t xml:space="preserve"> de 12 de febrero de 2024, de adjudicación de la licitación para la contratación d</w:t>
      </w:r>
      <w:r>
        <w:rPr>
          <w:sz w:val="22"/>
        </w:rPr>
        <w:t xml:space="preserve">el servicio de vigilancia y seguridad de </w:t>
      </w:r>
      <w:proofErr w:type="spellStart"/>
      <w:r w:rsidRPr="000C6A30">
        <w:rPr>
          <w:sz w:val="22"/>
        </w:rPr>
        <w:t>Artium</w:t>
      </w:r>
      <w:proofErr w:type="spellEnd"/>
      <w:r w:rsidRPr="000C6A30">
        <w:rPr>
          <w:sz w:val="22"/>
        </w:rPr>
        <w:t xml:space="preserve"> </w:t>
      </w:r>
      <w:proofErr w:type="spellStart"/>
      <w:r w:rsidRPr="000C6A30">
        <w:rPr>
          <w:sz w:val="22"/>
        </w:rPr>
        <w:t>Museoa</w:t>
      </w:r>
      <w:proofErr w:type="spellEnd"/>
      <w:r>
        <w:rPr>
          <w:sz w:val="22"/>
        </w:rPr>
        <w:t xml:space="preserve"> (</w:t>
      </w:r>
      <w:proofErr w:type="spellStart"/>
      <w:r>
        <w:rPr>
          <w:sz w:val="22"/>
        </w:rPr>
        <w:t>expte</w:t>
      </w:r>
      <w:proofErr w:type="spellEnd"/>
      <w:r>
        <w:rPr>
          <w:sz w:val="22"/>
        </w:rPr>
        <w:t xml:space="preserve">. </w:t>
      </w:r>
      <w:r w:rsidRPr="003254F5">
        <w:rPr>
          <w:sz w:val="22"/>
        </w:rPr>
        <w:t>2</w:t>
      </w:r>
      <w:r>
        <w:rPr>
          <w:sz w:val="22"/>
        </w:rPr>
        <w:t>0</w:t>
      </w:r>
      <w:r w:rsidRPr="003254F5">
        <w:rPr>
          <w:sz w:val="22"/>
        </w:rPr>
        <w:t>2</w:t>
      </w:r>
      <w:r>
        <w:rPr>
          <w:sz w:val="22"/>
        </w:rPr>
        <w:t>308).</w:t>
      </w:r>
    </w:p>
    <w:p w14:paraId="76F95B1B" w14:textId="77777777" w:rsidR="00982B25" w:rsidRPr="005A5B10" w:rsidRDefault="00982B25" w:rsidP="00982B25">
      <w:pPr>
        <w:spacing w:before="120" w:after="240"/>
        <w:jc w:val="both"/>
        <w:rPr>
          <w:bCs/>
          <w:sz w:val="22"/>
          <w:szCs w:val="22"/>
        </w:rPr>
      </w:pPr>
      <w:r>
        <w:rPr>
          <w:b/>
          <w:sz w:val="22"/>
        </w:rPr>
        <w:t xml:space="preserve">Segundo. </w:t>
      </w:r>
      <w:r>
        <w:rPr>
          <w:bCs/>
          <w:sz w:val="22"/>
        </w:rPr>
        <w:t xml:space="preserve">En su escrito la recurrente, tras alegar que GASTEIZ DE VIGILANCIA carece de Plan de Igualdad entre hombre y mujeres inscrito y publicado en el REGCON y manifestar que no consta en ningún documento la existencia del mentado plan de igualdad aprobado y vigente al momento de presentar la oferta la adjudicataria, solicita se requiera a la citada adjudicataria GASTEIZ DE VIGILANCIA para aportar el plan de igual aprobado. </w:t>
      </w:r>
    </w:p>
    <w:p w14:paraId="57290E32" w14:textId="77777777" w:rsidR="00982B25" w:rsidRPr="0057564F" w:rsidRDefault="00982B25" w:rsidP="00982B25">
      <w:pPr>
        <w:spacing w:before="120" w:after="240"/>
        <w:jc w:val="both"/>
        <w:rPr>
          <w:sz w:val="22"/>
          <w:szCs w:val="22"/>
        </w:rPr>
      </w:pPr>
      <w:r w:rsidRPr="0057564F">
        <w:rPr>
          <w:b/>
          <w:bCs/>
          <w:sz w:val="22"/>
          <w:szCs w:val="22"/>
          <w:lang w:val="es-ES_tradnl"/>
        </w:rPr>
        <w:t xml:space="preserve">Tercero. </w:t>
      </w:r>
      <w:r w:rsidRPr="0057564F">
        <w:rPr>
          <w:bCs/>
          <w:sz w:val="22"/>
          <w:szCs w:val="22"/>
          <w:lang w:val="es-ES_tradnl" w:bidi="or-IN"/>
        </w:rPr>
        <w:t xml:space="preserve">Con fecha 20 de marzo siguiente tiene entrada informe del OC en el que, entre otras, manifiesta que </w:t>
      </w:r>
      <w:r w:rsidRPr="0057564F">
        <w:rPr>
          <w:sz w:val="22"/>
          <w:szCs w:val="22"/>
        </w:rPr>
        <w:t xml:space="preserve">la empresa Gasteiz de Vigilancia ha manifestado a lo largo de todo el proceso de licitación y, posteriormente, ante el requerimiento de la Fundación, que dispone de un plan de igualdad, aprobado y en funcionamiento y que puede aportar documentación del plan y de las </w:t>
      </w:r>
      <w:r w:rsidRPr="0057564F">
        <w:rPr>
          <w:sz w:val="22"/>
          <w:szCs w:val="22"/>
        </w:rPr>
        <w:lastRenderedPageBreak/>
        <w:t xml:space="preserve">actas llevadas a cabo con la representación de legal de los trabajadores. También que realizó la inscripción del plan de igualdad en REGCON pero que no fue aceptada por cuestiones formales. </w:t>
      </w:r>
    </w:p>
    <w:p w14:paraId="5D1289E0" w14:textId="77777777" w:rsidR="00982B25" w:rsidRPr="0057564F" w:rsidRDefault="00982B25" w:rsidP="00982B25">
      <w:pPr>
        <w:spacing w:after="240"/>
        <w:jc w:val="both"/>
        <w:rPr>
          <w:b/>
          <w:bCs/>
          <w:sz w:val="22"/>
          <w:szCs w:val="22"/>
          <w:lang w:val="es-ES_tradnl"/>
        </w:rPr>
      </w:pPr>
    </w:p>
    <w:p w14:paraId="2B403DED" w14:textId="77777777" w:rsidR="00982B25" w:rsidRDefault="00982B25" w:rsidP="00982B25">
      <w:pPr>
        <w:spacing w:after="240"/>
        <w:jc w:val="center"/>
        <w:rPr>
          <w:b/>
          <w:sz w:val="22"/>
        </w:rPr>
      </w:pPr>
      <w:r>
        <w:rPr>
          <w:b/>
          <w:sz w:val="22"/>
        </w:rPr>
        <w:t>FUNDAMENTOS DE DERECHO</w:t>
      </w:r>
    </w:p>
    <w:p w14:paraId="5A9487FC" w14:textId="77777777" w:rsidR="00982B25" w:rsidRDefault="00982B25" w:rsidP="00982B25">
      <w:pPr>
        <w:spacing w:before="120" w:after="240"/>
        <w:jc w:val="both"/>
        <w:rPr>
          <w:i/>
          <w:iCs/>
          <w:color w:val="222222"/>
          <w:sz w:val="22"/>
          <w:szCs w:val="22"/>
          <w:shd w:val="clear" w:color="auto" w:fill="FFFFFF"/>
        </w:rPr>
      </w:pPr>
      <w:r w:rsidRPr="0057564F">
        <w:rPr>
          <w:b/>
          <w:sz w:val="22"/>
          <w:szCs w:val="22"/>
        </w:rPr>
        <w:t>PRIMERO</w:t>
      </w:r>
      <w:r>
        <w:rPr>
          <w:b/>
          <w:sz w:val="22"/>
          <w:szCs w:val="22"/>
        </w:rPr>
        <w:t xml:space="preserve">. </w:t>
      </w:r>
      <w:r w:rsidRPr="0057564F">
        <w:rPr>
          <w:sz w:val="22"/>
          <w:szCs w:val="22"/>
        </w:rPr>
        <w:t xml:space="preserve">El primer párrafo del artículo 56.4 de la Ley 9/2017, de 8 de noviembre, de Contratos del Sector Público dispone que: </w:t>
      </w:r>
      <w:r w:rsidRPr="0057564F">
        <w:rPr>
          <w:i/>
          <w:iCs/>
          <w:sz w:val="22"/>
          <w:szCs w:val="22"/>
        </w:rPr>
        <w:t>“</w:t>
      </w:r>
      <w:r w:rsidRPr="0057564F">
        <w:rPr>
          <w:i/>
          <w:iCs/>
          <w:color w:val="222222"/>
          <w:sz w:val="22"/>
          <w:szCs w:val="22"/>
          <w:shd w:val="clear" w:color="auto" w:fill="FFFFFF"/>
        </w:rPr>
        <w:t>Los hechos relevantes para la decisión del recurso podrán acreditarse por cualquier medio de prueba admisible en derecho. Cuando los interesados lo soliciten o el órgano encargado de la resolución del recurso no tenga por ciertos los hechos alegados por los interesados o la naturaleza del procedimiento lo exija, podrá acordarse la apertura del período de prueba por plazo de diez días hábiles, a fin de que puedan practicarse cuantas juzgue pertinentes.</w:t>
      </w:r>
      <w:r>
        <w:rPr>
          <w:i/>
          <w:iCs/>
          <w:color w:val="222222"/>
          <w:sz w:val="22"/>
          <w:szCs w:val="22"/>
          <w:shd w:val="clear" w:color="auto" w:fill="FFFFFF"/>
        </w:rPr>
        <w:t>”</w:t>
      </w:r>
    </w:p>
    <w:p w14:paraId="0F31B50D" w14:textId="77777777" w:rsidR="00982B25" w:rsidRDefault="00982B25" w:rsidP="00982B25">
      <w:pPr>
        <w:spacing w:before="120" w:after="240"/>
        <w:jc w:val="both"/>
        <w:rPr>
          <w:color w:val="222222"/>
          <w:sz w:val="22"/>
          <w:szCs w:val="22"/>
          <w:shd w:val="clear" w:color="auto" w:fill="FFFFFF"/>
        </w:rPr>
      </w:pPr>
      <w:r>
        <w:rPr>
          <w:b/>
          <w:bCs/>
          <w:color w:val="222222"/>
          <w:sz w:val="22"/>
          <w:szCs w:val="22"/>
          <w:shd w:val="clear" w:color="auto" w:fill="FFFFFF"/>
        </w:rPr>
        <w:t xml:space="preserve">SEGUNDO. </w:t>
      </w:r>
      <w:r>
        <w:rPr>
          <w:color w:val="222222"/>
          <w:sz w:val="22"/>
          <w:szCs w:val="22"/>
          <w:shd w:val="clear" w:color="auto" w:fill="FFFFFF"/>
        </w:rPr>
        <w:t xml:space="preserve">Según lo expuesto en los antecedentes de hecho, el objeto del recurso especial interpuesto es determinar si la adjudicataria GASTEIZ DE VIGILANCIA, S.L.U., empresa de 50 o más trabajadores, cuenta o no con un plan de igualdad entre hombre y mujeres aprobado y vigente a fecha de presentación de su oferta. </w:t>
      </w:r>
    </w:p>
    <w:p w14:paraId="00FB79C9" w14:textId="77777777" w:rsidR="00982B25" w:rsidRDefault="00982B25" w:rsidP="00982B25">
      <w:pPr>
        <w:spacing w:before="120" w:after="240"/>
        <w:jc w:val="both"/>
        <w:rPr>
          <w:color w:val="222222"/>
          <w:sz w:val="22"/>
          <w:szCs w:val="22"/>
          <w:shd w:val="clear" w:color="auto" w:fill="FFFFFF"/>
        </w:rPr>
      </w:pPr>
      <w:r>
        <w:rPr>
          <w:color w:val="222222"/>
          <w:sz w:val="22"/>
          <w:szCs w:val="22"/>
          <w:shd w:val="clear" w:color="auto" w:fill="FFFFFF"/>
        </w:rPr>
        <w:t xml:space="preserve">En consecuencia, la cuestión nuclear del recurso queda reducida a una cuestión probatoria. Así, la recurrente, si bien no solicita expresamente la apertura de un período de prueba, sí solicita en su escrito de interposición que se requiera a la adjudicataria GASTEIZ DE VIGILANCIA para aportar el plan de igualdad aprobado. </w:t>
      </w:r>
    </w:p>
    <w:p w14:paraId="4A7BC120" w14:textId="77777777" w:rsidR="00982B25" w:rsidRDefault="00982B25" w:rsidP="00982B25">
      <w:pPr>
        <w:spacing w:before="120" w:after="240"/>
        <w:jc w:val="both"/>
        <w:rPr>
          <w:color w:val="222222"/>
          <w:sz w:val="22"/>
          <w:szCs w:val="22"/>
          <w:shd w:val="clear" w:color="auto" w:fill="FFFFFF"/>
        </w:rPr>
      </w:pPr>
      <w:r>
        <w:rPr>
          <w:b/>
          <w:bCs/>
          <w:color w:val="222222"/>
          <w:sz w:val="22"/>
          <w:szCs w:val="22"/>
          <w:shd w:val="clear" w:color="auto" w:fill="FFFFFF"/>
        </w:rPr>
        <w:t xml:space="preserve">TERCERO. </w:t>
      </w:r>
      <w:r>
        <w:rPr>
          <w:color w:val="222222"/>
          <w:sz w:val="22"/>
          <w:szCs w:val="22"/>
          <w:shd w:val="clear" w:color="auto" w:fill="FFFFFF"/>
        </w:rPr>
        <w:t xml:space="preserve">Visto lo que antecede y conforme habilita el citado artículo 56.4 de la LCSP, este Tribunal considera </w:t>
      </w:r>
      <w:r w:rsidRPr="00F87368">
        <w:rPr>
          <w:color w:val="222222"/>
          <w:sz w:val="22"/>
          <w:szCs w:val="22"/>
          <w:shd w:val="clear" w:color="auto" w:fill="FFFFFF"/>
        </w:rPr>
        <w:t>necesario acordar la apertura de</w:t>
      </w:r>
      <w:r>
        <w:rPr>
          <w:color w:val="222222"/>
          <w:sz w:val="22"/>
          <w:szCs w:val="22"/>
          <w:shd w:val="clear" w:color="auto" w:fill="FFFFFF"/>
        </w:rPr>
        <w:t xml:space="preserve"> un</w:t>
      </w:r>
      <w:r w:rsidRPr="00F87368">
        <w:rPr>
          <w:color w:val="222222"/>
          <w:sz w:val="22"/>
          <w:szCs w:val="22"/>
          <w:shd w:val="clear" w:color="auto" w:fill="FFFFFF"/>
        </w:rPr>
        <w:t xml:space="preserve"> período de prueba por plazo de diez días hábiles, a fin de que</w:t>
      </w:r>
      <w:r>
        <w:rPr>
          <w:color w:val="222222"/>
          <w:sz w:val="22"/>
          <w:szCs w:val="22"/>
          <w:shd w:val="clear" w:color="auto" w:fill="FFFFFF"/>
        </w:rPr>
        <w:t xml:space="preserve"> GASTEIZ DE VIGILANCIA, S.L.U. acredite que dispone de un plan de igualdad entre hombre y mujeres aprobado y vigente a fecha de presentación de su oferta. </w:t>
      </w:r>
    </w:p>
    <w:p w14:paraId="08ACCFCE" w14:textId="77777777" w:rsidR="00982B25" w:rsidRPr="00DF6514" w:rsidRDefault="00982B25" w:rsidP="00982B25">
      <w:pPr>
        <w:autoSpaceDE w:val="0"/>
        <w:autoSpaceDN w:val="0"/>
        <w:adjustRightInd w:val="0"/>
        <w:spacing w:before="120" w:after="240"/>
        <w:jc w:val="both"/>
        <w:rPr>
          <w:rFonts w:eastAsiaTheme="minorHAnsi"/>
          <w:color w:val="333333"/>
          <w:sz w:val="22"/>
          <w:szCs w:val="22"/>
          <w:lang w:eastAsia="en-US"/>
        </w:rPr>
      </w:pPr>
      <w:r>
        <w:rPr>
          <w:sz w:val="22"/>
        </w:rPr>
        <w:t>Por lo anteriormente expuesto</w:t>
      </w:r>
      <w:r w:rsidRPr="00DF6514">
        <w:rPr>
          <w:rFonts w:eastAsiaTheme="minorHAnsi"/>
          <w:color w:val="333333"/>
          <w:sz w:val="22"/>
          <w:szCs w:val="22"/>
          <w:lang w:eastAsia="en-US"/>
        </w:rPr>
        <w:t xml:space="preserve">, de conformidad con los preceptos legales invocados y demás que resultan de aplicación, este Órgano Administrativo Foral de Recursos Contractuales emite la siguiente </w:t>
      </w:r>
    </w:p>
    <w:p w14:paraId="4981840F" w14:textId="77777777" w:rsidR="00982B25" w:rsidRDefault="00982B25" w:rsidP="00982B25">
      <w:pPr>
        <w:pStyle w:val="Textoindependiente"/>
        <w:spacing w:after="240"/>
        <w:jc w:val="center"/>
        <w:rPr>
          <w:rFonts w:ascii="Times New Roman" w:hAnsi="Times New Roman"/>
          <w:b/>
          <w:sz w:val="22"/>
        </w:rPr>
      </w:pPr>
      <w:r>
        <w:rPr>
          <w:rFonts w:ascii="Times New Roman" w:hAnsi="Times New Roman"/>
          <w:b/>
          <w:sz w:val="22"/>
        </w:rPr>
        <w:t>RESOLUCIÓN</w:t>
      </w:r>
    </w:p>
    <w:p w14:paraId="08B40D4B" w14:textId="77777777" w:rsidR="00982B25" w:rsidRPr="00FE36C6" w:rsidRDefault="00982B25" w:rsidP="00982B25">
      <w:pPr>
        <w:spacing w:before="120" w:after="240"/>
        <w:jc w:val="both"/>
        <w:rPr>
          <w:sz w:val="22"/>
        </w:rPr>
      </w:pPr>
      <w:r>
        <w:rPr>
          <w:rFonts w:eastAsiaTheme="minorHAnsi"/>
          <w:b/>
          <w:bCs/>
          <w:color w:val="333333"/>
          <w:sz w:val="22"/>
          <w:szCs w:val="22"/>
          <w:lang w:eastAsia="en-US"/>
        </w:rPr>
        <w:t>ÚNICO</w:t>
      </w:r>
      <w:r>
        <w:rPr>
          <w:rFonts w:eastAsiaTheme="minorHAnsi"/>
          <w:color w:val="333333"/>
          <w:sz w:val="22"/>
          <w:szCs w:val="22"/>
          <w:lang w:eastAsia="en-US"/>
        </w:rPr>
        <w:t xml:space="preserve">. </w:t>
      </w:r>
      <w:r w:rsidRPr="00DF6514">
        <w:rPr>
          <w:rFonts w:eastAsiaTheme="minorHAnsi"/>
          <w:color w:val="333333"/>
          <w:sz w:val="22"/>
          <w:szCs w:val="22"/>
          <w:lang w:eastAsia="en-US"/>
        </w:rPr>
        <w:t xml:space="preserve">Acordar de oficio la </w:t>
      </w:r>
      <w:r>
        <w:rPr>
          <w:rFonts w:eastAsiaTheme="minorHAnsi"/>
          <w:color w:val="333333"/>
          <w:sz w:val="22"/>
          <w:szCs w:val="22"/>
          <w:lang w:eastAsia="en-US"/>
        </w:rPr>
        <w:t xml:space="preserve">apertura de un período probatorio, por un plazo de 10 días hábiles, para que GASTEIZ DE VIGILANCIA, S.L.U. acredite por cualquier medio admisible en derecho el siguiente hecho: </w:t>
      </w:r>
      <w:r>
        <w:rPr>
          <w:sz w:val="22"/>
        </w:rPr>
        <w:t>“</w:t>
      </w:r>
      <w:r>
        <w:rPr>
          <w:color w:val="222222"/>
          <w:sz w:val="22"/>
          <w:szCs w:val="22"/>
          <w:shd w:val="clear" w:color="auto" w:fill="FFFFFF"/>
        </w:rPr>
        <w:t>Que dispone de un plan de igualdad entre hombre y mujeres aprobado y vigente a fecha de presentación de su oferta.</w:t>
      </w:r>
      <w:r>
        <w:rPr>
          <w:sz w:val="22"/>
        </w:rPr>
        <w:t>”</w:t>
      </w:r>
    </w:p>
    <w:p w14:paraId="75389DF9" w14:textId="7A33D9B9" w:rsidR="00982B25" w:rsidRDefault="00982B25" w:rsidP="00982B25">
      <w:pPr>
        <w:spacing w:after="240"/>
        <w:jc w:val="both"/>
        <w:rPr>
          <w:sz w:val="22"/>
          <w:szCs w:val="22"/>
        </w:rPr>
      </w:pPr>
      <w:r w:rsidRPr="009732E6">
        <w:rPr>
          <w:sz w:val="22"/>
          <w:szCs w:val="22"/>
        </w:rPr>
        <w:t>Contra la presente resolución no cabe recurso alguno, sin perjuicio del que proceda contra la resolución que se dicte en el procedimiento principal del recurso.</w:t>
      </w:r>
    </w:p>
    <w:sectPr w:rsidR="00982B25">
      <w:headerReference w:type="even" r:id="rId6"/>
      <w:headerReference w:type="default" r:id="rId7"/>
      <w:footerReference w:type="even" r:id="rId8"/>
      <w:footerReference w:type="default" r:id="rId9"/>
      <w:headerReference w:type="first" r:id="rId10"/>
      <w:footerReference w:type="first" r:id="rId11"/>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A06AC0" w14:textId="77777777" w:rsidR="0030160C" w:rsidRDefault="0030160C">
      <w:r>
        <w:separator/>
      </w:r>
    </w:p>
  </w:endnote>
  <w:endnote w:type="continuationSeparator" w:id="0">
    <w:p w14:paraId="1A087384" w14:textId="77777777" w:rsidR="0030160C" w:rsidRDefault="003016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CB29D5" w14:textId="77777777" w:rsidR="0030160C" w:rsidRDefault="0030160C">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68530770"/>
      <w:docPartObj>
        <w:docPartGallery w:val="Page Numbers (Bottom of Page)"/>
        <w:docPartUnique/>
      </w:docPartObj>
    </w:sdtPr>
    <w:sdtEndPr/>
    <w:sdtContent>
      <w:p w14:paraId="382628A5" w14:textId="77777777" w:rsidR="0030160C" w:rsidRDefault="0050231A">
        <w:pPr>
          <w:pStyle w:val="Piedepgina"/>
          <w:jc w:val="right"/>
        </w:pPr>
        <w:r>
          <w:fldChar w:fldCharType="begin"/>
        </w:r>
        <w:r>
          <w:instrText>PAGE   \* MERGEFORMAT</w:instrText>
        </w:r>
        <w:r>
          <w:fldChar w:fldCharType="separate"/>
        </w:r>
        <w:r>
          <w:rPr>
            <w:noProof/>
          </w:rPr>
          <w:t>3</w:t>
        </w:r>
        <w:r>
          <w:fldChar w:fldCharType="end"/>
        </w:r>
      </w:p>
    </w:sdtContent>
  </w:sdt>
  <w:p w14:paraId="2AF203F4" w14:textId="77777777" w:rsidR="0030160C" w:rsidRDefault="0030160C">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5EEDC9" w14:textId="77777777" w:rsidR="0030160C" w:rsidRDefault="0030160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4F5F2D" w14:textId="77777777" w:rsidR="0030160C" w:rsidRDefault="0030160C">
      <w:r>
        <w:separator/>
      </w:r>
    </w:p>
  </w:footnote>
  <w:footnote w:type="continuationSeparator" w:id="0">
    <w:p w14:paraId="78B8C3F1" w14:textId="77777777" w:rsidR="0030160C" w:rsidRDefault="003016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8C851C" w14:textId="77777777" w:rsidR="0030160C" w:rsidRDefault="0030160C">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70" w:type="dxa"/>
        <w:right w:w="70" w:type="dxa"/>
      </w:tblCellMar>
      <w:tblLook w:val="0000" w:firstRow="0" w:lastRow="0" w:firstColumn="0" w:lastColumn="0" w:noHBand="0" w:noVBand="0"/>
    </w:tblPr>
    <w:tblGrid>
      <w:gridCol w:w="4890"/>
      <w:gridCol w:w="4961"/>
    </w:tblGrid>
    <w:tr w:rsidR="00D70071" w:rsidRPr="00814F6B" w14:paraId="321B8937" w14:textId="77777777" w:rsidTr="006655E0">
      <w:tc>
        <w:tcPr>
          <w:tcW w:w="4890" w:type="dxa"/>
        </w:tcPr>
        <w:p w14:paraId="233B9163" w14:textId="77777777" w:rsidR="0030160C" w:rsidRPr="00814F6B" w:rsidRDefault="0050231A" w:rsidP="006655E0">
          <w:pPr>
            <w:tabs>
              <w:tab w:val="center" w:pos="4819"/>
              <w:tab w:val="right" w:pos="9071"/>
            </w:tabs>
            <w:spacing w:after="720"/>
            <w:ind w:left="74" w:right="360"/>
            <w:rPr>
              <w:rFonts w:ascii="Arial" w:hAnsi="Arial"/>
              <w:noProof/>
              <w:sz w:val="16"/>
              <w:lang w:val="es-ES_tradnl"/>
            </w:rPr>
          </w:pPr>
          <w:r w:rsidRPr="00814F6B">
            <w:rPr>
              <w:rFonts w:ascii="Arial" w:hAnsi="Arial"/>
              <w:noProof/>
            </w:rPr>
            <w:drawing>
              <wp:inline distT="0" distB="0" distL="0" distR="0" wp14:anchorId="5BBB4163" wp14:editId="39C8496F">
                <wp:extent cx="2076450" cy="7048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76450" cy="704850"/>
                        </a:xfrm>
                        <a:prstGeom prst="rect">
                          <a:avLst/>
                        </a:prstGeom>
                        <a:noFill/>
                        <a:ln>
                          <a:noFill/>
                        </a:ln>
                      </pic:spPr>
                    </pic:pic>
                  </a:graphicData>
                </a:graphic>
              </wp:inline>
            </w:drawing>
          </w:r>
        </w:p>
        <w:p w14:paraId="3F45364B" w14:textId="77777777" w:rsidR="0030160C" w:rsidRPr="00814F6B" w:rsidRDefault="0030160C" w:rsidP="006655E0">
          <w:pPr>
            <w:tabs>
              <w:tab w:val="center" w:pos="4819"/>
              <w:tab w:val="right" w:pos="9071"/>
            </w:tabs>
            <w:ind w:left="1064"/>
            <w:rPr>
              <w:rFonts w:ascii="Arial" w:hAnsi="Arial"/>
              <w:noProof/>
              <w:sz w:val="16"/>
              <w:lang w:val="es-ES_tradnl"/>
            </w:rPr>
          </w:pPr>
        </w:p>
      </w:tc>
      <w:tc>
        <w:tcPr>
          <w:tcW w:w="4961" w:type="dxa"/>
        </w:tcPr>
        <w:p w14:paraId="5D409EFB" w14:textId="77777777" w:rsidR="0030160C" w:rsidRPr="00814F6B" w:rsidRDefault="0030160C" w:rsidP="006655E0">
          <w:pPr>
            <w:tabs>
              <w:tab w:val="center" w:pos="4819"/>
              <w:tab w:val="right" w:pos="9071"/>
            </w:tabs>
            <w:spacing w:after="40" w:line="240" w:lineRule="exact"/>
            <w:ind w:left="-68"/>
            <w:rPr>
              <w:rFonts w:ascii="Arial" w:hAnsi="Arial"/>
              <w:b/>
              <w:noProof/>
              <w:sz w:val="18"/>
              <w:lang w:val="es-ES_tradnl"/>
            </w:rPr>
          </w:pPr>
        </w:p>
        <w:p w14:paraId="131FE4D1" w14:textId="77777777" w:rsidR="0030160C" w:rsidRPr="00814F6B" w:rsidRDefault="0050231A" w:rsidP="006655E0">
          <w:pPr>
            <w:tabs>
              <w:tab w:val="center" w:pos="4819"/>
              <w:tab w:val="right" w:pos="9071"/>
            </w:tabs>
            <w:spacing w:after="60" w:line="190" w:lineRule="exact"/>
            <w:ind w:left="-70"/>
            <w:rPr>
              <w:rFonts w:ascii="Arial" w:hAnsi="Arial"/>
              <w:noProof/>
              <w:sz w:val="18"/>
              <w:lang w:val="es-ES_tradnl"/>
            </w:rPr>
          </w:pPr>
          <w:r w:rsidRPr="00814F6B">
            <w:rPr>
              <w:rFonts w:ascii="Arial" w:hAnsi="Arial"/>
              <w:b/>
              <w:noProof/>
              <w:sz w:val="18"/>
              <w:lang w:val="es-ES_tradnl"/>
            </w:rPr>
            <w:t>Kontratu Errekurtsoen Foru Organo Administr</w:t>
          </w:r>
          <w:r>
            <w:rPr>
              <w:rFonts w:ascii="Arial" w:hAnsi="Arial"/>
              <w:b/>
              <w:noProof/>
              <w:sz w:val="18"/>
              <w:lang w:val="es-ES_tradnl"/>
            </w:rPr>
            <w:t>ati</w:t>
          </w:r>
          <w:r w:rsidRPr="00814F6B">
            <w:rPr>
              <w:rFonts w:ascii="Arial" w:hAnsi="Arial"/>
              <w:b/>
              <w:noProof/>
              <w:sz w:val="18"/>
              <w:lang w:val="es-ES_tradnl"/>
            </w:rPr>
            <w:t>boa</w:t>
          </w:r>
        </w:p>
        <w:p w14:paraId="4999F367" w14:textId="77777777" w:rsidR="0030160C" w:rsidRPr="00814F6B" w:rsidRDefault="0050231A" w:rsidP="006655E0">
          <w:pPr>
            <w:tabs>
              <w:tab w:val="center" w:pos="4819"/>
              <w:tab w:val="right" w:pos="9071"/>
            </w:tabs>
            <w:spacing w:after="60" w:line="190" w:lineRule="exact"/>
            <w:ind w:left="-70"/>
            <w:rPr>
              <w:rFonts w:ascii="Arial" w:hAnsi="Arial"/>
              <w:b/>
              <w:noProof/>
              <w:sz w:val="18"/>
              <w:lang w:val="es-ES_tradnl"/>
            </w:rPr>
          </w:pPr>
          <w:r w:rsidRPr="00814F6B">
            <w:rPr>
              <w:rFonts w:ascii="Arial" w:hAnsi="Arial"/>
              <w:b/>
              <w:noProof/>
              <w:sz w:val="18"/>
              <w:lang w:val="es-ES_tradnl"/>
            </w:rPr>
            <w:t>Órgano Administrativo Foral de Recursos Contractuales</w:t>
          </w:r>
        </w:p>
      </w:tc>
    </w:tr>
  </w:tbl>
  <w:p w14:paraId="656BD1CE" w14:textId="77777777" w:rsidR="0030160C" w:rsidRPr="00D70071" w:rsidRDefault="0030160C">
    <w:pPr>
      <w:pStyle w:val="Encabezado"/>
      <w:rPr>
        <w:lang w:val="es-ES_tradn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2F7BAC" w14:textId="77777777" w:rsidR="0030160C" w:rsidRDefault="0030160C">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63EA"/>
    <w:rsid w:val="001032FB"/>
    <w:rsid w:val="001D3818"/>
    <w:rsid w:val="00202C87"/>
    <w:rsid w:val="0030160C"/>
    <w:rsid w:val="003E62C9"/>
    <w:rsid w:val="004F1E1E"/>
    <w:rsid w:val="0050231A"/>
    <w:rsid w:val="00982B25"/>
    <w:rsid w:val="00AD63EA"/>
    <w:rsid w:val="00BA3264"/>
    <w:rsid w:val="00BA5C8F"/>
    <w:rsid w:val="00DA575E"/>
    <w:rsid w:val="00F9551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84F3AB"/>
  <w15:chartTrackingRefBased/>
  <w15:docId w15:val="{05BE2F0E-40C8-4583-B44D-1C2B30FEF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63EA"/>
    <w:pPr>
      <w:spacing w:after="0" w:line="240" w:lineRule="auto"/>
    </w:pPr>
    <w:rPr>
      <w:rFonts w:ascii="Times New Roman" w:eastAsia="Times New Roman" w:hAnsi="Times New Roman" w:cs="Times New Roman"/>
      <w:sz w:val="20"/>
      <w:szCs w:val="20"/>
      <w:lang w:eastAsia="es-ES"/>
    </w:rPr>
  </w:style>
  <w:style w:type="paragraph" w:styleId="Ttulo1">
    <w:name w:val="heading 1"/>
    <w:basedOn w:val="Normal"/>
    <w:next w:val="Normal"/>
    <w:link w:val="Ttulo1Car"/>
    <w:qFormat/>
    <w:rsid w:val="00AD63EA"/>
    <w:pPr>
      <w:spacing w:before="240"/>
      <w:outlineLvl w:val="0"/>
    </w:pPr>
    <w:rPr>
      <w:rFonts w:ascii="Arial" w:hAnsi="Arial"/>
      <w:b/>
      <w:sz w:val="24"/>
      <w:u w:val="single"/>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AD63EA"/>
    <w:rPr>
      <w:rFonts w:ascii="Arial" w:eastAsia="Times New Roman" w:hAnsi="Arial" w:cs="Times New Roman"/>
      <w:b/>
      <w:sz w:val="24"/>
      <w:szCs w:val="20"/>
      <w:u w:val="single"/>
      <w:lang w:val="es-ES_tradnl" w:eastAsia="es-ES"/>
    </w:rPr>
  </w:style>
  <w:style w:type="paragraph" w:styleId="Piedepgina">
    <w:name w:val="footer"/>
    <w:basedOn w:val="Normal"/>
    <w:link w:val="PiedepginaCar"/>
    <w:uiPriority w:val="99"/>
    <w:unhideWhenUsed/>
    <w:rsid w:val="00AD63EA"/>
    <w:pPr>
      <w:tabs>
        <w:tab w:val="center" w:pos="4252"/>
        <w:tab w:val="right" w:pos="8504"/>
      </w:tabs>
    </w:pPr>
  </w:style>
  <w:style w:type="character" w:customStyle="1" w:styleId="PiedepginaCar">
    <w:name w:val="Pie de página Car"/>
    <w:basedOn w:val="Fuentedeprrafopredeter"/>
    <w:link w:val="Piedepgina"/>
    <w:uiPriority w:val="99"/>
    <w:rsid w:val="00AD63EA"/>
    <w:rPr>
      <w:rFonts w:ascii="Times New Roman" w:eastAsia="Times New Roman" w:hAnsi="Times New Roman" w:cs="Times New Roman"/>
      <w:sz w:val="20"/>
      <w:szCs w:val="20"/>
      <w:lang w:eastAsia="es-ES"/>
    </w:rPr>
  </w:style>
  <w:style w:type="paragraph" w:styleId="Textoindependiente">
    <w:name w:val="Body Text"/>
    <w:basedOn w:val="Normal"/>
    <w:link w:val="TextoindependienteCar"/>
    <w:unhideWhenUsed/>
    <w:rsid w:val="00AD63EA"/>
    <w:pPr>
      <w:tabs>
        <w:tab w:val="left" w:pos="851"/>
      </w:tabs>
      <w:spacing w:after="120"/>
      <w:jc w:val="both"/>
    </w:pPr>
    <w:rPr>
      <w:rFonts w:ascii="Arial" w:hAnsi="Arial"/>
      <w:sz w:val="26"/>
      <w:lang w:val="es-ES_tradnl"/>
    </w:rPr>
  </w:style>
  <w:style w:type="character" w:customStyle="1" w:styleId="TextoindependienteCar">
    <w:name w:val="Texto independiente Car"/>
    <w:basedOn w:val="Fuentedeprrafopredeter"/>
    <w:link w:val="Textoindependiente"/>
    <w:rsid w:val="00AD63EA"/>
    <w:rPr>
      <w:rFonts w:ascii="Arial" w:eastAsia="Times New Roman" w:hAnsi="Arial" w:cs="Times New Roman"/>
      <w:sz w:val="26"/>
      <w:szCs w:val="20"/>
      <w:lang w:val="es-ES_tradnl" w:eastAsia="es-ES"/>
    </w:rPr>
  </w:style>
  <w:style w:type="paragraph" w:styleId="Textoindependiente2">
    <w:name w:val="Body Text 2"/>
    <w:basedOn w:val="Normal"/>
    <w:link w:val="Textoindependiente2Car"/>
    <w:unhideWhenUsed/>
    <w:rsid w:val="00AD63EA"/>
    <w:pPr>
      <w:jc w:val="both"/>
    </w:pPr>
    <w:rPr>
      <w:i/>
      <w:sz w:val="24"/>
    </w:rPr>
  </w:style>
  <w:style w:type="character" w:customStyle="1" w:styleId="Textoindependiente2Car">
    <w:name w:val="Texto independiente 2 Car"/>
    <w:basedOn w:val="Fuentedeprrafopredeter"/>
    <w:link w:val="Textoindependiente2"/>
    <w:rsid w:val="00AD63EA"/>
    <w:rPr>
      <w:rFonts w:ascii="Times New Roman" w:eastAsia="Times New Roman" w:hAnsi="Times New Roman" w:cs="Times New Roman"/>
      <w:i/>
      <w:sz w:val="24"/>
      <w:szCs w:val="20"/>
      <w:lang w:eastAsia="es-ES"/>
    </w:rPr>
  </w:style>
  <w:style w:type="paragraph" w:customStyle="1" w:styleId="Estilo1">
    <w:name w:val="Estilo1"/>
    <w:basedOn w:val="Normal"/>
    <w:rsid w:val="00AD63EA"/>
    <w:pPr>
      <w:tabs>
        <w:tab w:val="left" w:pos="1418"/>
      </w:tabs>
      <w:spacing w:after="120"/>
      <w:ind w:firstLine="709"/>
      <w:jc w:val="both"/>
    </w:pPr>
    <w:rPr>
      <w:sz w:val="24"/>
      <w:lang w:val="es-ES_tradnl"/>
    </w:rPr>
  </w:style>
  <w:style w:type="paragraph" w:styleId="Encabezado">
    <w:name w:val="header"/>
    <w:basedOn w:val="Normal"/>
    <w:link w:val="EncabezadoCar"/>
    <w:uiPriority w:val="99"/>
    <w:unhideWhenUsed/>
    <w:rsid w:val="00AD63EA"/>
    <w:pPr>
      <w:tabs>
        <w:tab w:val="center" w:pos="4252"/>
        <w:tab w:val="right" w:pos="8504"/>
      </w:tabs>
    </w:pPr>
  </w:style>
  <w:style w:type="character" w:customStyle="1" w:styleId="EncabezadoCar">
    <w:name w:val="Encabezado Car"/>
    <w:basedOn w:val="Fuentedeprrafopredeter"/>
    <w:link w:val="Encabezado"/>
    <w:uiPriority w:val="99"/>
    <w:rsid w:val="00AD63EA"/>
    <w:rPr>
      <w:rFonts w:ascii="Times New Roman" w:eastAsia="Times New Roman" w:hAnsi="Times New Roman" w:cs="Times New Roman"/>
      <w:sz w:val="20"/>
      <w:szCs w:val="2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734</Words>
  <Characters>4041</Characters>
  <Application>Microsoft Office Word</Application>
  <DocSecurity>0</DocSecurity>
  <Lines>33</Lines>
  <Paragraphs>9</Paragraphs>
  <ScaleCrop>false</ScaleCrop>
  <Company/>
  <LinksUpToDate>false</LinksUpToDate>
  <CharactersWithSpaces>4766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Arregui Lacuesta, Jon</dc:creator>
  <cp:keywords/>
  <dc:description/>
  <cp:lastModifiedBy>Arregui Lacuesta, Jon</cp:lastModifiedBy>
  <cp:revision>2</cp:revision>
  <cp:lastPrinted>2024-04-11T12:35:00Z</cp:lastPrinted>
  <dcterms:created xsi:type="dcterms:W3CDTF">2025-01-02T13:17:00Z</dcterms:created>
  <dcterms:modified xsi:type="dcterms:W3CDTF">2025-01-02T13:17:00Z</dcterms:modified>
</cp:coreProperties>
</file>