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FAA49" w14:textId="77777777" w:rsidR="00944338" w:rsidRDefault="008D64FB" w:rsidP="00944338">
      <w:pPr>
        <w:spacing w:before="240" w:after="480"/>
        <w:jc w:val="center"/>
        <w:rPr>
          <w:b/>
          <w:bCs/>
          <w:sz w:val="22"/>
        </w:rPr>
      </w:pPr>
      <w:r>
        <w:rPr>
          <w:b/>
          <w:bCs/>
          <w:sz w:val="22"/>
          <w:szCs w:val="22"/>
          <w:lang w:val="eu-ES"/>
        </w:rPr>
        <w:t>I. ERANSKINA</w:t>
      </w:r>
    </w:p>
    <w:p w14:paraId="071472A9" w14:textId="77777777" w:rsidR="00944338" w:rsidRPr="00504464" w:rsidRDefault="008D64FB" w:rsidP="00944338">
      <w:pPr>
        <w:spacing w:after="480"/>
        <w:jc w:val="center"/>
        <w:rPr>
          <w:b/>
          <w:bCs/>
          <w:sz w:val="22"/>
        </w:rPr>
      </w:pPr>
      <w:r>
        <w:rPr>
          <w:b/>
          <w:bCs/>
          <w:sz w:val="22"/>
          <w:szCs w:val="22"/>
          <w:lang w:val="eu-ES"/>
        </w:rPr>
        <w:t>GINEAKO KONTZEJUA DESEGITEA ARAUTZEN DUEN FORU ARAU PROIEKTUA.</w:t>
      </w:r>
    </w:p>
    <w:p w14:paraId="367F8374" w14:textId="77777777" w:rsidR="00944338" w:rsidRDefault="008D64FB" w:rsidP="00944338">
      <w:pPr>
        <w:spacing w:after="360"/>
        <w:jc w:val="both"/>
        <w:rPr>
          <w:b/>
          <w:bCs/>
          <w:sz w:val="22"/>
        </w:rPr>
      </w:pPr>
      <w:r>
        <w:rPr>
          <w:b/>
          <w:bCs/>
          <w:sz w:val="22"/>
          <w:szCs w:val="22"/>
          <w:lang w:val="eu-ES"/>
        </w:rPr>
        <w:t>ZIOEN AZALPENA</w:t>
      </w:r>
    </w:p>
    <w:p w14:paraId="54E2CC9C" w14:textId="77777777" w:rsidR="00944338" w:rsidRDefault="008D64FB" w:rsidP="00944338">
      <w:pPr>
        <w:pStyle w:val="Ttulo1"/>
        <w:spacing w:before="0" w:after="240"/>
        <w:jc w:val="both"/>
        <w:rPr>
          <w:rFonts w:ascii="Times New Roman" w:hAnsi="Times New Roman" w:cs="Times New Roman"/>
          <w:b w:val="0"/>
          <w:spacing w:val="4"/>
          <w:lang w:bidi="ar-SA"/>
        </w:rPr>
      </w:pPr>
      <w:r>
        <w:rPr>
          <w:rFonts w:ascii="Times New Roman" w:hAnsi="Times New Roman" w:cs="Times New Roman"/>
          <w:b w:val="0"/>
          <w:spacing w:val="4"/>
          <w:lang w:val="eu-ES" w:bidi="ar-SA"/>
        </w:rPr>
        <w:t xml:space="preserve">Gineako Administrazio Batzarrak, 2022ko maiatzaren 25ean, kontzeju hori desegiteko prozedura hasteko eskatu zion Lurralde Orekaren Sailari (gaur egun, Lurralde Orekaren eta Lurralde Antolamenduaren Saila), Arabako Lurralde Historikoko Kontzejuen 11/1995 Foru Arauaren 49. artikuluan xedatutakoarekin bat etorriz. Eskaera horren oinarria zen bizilagunen arteko harremanak txarrak zirela eta kontzejuaren barruan liskarrak zeudela, denboran irauten dutenak eta herria gobernatzea eragozten edo larriki zailtzen dutenak, eta horrek kalte egiten diela bizilagun guztiei administrazio batzarraren eskumeneko zerbitzu publikoei dagokienez. </w:t>
      </w:r>
    </w:p>
    <w:p w14:paraId="1BD063DA" w14:textId="77777777" w:rsidR="00944338" w:rsidRDefault="008D64FB" w:rsidP="00944338">
      <w:pPr>
        <w:spacing w:after="240"/>
        <w:jc w:val="both"/>
        <w:rPr>
          <w:rFonts w:cs="Times New Roman"/>
          <w:sz w:val="22"/>
          <w:szCs w:val="22"/>
          <w:lang w:bidi="ar-SA"/>
        </w:rPr>
      </w:pPr>
      <w:r>
        <w:rPr>
          <w:rFonts w:cs="Times New Roman"/>
          <w:sz w:val="22"/>
          <w:szCs w:val="22"/>
          <w:lang w:val="eu-ES" w:bidi="ar-SA"/>
        </w:rPr>
        <w:t xml:space="preserve">Horretarako, eskaerarekin batera, 2022ko maiatzaren 8an kontzeju irekian egindako auzo batzarraren bi herenen gehiengoak hartutako erabakiaren ziurtagiria aurkeztu zuen, fede emaileak egina; hain zuzen, Arabako Foru Aldundiari Gineako Kontzejua desegiteko espedientea hasteko eskatzeko erabakiarena. </w:t>
      </w:r>
    </w:p>
    <w:p w14:paraId="24935A3E" w14:textId="77777777" w:rsidR="00944338" w:rsidRDefault="008D64FB" w:rsidP="00944338">
      <w:pPr>
        <w:shd w:val="clear" w:color="auto" w:fill="FFFFFF"/>
        <w:spacing w:after="240"/>
        <w:ind w:right="75"/>
        <w:jc w:val="both"/>
        <w:rPr>
          <w:rFonts w:cs="Times New Roman"/>
          <w:sz w:val="22"/>
          <w:szCs w:val="22"/>
          <w:lang w:val="es-ES" w:bidi="ar-SA"/>
        </w:rPr>
      </w:pPr>
      <w:r>
        <w:rPr>
          <w:rFonts w:cs="Times New Roman"/>
          <w:sz w:val="22"/>
          <w:szCs w:val="22"/>
          <w:lang w:val="eu-ES" w:bidi="ar-SA"/>
        </w:rPr>
        <w:t>Arabako Lurralde Historikoko kontzejuen desegitea toki erakunde txiki horiek arautzen dituen 11/1995 Foru Arauaren 49.etik 52.era bitarteko artikuluetan eta Toki Araubidearen arloan indarrean dauden legezko xedapenen testu bategina onesten duen apirilaren 18ko 781/1986 Legegintzako Errege Dekretuaren 44. eta 45. artikuluetan dago aurreikusita.</w:t>
      </w:r>
    </w:p>
    <w:p w14:paraId="43F9D144" w14:textId="77777777" w:rsidR="00944338" w:rsidRDefault="008D64FB" w:rsidP="00944338">
      <w:pPr>
        <w:shd w:val="clear" w:color="auto" w:fill="FFFFFF"/>
        <w:spacing w:after="240"/>
        <w:ind w:right="75"/>
        <w:jc w:val="both"/>
        <w:rPr>
          <w:rFonts w:cs="Times New Roman"/>
          <w:sz w:val="22"/>
          <w:szCs w:val="22"/>
          <w:lang w:val="es-ES" w:bidi="ar-SA"/>
        </w:rPr>
      </w:pPr>
      <w:r>
        <w:rPr>
          <w:rFonts w:cs="Times New Roman"/>
          <w:sz w:val="22"/>
          <w:szCs w:val="22"/>
          <w:lang w:val="eu-ES" w:bidi="ar-SA"/>
        </w:rPr>
        <w:t>Foru Arauaren 49. artikuluak desegiteko espedientea hasteko bi modu aurreikusten ditu: bata ofizioz, organo desjabetzaileak eskatuta, biztanleria lekualdatzea dakarren desjabetzea egin denean; eta bestea, kasu honetan gertatzen den bezala, erakundeak berak eskatuta, Arabako Foru Administrazioaren Kontsulta Batzordeak irizpena eman ondoren.</w:t>
      </w:r>
    </w:p>
    <w:p w14:paraId="61DE0840" w14:textId="77777777" w:rsidR="00944338" w:rsidRDefault="008D64FB" w:rsidP="00944338">
      <w:pPr>
        <w:spacing w:after="240"/>
        <w:jc w:val="both"/>
        <w:rPr>
          <w:sz w:val="22"/>
          <w:szCs w:val="22"/>
        </w:rPr>
      </w:pPr>
      <w:r>
        <w:rPr>
          <w:sz w:val="22"/>
          <w:szCs w:val="22"/>
          <w:lang w:val="eu-ES"/>
        </w:rPr>
        <w:t>Lurralde Orekaren Zuzendaritzako Aholkularitza Juridikoko Zerbitzuak 2022ko maiatzaren 31n egindako txostena ikusita, Lurralde Orekaren Saileko foru diputatuaren ekainaren 1eko 139/2022 Foru Aginduaren bidez, erabaki zen Gineako Kontzejua desegiteko espedientea hastea, auzo batzarraren erabakiz. (ALHAO, 68. zk., 2022ko ekainaren 10ekoa).</w:t>
      </w:r>
    </w:p>
    <w:p w14:paraId="1DEF6455" w14:textId="77777777" w:rsidR="00944338" w:rsidRDefault="008D64FB" w:rsidP="00944338">
      <w:pPr>
        <w:spacing w:after="240"/>
        <w:jc w:val="both"/>
        <w:rPr>
          <w:rFonts w:cs="Times New Roman"/>
          <w:sz w:val="22"/>
          <w:szCs w:val="22"/>
          <w:lang w:val="eu-ES" w:bidi="ar-SA"/>
        </w:rPr>
      </w:pPr>
      <w:r>
        <w:rPr>
          <w:rFonts w:cs="Times New Roman"/>
          <w:sz w:val="22"/>
          <w:szCs w:val="22"/>
          <w:lang w:val="eu-ES" w:bidi="ar-SA"/>
        </w:rPr>
        <w:t>Espedientea aipatutako lege aginduak betez izapidetu da, eta egiaztatu da betetzen direla 11/1995 Foru Arauak 47. artikuluan jasotako desegite inguruabarrak, arau horren 49. artikuluari lotuta. Horiek horrela, Arabako Lurralde Historikoko Kontzejuen 11/1995 Foru Arauan ezarritako argitalpenak egin ondoren, jendaurrean jartzeko aldian egindako alegazioak ebatzi ondoren, eta Lurralde Orekaren Zuzendaritzak espedientea betetzeko beharrezkoak izan diren jarduketa guztiak egin ondoren, baita haiek foru arau proiektu honekin batera Arabako Foru Administrazioaren Kontsulta Batzordeari aldez aurretik igortzea ere, bat etorriz 11/1995 Foru Arauaren 49 a) artikuluan xedatutakoarekin, eta organo honek bere irizpena eman duenez, Arabako Batzar Nagusietara igorri behar da Gineako Kontzejua desegiteko foru arau proiektua.</w:t>
      </w:r>
    </w:p>
    <w:p w14:paraId="22CF7D3B" w14:textId="77777777" w:rsidR="00064091" w:rsidRDefault="00064091" w:rsidP="00944338">
      <w:pPr>
        <w:spacing w:after="240"/>
        <w:jc w:val="both"/>
        <w:rPr>
          <w:rFonts w:cs="Times New Roman"/>
          <w:sz w:val="22"/>
          <w:szCs w:val="22"/>
          <w:lang w:val="eu-ES" w:bidi="ar-SA"/>
        </w:rPr>
      </w:pPr>
    </w:p>
    <w:p w14:paraId="6CEA5538" w14:textId="77777777" w:rsidR="00064091" w:rsidRDefault="00064091" w:rsidP="00944338">
      <w:pPr>
        <w:spacing w:after="240"/>
        <w:jc w:val="both"/>
        <w:rPr>
          <w:rFonts w:cs="Times New Roman"/>
          <w:sz w:val="22"/>
          <w:szCs w:val="22"/>
        </w:rPr>
      </w:pPr>
    </w:p>
    <w:p w14:paraId="2D00AA61" w14:textId="77777777" w:rsidR="009F53E1" w:rsidRDefault="009F53E1" w:rsidP="00944338">
      <w:pPr>
        <w:spacing w:after="240"/>
        <w:jc w:val="both"/>
        <w:rPr>
          <w:rFonts w:cs="Times New Roman"/>
          <w:sz w:val="22"/>
          <w:szCs w:val="22"/>
        </w:rPr>
      </w:pPr>
    </w:p>
    <w:p w14:paraId="29E52E2B" w14:textId="77777777" w:rsidR="009F53E1" w:rsidRDefault="009F53E1" w:rsidP="00944338">
      <w:pPr>
        <w:spacing w:after="240"/>
        <w:jc w:val="both"/>
        <w:rPr>
          <w:rFonts w:cs="Times New Roman"/>
          <w:sz w:val="22"/>
          <w:szCs w:val="22"/>
        </w:rPr>
      </w:pPr>
    </w:p>
    <w:p w14:paraId="03E8C5A2" w14:textId="77777777" w:rsidR="00944338" w:rsidRPr="007F6767" w:rsidRDefault="008D64FB" w:rsidP="00944338">
      <w:pPr>
        <w:spacing w:after="240"/>
        <w:jc w:val="both"/>
        <w:rPr>
          <w:b/>
          <w:bCs/>
          <w:sz w:val="22"/>
          <w:szCs w:val="22"/>
        </w:rPr>
      </w:pPr>
      <w:r>
        <w:rPr>
          <w:b/>
          <w:bCs/>
          <w:sz w:val="22"/>
          <w:szCs w:val="22"/>
          <w:lang w:val="eu-ES"/>
        </w:rPr>
        <w:lastRenderedPageBreak/>
        <w:t>1. ARTIKULUA</w:t>
      </w:r>
    </w:p>
    <w:p w14:paraId="13F28689" w14:textId="77777777" w:rsidR="00944338" w:rsidRPr="007F6767" w:rsidRDefault="008D64FB" w:rsidP="00944338">
      <w:pPr>
        <w:spacing w:after="240"/>
        <w:jc w:val="both"/>
        <w:rPr>
          <w:sz w:val="22"/>
          <w:szCs w:val="22"/>
        </w:rPr>
      </w:pPr>
      <w:r>
        <w:rPr>
          <w:sz w:val="22"/>
          <w:szCs w:val="22"/>
          <w:lang w:val="eu-ES"/>
        </w:rPr>
        <w:t>Onespena ematen zaio, Gineako Kontzejuko auzo batzarrak eskatuta, Gaubeako udalerriko Gineako Kontzejua desegiteari, Arabako Lurralde Historikoko Kontzejuen 11/1995 Foru Arauaren 49. artikuluan xedatutakoarekin bat etorriz.</w:t>
      </w:r>
    </w:p>
    <w:p w14:paraId="5A1FEF77" w14:textId="77777777" w:rsidR="00944338" w:rsidRPr="007F6767" w:rsidRDefault="008D64FB" w:rsidP="00944338">
      <w:pPr>
        <w:spacing w:after="240"/>
        <w:jc w:val="both"/>
        <w:rPr>
          <w:b/>
          <w:bCs/>
          <w:sz w:val="22"/>
          <w:szCs w:val="22"/>
        </w:rPr>
      </w:pPr>
      <w:r>
        <w:rPr>
          <w:b/>
          <w:bCs/>
          <w:sz w:val="22"/>
          <w:szCs w:val="22"/>
          <w:lang w:val="eu-ES"/>
        </w:rPr>
        <w:t>2. ARTIKULUA</w:t>
      </w:r>
    </w:p>
    <w:p w14:paraId="16327CD4" w14:textId="77777777" w:rsidR="00944338" w:rsidRPr="007F6767" w:rsidRDefault="008D64FB" w:rsidP="00944338">
      <w:pPr>
        <w:spacing w:after="240"/>
        <w:jc w:val="both"/>
        <w:rPr>
          <w:sz w:val="22"/>
          <w:szCs w:val="22"/>
        </w:rPr>
      </w:pPr>
      <w:r>
        <w:rPr>
          <w:sz w:val="22"/>
          <w:szCs w:val="22"/>
          <w:lang w:val="eu-ES"/>
        </w:rPr>
        <w:t>Gaubeako Udalak ordeztuko du administrazio batzarra eta hark emango ditu Gineako herriguneko bizilagunei Kontzejua desegin arte administrazio batzarrak ematen zizkien zerbitzu publiko guztiak.</w:t>
      </w:r>
    </w:p>
    <w:p w14:paraId="29EB8744" w14:textId="77777777" w:rsidR="00944338" w:rsidRPr="007F6767" w:rsidRDefault="008D64FB" w:rsidP="00944338">
      <w:pPr>
        <w:spacing w:after="240"/>
        <w:jc w:val="both"/>
        <w:rPr>
          <w:b/>
          <w:bCs/>
          <w:sz w:val="22"/>
          <w:szCs w:val="22"/>
        </w:rPr>
      </w:pPr>
      <w:r>
        <w:rPr>
          <w:b/>
          <w:bCs/>
          <w:sz w:val="22"/>
          <w:szCs w:val="22"/>
          <w:lang w:val="eu-ES"/>
        </w:rPr>
        <w:t>3. ARTIKULUA</w:t>
      </w:r>
    </w:p>
    <w:p w14:paraId="4BB102A9" w14:textId="77777777" w:rsidR="00944338" w:rsidRPr="00C2643B" w:rsidRDefault="008D64FB" w:rsidP="00944338">
      <w:pPr>
        <w:spacing w:after="240"/>
        <w:jc w:val="both"/>
        <w:rPr>
          <w:sz w:val="22"/>
          <w:szCs w:val="22"/>
        </w:rPr>
      </w:pPr>
      <w:r>
        <w:rPr>
          <w:sz w:val="22"/>
          <w:szCs w:val="22"/>
          <w:lang w:val="eu-ES"/>
        </w:rPr>
        <w:t xml:space="preserve">Gaubeako Udalak hartuko du bere gain desegindako toki erakundearen ondasun, eskubide eta betebehar guztien titulartasuna, Arabako Lurralde Historikoko Kontzejuen 11/1995 Foru Arauaren 52. artikuluan xedatutakoaren arabera, eta, haiei dagokienez, Gineako herriguneko bizilagunek eskualdatutako ondasun eta eskubideetan dituzten eskubideak errespetatuko dituen ordenantza espezifikoa ezarriko du. </w:t>
      </w:r>
    </w:p>
    <w:p w14:paraId="60BFE7C2" w14:textId="77777777" w:rsidR="00944338" w:rsidRPr="00C2643B" w:rsidRDefault="008D64FB" w:rsidP="00944338">
      <w:pPr>
        <w:spacing w:after="240"/>
        <w:jc w:val="both"/>
        <w:rPr>
          <w:sz w:val="22"/>
          <w:szCs w:val="22"/>
        </w:rPr>
      </w:pPr>
      <w:r>
        <w:rPr>
          <w:sz w:val="22"/>
          <w:szCs w:val="22"/>
          <w:lang w:val="eu-ES"/>
        </w:rPr>
        <w:t xml:space="preserve">Gaubeako Udalaren zaintzapean geratuko dira funts dokumental eta bibliografikoak, halakorik balego, bai eta administrazio artxiboak ere. </w:t>
      </w:r>
    </w:p>
    <w:p w14:paraId="3D2AD990" w14:textId="77777777" w:rsidR="00944338" w:rsidRPr="007F6767" w:rsidRDefault="008D64FB" w:rsidP="00944338">
      <w:pPr>
        <w:spacing w:after="240"/>
        <w:jc w:val="both"/>
        <w:rPr>
          <w:b/>
          <w:bCs/>
          <w:sz w:val="22"/>
          <w:szCs w:val="22"/>
        </w:rPr>
      </w:pPr>
      <w:r>
        <w:rPr>
          <w:b/>
          <w:bCs/>
          <w:sz w:val="22"/>
          <w:szCs w:val="22"/>
          <w:lang w:val="eu-ES"/>
        </w:rPr>
        <w:t>4. ARTIKULUA</w:t>
      </w:r>
    </w:p>
    <w:p w14:paraId="2FE94C38" w14:textId="77777777" w:rsidR="00944338" w:rsidRPr="007F6767" w:rsidRDefault="008D64FB" w:rsidP="00944338">
      <w:pPr>
        <w:spacing w:after="240"/>
        <w:jc w:val="both"/>
        <w:rPr>
          <w:b/>
          <w:bCs/>
          <w:sz w:val="22"/>
          <w:szCs w:val="22"/>
        </w:rPr>
      </w:pPr>
      <w:r>
        <w:rPr>
          <w:sz w:val="22"/>
          <w:szCs w:val="22"/>
          <w:lang w:val="eu-ES"/>
        </w:rPr>
        <w:t>Gaubeako Udalak Gineako Kontzejuaren desegitea jakinarazi beharko dio 1076/1990 Foru Dekretuak arautzen duen Arabako Toki Erakundeen Foru Erregistroari, iraungitako toki erakundearen inskripzioa ezezta dadin, 10. artikuluan xedatzen den bezala.</w:t>
      </w:r>
    </w:p>
    <w:p w14:paraId="241DD132" w14:textId="77777777" w:rsidR="00944338" w:rsidRPr="00C2643B" w:rsidRDefault="008D64FB" w:rsidP="00944338">
      <w:pPr>
        <w:spacing w:after="240"/>
        <w:jc w:val="both"/>
        <w:rPr>
          <w:b/>
          <w:bCs/>
          <w:sz w:val="22"/>
          <w:szCs w:val="22"/>
        </w:rPr>
      </w:pPr>
      <w:r>
        <w:rPr>
          <w:b/>
          <w:bCs/>
          <w:sz w:val="22"/>
          <w:szCs w:val="22"/>
          <w:lang w:val="eu-ES"/>
        </w:rPr>
        <w:t>XEDAPEN IRAGANKOR BAKARRA</w:t>
      </w:r>
    </w:p>
    <w:p w14:paraId="26EF1E44" w14:textId="77777777" w:rsidR="00944338" w:rsidRPr="00C2643B" w:rsidRDefault="008D64FB" w:rsidP="00944338">
      <w:pPr>
        <w:spacing w:after="240"/>
        <w:jc w:val="both"/>
        <w:rPr>
          <w:sz w:val="22"/>
          <w:szCs w:val="22"/>
        </w:rPr>
      </w:pPr>
      <w:r>
        <w:rPr>
          <w:sz w:val="22"/>
          <w:szCs w:val="22"/>
          <w:lang w:val="eu-ES"/>
        </w:rPr>
        <w:t xml:space="preserve">Arabako Toki Erakundeak Finantzatzeko Foru Funtsetik eratorritako ondorio ekonomikoak eta Ginea atxikita dagoen Arabako Kontzejuen aseguramendua desegin eta hurrengo urteko urtarrilaren 1etik aurrera sortuko dira. </w:t>
      </w:r>
    </w:p>
    <w:p w14:paraId="3E68EBE6" w14:textId="77777777" w:rsidR="00944338" w:rsidRPr="007F6767" w:rsidRDefault="008D64FB" w:rsidP="00944338">
      <w:pPr>
        <w:spacing w:after="240"/>
        <w:jc w:val="both"/>
        <w:rPr>
          <w:b/>
          <w:bCs/>
          <w:sz w:val="22"/>
          <w:szCs w:val="22"/>
        </w:rPr>
      </w:pPr>
      <w:r>
        <w:rPr>
          <w:b/>
          <w:bCs/>
          <w:sz w:val="22"/>
          <w:szCs w:val="22"/>
          <w:lang w:val="eu-ES"/>
        </w:rPr>
        <w:t>AZKEN XEDAPEN BAKARRA</w:t>
      </w:r>
    </w:p>
    <w:p w14:paraId="5A2E9E2F" w14:textId="77777777" w:rsidR="00944338" w:rsidRPr="007F6767" w:rsidRDefault="008D64FB" w:rsidP="00944338">
      <w:pPr>
        <w:spacing w:after="240"/>
        <w:jc w:val="both"/>
        <w:rPr>
          <w:sz w:val="22"/>
          <w:szCs w:val="22"/>
        </w:rPr>
      </w:pPr>
      <w:r>
        <w:rPr>
          <w:sz w:val="22"/>
          <w:szCs w:val="22"/>
          <w:lang w:val="eu-ES"/>
        </w:rPr>
        <w:t xml:space="preserve">Foru arau hau ALHAOn argitaratu eta hurrengo egunean jarriko da indarrean. </w:t>
      </w:r>
    </w:p>
    <w:p w14:paraId="497763CA" w14:textId="77777777" w:rsidR="00944338" w:rsidRDefault="00944338" w:rsidP="009916C2">
      <w:pPr>
        <w:spacing w:after="240"/>
        <w:rPr>
          <w:sz w:val="22"/>
        </w:rPr>
      </w:pPr>
    </w:p>
    <w:sectPr w:rsidR="00944338" w:rsidSect="009F53E1">
      <w:headerReference w:type="default" r:id="rId7"/>
      <w:footerReference w:type="first" r:id="rId8"/>
      <w:pgSz w:w="11907" w:h="16840" w:code="9"/>
      <w:pgMar w:top="1755" w:right="1134" w:bottom="1418" w:left="1701" w:header="851" w:footer="56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AECA7" w14:textId="77777777" w:rsidR="008D64FB" w:rsidRDefault="008D64FB">
      <w:r>
        <w:separator/>
      </w:r>
    </w:p>
  </w:endnote>
  <w:endnote w:type="continuationSeparator" w:id="0">
    <w:p w14:paraId="667514D5" w14:textId="77777777" w:rsidR="008D64FB" w:rsidRDefault="008D6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0B62E" w14:textId="77777777" w:rsidR="005873C1" w:rsidRDefault="005873C1">
    <w:pPr>
      <w:pStyle w:val="Piedepgina"/>
      <w:tabs>
        <w:tab w:val="clear" w:pos="4252"/>
        <w:tab w:val="clear" w:pos="8504"/>
        <w:tab w:val="right" w:pos="907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C19BF" w14:textId="77777777" w:rsidR="008D64FB" w:rsidRDefault="008D64FB">
      <w:r>
        <w:separator/>
      </w:r>
    </w:p>
  </w:footnote>
  <w:footnote w:type="continuationSeparator" w:id="0">
    <w:p w14:paraId="75DE857C" w14:textId="77777777" w:rsidR="008D64FB" w:rsidRDefault="008D6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4A304E" w14:paraId="4CE3AF73" w14:textId="77777777">
      <w:trPr>
        <w:cantSplit/>
        <w:trHeight w:val="338"/>
      </w:trPr>
      <w:tc>
        <w:tcPr>
          <w:tcW w:w="3856" w:type="dxa"/>
        </w:tcPr>
        <w:p w14:paraId="6E612E57" w14:textId="77777777" w:rsidR="005873C1" w:rsidRDefault="005873C1">
          <w:pPr>
            <w:pStyle w:val="Encabezado"/>
          </w:pPr>
        </w:p>
      </w:tc>
      <w:tc>
        <w:tcPr>
          <w:tcW w:w="1361" w:type="dxa"/>
          <w:vMerge w:val="restart"/>
        </w:tcPr>
        <w:p w14:paraId="213BAB21" w14:textId="77777777" w:rsidR="005873C1" w:rsidRDefault="008D64FB">
          <w:pPr>
            <w:pStyle w:val="Encabezado"/>
            <w:jc w:val="center"/>
          </w:pPr>
          <w:r>
            <w:rPr>
              <w:noProof/>
            </w:rPr>
            <w:drawing>
              <wp:inline distT="0" distB="0" distL="0" distR="0" wp14:anchorId="74391097" wp14:editId="4C3E775A">
                <wp:extent cx="426720" cy="42672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6720" cy="426720"/>
                        </a:xfrm>
                        <a:prstGeom prst="rect">
                          <a:avLst/>
                        </a:prstGeom>
                        <a:noFill/>
                        <a:ln>
                          <a:noFill/>
                        </a:ln>
                      </pic:spPr>
                    </pic:pic>
                  </a:graphicData>
                </a:graphic>
              </wp:inline>
            </w:drawing>
          </w:r>
        </w:p>
      </w:tc>
      <w:tc>
        <w:tcPr>
          <w:tcW w:w="3856" w:type="dxa"/>
        </w:tcPr>
        <w:p w14:paraId="0920DDA5" w14:textId="77777777" w:rsidR="005873C1" w:rsidRDefault="005873C1">
          <w:pPr>
            <w:pStyle w:val="Encabezado"/>
          </w:pPr>
        </w:p>
      </w:tc>
    </w:tr>
    <w:tr w:rsidR="004A304E" w14:paraId="27130BD0" w14:textId="77777777">
      <w:trPr>
        <w:cantSplit/>
        <w:trHeight w:val="337"/>
      </w:trPr>
      <w:tc>
        <w:tcPr>
          <w:tcW w:w="3856" w:type="dxa"/>
        </w:tcPr>
        <w:p w14:paraId="55CEA492" w14:textId="77777777" w:rsidR="005873C1" w:rsidRDefault="005873C1">
          <w:pPr>
            <w:pStyle w:val="Encabezado"/>
          </w:pPr>
        </w:p>
      </w:tc>
      <w:tc>
        <w:tcPr>
          <w:tcW w:w="1361" w:type="dxa"/>
          <w:vMerge/>
        </w:tcPr>
        <w:p w14:paraId="738C4E0D" w14:textId="77777777" w:rsidR="005873C1" w:rsidRDefault="005873C1">
          <w:pPr>
            <w:pStyle w:val="Encabezado"/>
            <w:jc w:val="center"/>
          </w:pPr>
        </w:p>
      </w:tc>
      <w:tc>
        <w:tcPr>
          <w:tcW w:w="3856" w:type="dxa"/>
        </w:tcPr>
        <w:p w14:paraId="689B40D5" w14:textId="77777777" w:rsidR="005873C1" w:rsidRDefault="005873C1">
          <w:pPr>
            <w:pStyle w:val="Encabezado"/>
          </w:pPr>
        </w:p>
      </w:tc>
    </w:tr>
  </w:tbl>
  <w:p w14:paraId="20B8FBA3" w14:textId="77777777" w:rsidR="005873C1" w:rsidRDefault="005873C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EB2"/>
    <w:rsid w:val="00024EC2"/>
    <w:rsid w:val="0006320C"/>
    <w:rsid w:val="00064091"/>
    <w:rsid w:val="0007551A"/>
    <w:rsid w:val="000808E6"/>
    <w:rsid w:val="0008788D"/>
    <w:rsid w:val="000A18D8"/>
    <w:rsid w:val="000A4503"/>
    <w:rsid w:val="000B7D21"/>
    <w:rsid w:val="000D2E0E"/>
    <w:rsid w:val="000E602F"/>
    <w:rsid w:val="00131456"/>
    <w:rsid w:val="00153C91"/>
    <w:rsid w:val="001D4E67"/>
    <w:rsid w:val="00263BD5"/>
    <w:rsid w:val="0026565B"/>
    <w:rsid w:val="00281DAA"/>
    <w:rsid w:val="002A54DD"/>
    <w:rsid w:val="002A6964"/>
    <w:rsid w:val="00304FB8"/>
    <w:rsid w:val="00386290"/>
    <w:rsid w:val="003873CE"/>
    <w:rsid w:val="00387EB2"/>
    <w:rsid w:val="003A0474"/>
    <w:rsid w:val="003B5894"/>
    <w:rsid w:val="003B68AB"/>
    <w:rsid w:val="003D01E7"/>
    <w:rsid w:val="003D6E7B"/>
    <w:rsid w:val="003F6C85"/>
    <w:rsid w:val="00404C82"/>
    <w:rsid w:val="004063D4"/>
    <w:rsid w:val="00414E43"/>
    <w:rsid w:val="00443CF4"/>
    <w:rsid w:val="00481987"/>
    <w:rsid w:val="004A304E"/>
    <w:rsid w:val="004E1C31"/>
    <w:rsid w:val="00504464"/>
    <w:rsid w:val="005747FB"/>
    <w:rsid w:val="00584E52"/>
    <w:rsid w:val="005873C1"/>
    <w:rsid w:val="005E5D21"/>
    <w:rsid w:val="005E7369"/>
    <w:rsid w:val="0067259B"/>
    <w:rsid w:val="0068308E"/>
    <w:rsid w:val="006A683C"/>
    <w:rsid w:val="00746111"/>
    <w:rsid w:val="007A46B3"/>
    <w:rsid w:val="007B781F"/>
    <w:rsid w:val="007F0E79"/>
    <w:rsid w:val="007F6767"/>
    <w:rsid w:val="0086149A"/>
    <w:rsid w:val="008B2F0C"/>
    <w:rsid w:val="008D45E7"/>
    <w:rsid w:val="008D64FB"/>
    <w:rsid w:val="008F0D0B"/>
    <w:rsid w:val="00934B76"/>
    <w:rsid w:val="0093555B"/>
    <w:rsid w:val="00944338"/>
    <w:rsid w:val="009916C2"/>
    <w:rsid w:val="009962B7"/>
    <w:rsid w:val="009B2F5B"/>
    <w:rsid w:val="009C2B48"/>
    <w:rsid w:val="009D0DEE"/>
    <w:rsid w:val="009F53E1"/>
    <w:rsid w:val="009F67A5"/>
    <w:rsid w:val="00A32209"/>
    <w:rsid w:val="00A47735"/>
    <w:rsid w:val="00A56958"/>
    <w:rsid w:val="00A63D72"/>
    <w:rsid w:val="00A83393"/>
    <w:rsid w:val="00AB295A"/>
    <w:rsid w:val="00AB4E71"/>
    <w:rsid w:val="00AC2B3C"/>
    <w:rsid w:val="00AD3CD7"/>
    <w:rsid w:val="00AE3581"/>
    <w:rsid w:val="00B05BCB"/>
    <w:rsid w:val="00B510D7"/>
    <w:rsid w:val="00B75D1F"/>
    <w:rsid w:val="00C2643B"/>
    <w:rsid w:val="00C74972"/>
    <w:rsid w:val="00CC39FE"/>
    <w:rsid w:val="00CC5A11"/>
    <w:rsid w:val="00CC69FC"/>
    <w:rsid w:val="00D16668"/>
    <w:rsid w:val="00D17EC4"/>
    <w:rsid w:val="00D247B3"/>
    <w:rsid w:val="00D2679C"/>
    <w:rsid w:val="00D337BF"/>
    <w:rsid w:val="00D8394B"/>
    <w:rsid w:val="00DF39EF"/>
    <w:rsid w:val="00E8534C"/>
    <w:rsid w:val="00EA3A66"/>
    <w:rsid w:val="00ED7516"/>
    <w:rsid w:val="00EE7888"/>
    <w:rsid w:val="00F62834"/>
    <w:rsid w:val="00F64C1D"/>
    <w:rsid w:val="00F70F31"/>
    <w:rsid w:val="00F938DB"/>
    <w:rsid w:val="00F963DA"/>
    <w:rsid w:val="00FF76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66E3D2"/>
  <w15:chartTrackingRefBased/>
  <w15:docId w15:val="{5C02A182-1D71-460C-AB0C-04ECEAD13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560" w:after="60" w:line="240" w:lineRule="exact"/>
      <w:outlineLvl w:val="2"/>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Sangranormal">
    <w:name w:val="Normal Indent"/>
    <w:basedOn w:val="Normal"/>
    <w:semiHidden/>
    <w:pPr>
      <w:spacing w:after="240" w:line="360" w:lineRule="atLeast"/>
      <w:ind w:firstLine="1134"/>
      <w:jc w:val="both"/>
    </w:pPr>
    <w:rPr>
      <w:sz w:val="24"/>
    </w:rPr>
  </w:style>
  <w:style w:type="paragraph" w:styleId="Textoindependiente">
    <w:name w:val="Body Text"/>
    <w:basedOn w:val="Normal"/>
    <w:semiHidden/>
    <w:pPr>
      <w:spacing w:after="240"/>
      <w:jc w:val="both"/>
    </w:pPr>
    <w:rPr>
      <w:rFonts w:ascii="Arial" w:hAnsi="Arial"/>
      <w:sz w:val="22"/>
    </w:rPr>
  </w:style>
  <w:style w:type="paragraph" w:styleId="Textoindependiente2">
    <w:name w:val="Body Text 2"/>
    <w:basedOn w:val="Normal"/>
    <w:semiHidden/>
    <w:pPr>
      <w:spacing w:after="240"/>
      <w:jc w:val="both"/>
    </w:pPr>
    <w:rPr>
      <w:color w:val="FF0000"/>
      <w:sz w:val="22"/>
    </w:rPr>
  </w:style>
  <w:style w:type="paragraph" w:styleId="Textoindependiente3">
    <w:name w:val="Body Text 3"/>
    <w:basedOn w:val="Normal"/>
    <w:semiHidden/>
    <w:pPr>
      <w:tabs>
        <w:tab w:val="right" w:pos="8789"/>
      </w:tabs>
      <w:spacing w:after="480"/>
    </w:pPr>
    <w:rPr>
      <w:sz w:val="22"/>
    </w:rPr>
  </w:style>
  <w:style w:type="paragraph" w:customStyle="1" w:styleId="Default">
    <w:name w:val="Default"/>
    <w:rsid w:val="001D4E67"/>
    <w:pPr>
      <w:autoSpaceDE w:val="0"/>
      <w:autoSpaceDN w:val="0"/>
      <w:adjustRightInd w:val="0"/>
    </w:pPr>
    <w:rPr>
      <w:rFonts w:ascii="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UERDO%20JURIDICO%20NUEVO%20ANAGRAM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35C19-DC77-4B48-B54D-BF078DB8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ACUERDO JURIDICO NUEVO ANAGRAMA.dot</Template>
  <TotalTime>1</TotalTime>
  <Pages>2</Pages>
  <Words>530</Words>
  <Characters>3937</Characters>
  <Application>Microsoft Office Word</Application>
  <DocSecurity>0</DocSecurity>
  <Lines>32</Lines>
  <Paragraphs>8</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Acuerdo designacion vocal gestor</vt:lpstr>
      <vt:lpstr>Acuerdo designacion vocal gestor</vt:lpstr>
    </vt:vector>
  </TitlesOfParts>
  <Company>DFA-AFA</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designacion vocal gestor</dc:title>
  <dc:subject>Acuerdo designacion vocal gestor</dc:subject>
  <dc:creator>PFCASTILLA_MNIE</dc:creator>
  <cp:lastModifiedBy>Calvo Saiz, Juan Cruz</cp:lastModifiedBy>
  <cp:revision>3</cp:revision>
  <cp:lastPrinted>2023-12-15T09:29:00Z</cp:lastPrinted>
  <dcterms:created xsi:type="dcterms:W3CDTF">2024-03-15T13:39:00Z</dcterms:created>
  <dcterms:modified xsi:type="dcterms:W3CDTF">2024-03-15T13:40:00Z</dcterms:modified>
</cp:coreProperties>
</file>