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31B57" w14:textId="77777777" w:rsidR="00F458B0" w:rsidRDefault="00000000" w:rsidP="00F458B0">
      <w:pPr>
        <w:pStyle w:val="Ttulo"/>
        <w:spacing w:after="480"/>
      </w:pPr>
      <w:r>
        <w:rPr>
          <w:bCs/>
          <w:szCs w:val="22"/>
          <w:lang w:val="eu-ES"/>
        </w:rPr>
        <w:t>II. eranskina</w:t>
      </w:r>
    </w:p>
    <w:p w14:paraId="18BCA556" w14:textId="77777777" w:rsidR="00BC0C5A" w:rsidRDefault="00000000">
      <w:pPr>
        <w:pStyle w:val="Ttulo"/>
        <w:spacing w:after="360"/>
        <w:jc w:val="both"/>
      </w:pPr>
      <w:r>
        <w:rPr>
          <w:bCs/>
          <w:szCs w:val="22"/>
          <w:lang w:val="eu-ES"/>
        </w:rPr>
        <w:t>FORU ARAUAREN PROIEKTUA, BAKARRIK DAUDEN HAUR ETA NERABE MIGRATZAILEAK MIGRAZIO ARRISKUKO EGOEREN ESPARRUAN LEKUALDATZEKO KANARIETAKO AUTONOMIA ERKIDEGOKO ADMINISTRAZIO PUBLIKOAREN (GIZARTE ESKUBIDE, BERDINTASUN, ANIZTASUN ETA GAZTERIA SAILAREN BIDEZ) ETA EUSKAL AUTONOMIA ERKIDEGOKO ADMINISTRAZIO OROKORRAREN (BERDINTASUN, JUSTIZIA ETA GIZARTE POLITIKETAKO SAILAREN BIDEZ) ETA FORU ALDUNDIEN (ADINGABEAK BABESTEKO ERAKUNDE PUBLIKOA DENEZ) ARTEKO HITZARMENA BERRESTEKO.</w:t>
      </w:r>
    </w:p>
    <w:p w14:paraId="181F87B8" w14:textId="77777777" w:rsidR="00BC0C5A" w:rsidRDefault="00000000">
      <w:pPr>
        <w:pStyle w:val="Subttulo"/>
      </w:pPr>
      <w:r>
        <w:rPr>
          <w:bCs/>
          <w:szCs w:val="22"/>
          <w:lang w:val="eu-ES"/>
        </w:rPr>
        <w:t>ZIOEN AZALPENA</w:t>
      </w:r>
    </w:p>
    <w:p w14:paraId="0CA66F85" w14:textId="77777777" w:rsidR="00030C56" w:rsidRPr="00030C56" w:rsidRDefault="00000000" w:rsidP="00030C56">
      <w:pPr>
        <w:pStyle w:val="Ttulo"/>
        <w:spacing w:after="240"/>
        <w:jc w:val="both"/>
        <w:rPr>
          <w:b w:val="0"/>
          <w:lang w:val="es-ES"/>
        </w:rPr>
      </w:pPr>
      <w:r>
        <w:rPr>
          <w:b w:val="0"/>
          <w:szCs w:val="22"/>
          <w:lang w:val="eu-ES"/>
        </w:rPr>
        <w:t>«Kode Zibila eta Prozedura Zibilaren Legea zati batean aldatzen dituen Adingabeen Babes Juridikoari buruzko urtarrilaren 15eko 1/1996 Lege Organikoaren» (aurrerantzean, ABJLO) 10.3 artikuluak, Haurrak eta Nerabeak Babesteko Sistema aldatzen duen uztailaren 28ko 26/2015 Legeak emandako idazketan, ezartzen du Espainian dauden adingabe atzerritarrek eskubidea dutela hezkuntzarako, osasun-laguntzarako eta oinarrizko gizarte-zerbitzuetarako eta -prestazioetarako, espainiar adingabeen baldintza berberetan. Halaber, botere publikoen helburu gisa ezartzen du, politika publikoak diseinatzean eta egitean, adingabe horiek Espainiako gizartean erabat integratzea lortzea, Atzerritarrek Espainian dituzten eskubide eta askatasunei eta atzerritar horiek gizarteratzeari buruzko urtarrilaren 11ko 4/2000 Lege Organikoan ezarritako baldintzetan.</w:t>
      </w:r>
    </w:p>
    <w:p w14:paraId="6810F457" w14:textId="77777777" w:rsidR="00030C56" w:rsidRPr="006C6322" w:rsidRDefault="00000000" w:rsidP="006C6322">
      <w:pPr>
        <w:pStyle w:val="Ttulo"/>
        <w:spacing w:after="240"/>
        <w:jc w:val="both"/>
        <w:rPr>
          <w:b w:val="0"/>
          <w:szCs w:val="22"/>
          <w:lang w:val="es-ES"/>
        </w:rPr>
      </w:pPr>
      <w:r>
        <w:rPr>
          <w:b w:val="0"/>
          <w:szCs w:val="22"/>
          <w:lang w:val="eu-ES"/>
        </w:rPr>
        <w:t>Bakarrik dauden eta autonomia-erkidegoetako erakunde publikoek hartzen dituzten haur eta nerabe migratzaileen etorrera areagotu egin da. Horregatik, askotan lurralde horiek kalteberatasun egoeran dauden haur eta nerabeei harrera egiteko eta arreta emateko duten gaitasuna gainditzen du, eta, aldi berean, haurrak eta nerabeak babesteko sistemak erantzun egokia eta koordinatua emateko zailtasunak biderkatzen ditu, betiere adingabearen interes gorenean oinarrituta.</w:t>
      </w:r>
    </w:p>
    <w:p w14:paraId="6D7AA231" w14:textId="77777777" w:rsidR="00FF0C8A" w:rsidRPr="006C6322" w:rsidRDefault="00000000" w:rsidP="006C6322">
      <w:pPr>
        <w:pStyle w:val="Ttulo"/>
        <w:spacing w:after="240"/>
        <w:jc w:val="both"/>
        <w:rPr>
          <w:b w:val="0"/>
          <w:szCs w:val="22"/>
          <w:lang w:val="es-ES"/>
        </w:rPr>
      </w:pPr>
      <w:r>
        <w:rPr>
          <w:b w:val="0"/>
          <w:szCs w:val="22"/>
          <w:lang w:val="eu-ES"/>
        </w:rPr>
        <w:t>Autonomia-erkidegoetan sor daitezkeen migrazio arriskuei erantzuteko, migrazio arriskuak kudeatzeko eredua onartu zen, Haurren eta Nerabeen Konferentzia Sektorialak 2022ko uztailaren 27an hartutako erabakiaren bidez. Eredu horrek migrazioaren arrisku egoera aitortzeko aukera jaso du, horretarako ezartzen diren inguruabarrak gertatzen direnean. Migrazio arriskuaren adierazpenak erantzun plan bat aktibatzea ekarriko du, autonomia-erkidegoetara lekualdatzeko premiak zehaztuko dituena.</w:t>
      </w:r>
    </w:p>
    <w:p w14:paraId="14AD23EB" w14:textId="77777777" w:rsidR="004E4A71" w:rsidRPr="006C6322" w:rsidRDefault="00000000" w:rsidP="006C6322">
      <w:pPr>
        <w:autoSpaceDE w:val="0"/>
        <w:autoSpaceDN w:val="0"/>
        <w:adjustRightInd w:val="0"/>
        <w:spacing w:after="240"/>
        <w:jc w:val="both"/>
        <w:rPr>
          <w:rFonts w:eastAsia="MS Mincho"/>
          <w:sz w:val="22"/>
          <w:szCs w:val="22"/>
        </w:rPr>
      </w:pPr>
      <w:r>
        <w:rPr>
          <w:sz w:val="22"/>
          <w:szCs w:val="22"/>
          <w:lang w:val="eu-ES"/>
        </w:rPr>
        <w:t>Espainiako Konstituzioaren 39.4. artikuluan ezarritakoaren arabera, umeen eskubideak zaintzen dituzten nazioarteko akordioetan aurreikusitako babesa izango dute umeek. Puntu honetan, Espainiako Estatuak hainbat nazioarteko tresna juridiko sinatu ditu arlo horretan, nahitaez bete beharreko batasuneko arauez gain. Horien guztien artean, Haurren Eskubideei buruzko Konbentzioaren 3.1 artikulua aipa daiteke, Nazio Batuen Batzar Nagusiak 1989ko azaroaren 20an onartua. Horren arabera, gizarte ongizateko erakunde publiko nahiz pribatuek, auzitegiek, administrazio agintariek edo legegintza organoek haurren inguruan hartzen dituzten neurri guztiek adingabearen interes gorena zaintzea izango dute lehendabiziko ardura.</w:t>
      </w:r>
    </w:p>
    <w:p w14:paraId="5147BA6C" w14:textId="77777777" w:rsidR="004E4A71" w:rsidRPr="006C6322" w:rsidRDefault="00000000" w:rsidP="006C6322">
      <w:pPr>
        <w:autoSpaceDE w:val="0"/>
        <w:autoSpaceDN w:val="0"/>
        <w:adjustRightInd w:val="0"/>
        <w:spacing w:after="240"/>
        <w:jc w:val="both"/>
        <w:rPr>
          <w:rFonts w:eastAsia="MS Mincho"/>
          <w:sz w:val="22"/>
          <w:szCs w:val="22"/>
          <w:lang w:val="es-ES_tradnl"/>
        </w:rPr>
      </w:pPr>
      <w:r>
        <w:rPr>
          <w:sz w:val="22"/>
          <w:szCs w:val="22"/>
          <w:lang w:val="eu-ES"/>
        </w:rPr>
        <w:t>Bestalde, ABJLOk, Haurren Eskubideei buruzko Konbentzioaren printzipioak estatuko legedira ekartzen dituenak, adingabe migratzailearen estatus juridikoari heltzen dio, bertoko pertsonekiko tratu berdintasunean oinarrituta.</w:t>
      </w:r>
    </w:p>
    <w:p w14:paraId="47C7A916" w14:textId="77777777" w:rsidR="004E4A71" w:rsidRPr="006C6322" w:rsidRDefault="00000000" w:rsidP="006C6322">
      <w:pPr>
        <w:autoSpaceDE w:val="0"/>
        <w:autoSpaceDN w:val="0"/>
        <w:adjustRightInd w:val="0"/>
        <w:spacing w:after="240"/>
        <w:jc w:val="both"/>
        <w:rPr>
          <w:rFonts w:eastAsia="MS Mincho"/>
          <w:sz w:val="22"/>
          <w:szCs w:val="22"/>
          <w:lang w:val="es-ES_tradnl"/>
        </w:rPr>
      </w:pPr>
      <w:r>
        <w:rPr>
          <w:sz w:val="22"/>
          <w:szCs w:val="22"/>
          <w:lang w:val="eu-ES"/>
        </w:rPr>
        <w:t>Haurraren Eskubideen Batzordearen 6 eta 14 zenbakiko Iruzkin Orokorrek, 2005eko irailaren 1ean eta 2013ko otsailaren 1ean hartuek hurrenez hurren, agerian jartzen dute bakarrik dauden haur eta nerabe migratzaileen egoera bereziki zaurgarria. Horren arabera, adingabearen interes gorenaren kontzeptua konplexua da, eta haren edukia kasuan kasu zehaztu behar da.</w:t>
      </w:r>
    </w:p>
    <w:p w14:paraId="51AE8164" w14:textId="77777777" w:rsidR="004E4A71" w:rsidRPr="006C6322" w:rsidRDefault="00000000" w:rsidP="006C6322">
      <w:pPr>
        <w:autoSpaceDE w:val="0"/>
        <w:autoSpaceDN w:val="0"/>
        <w:adjustRightInd w:val="0"/>
        <w:spacing w:after="240"/>
        <w:jc w:val="both"/>
        <w:rPr>
          <w:rFonts w:eastAsia="MS Mincho"/>
          <w:sz w:val="22"/>
          <w:szCs w:val="22"/>
          <w:lang w:val="es-ES_tradnl"/>
        </w:rPr>
      </w:pPr>
      <w:r>
        <w:rPr>
          <w:sz w:val="22"/>
          <w:szCs w:val="22"/>
          <w:lang w:val="eu-ES"/>
        </w:rPr>
        <w:lastRenderedPageBreak/>
        <w:t>Ikuspegi horretatik abiatuta, ABJLOn 2015ean egindako aldaketak printzipio horiek indartu zituen, eta bakarrik dauden haur eta nerabe migratzaileak lehenetsi zituen talde kaltebera gisa, eragin diezaiekeen edozein politika edo neurri kategoria horren bidez zehaztu dadin saiatuz. Hala, lege horren 10.3 artikuluak Espainian dauden haur eta nerabe atzerritarrei hezkuntzarako, osasun-laguntzarako eta oinarrizko gizarte-zerbitzu eta -prestazioetarako eskubidea aitortzen die, Espainiako haur eta nerabeen baldintza berberetan. Halaber, administrazio publikoei bereziki kalteberak diren taldeak zaintzeko betebeharra esleitzen die, hala nola bakarrik dauden haur eta nerabe atzerritarrak, nazioarteko babes premiak dituztenak, desgaitasunen bat dutenak eta sexu-abusuen, sexu-esplotazioaren, haur pornografiaren eta giza salerosketaren biktimak direnak, legean xedatutako eskubideak betetzen direla bermatzeko.</w:t>
      </w:r>
    </w:p>
    <w:p w14:paraId="2EA6AF59" w14:textId="77777777" w:rsidR="004E4A71" w:rsidRPr="006C6322" w:rsidRDefault="00000000" w:rsidP="006C6322">
      <w:pPr>
        <w:autoSpaceDE w:val="0"/>
        <w:autoSpaceDN w:val="0"/>
        <w:adjustRightInd w:val="0"/>
        <w:spacing w:after="240"/>
        <w:jc w:val="both"/>
        <w:rPr>
          <w:rFonts w:eastAsia="MS Mincho"/>
          <w:sz w:val="22"/>
          <w:szCs w:val="22"/>
          <w:lang w:val="es-ES_tradnl"/>
        </w:rPr>
      </w:pPr>
      <w:r>
        <w:rPr>
          <w:sz w:val="22"/>
          <w:szCs w:val="22"/>
          <w:lang w:val="eu-ES"/>
        </w:rPr>
        <w:t>Bakarrik dauden haur eta nerabe migratzaileei arreta emateko zirkuitua osorik arautzen da atzerritartasunaren gaineko legedian; zehazki, atzerritarrek Espainian dituzten eskubide eta askatasunei buruzko urtarrilaren 11ko 4/2000 Lege Organikoan —abenduaren 11ko 2/2009 Legeak emandako idazketan—, apirilaren 20ko 557/2011 Errege Dekretuaren bidez onartutako Erregelamenduan, eta bakarrik dauden adingabe atzerritarren gaineko jarduera jakin batzuei buruzko esparru protokoloa onartzeko akordioa argitaratzen duen 2014ko urriaren 13ko Ebazpenean.</w:t>
      </w:r>
    </w:p>
    <w:p w14:paraId="4BA1B0E3" w14:textId="77777777" w:rsidR="00030C56" w:rsidRPr="006C6322" w:rsidRDefault="00000000" w:rsidP="006C6322">
      <w:pPr>
        <w:pStyle w:val="Ttulo"/>
        <w:spacing w:after="240"/>
        <w:jc w:val="both"/>
        <w:rPr>
          <w:b w:val="0"/>
          <w:szCs w:val="22"/>
          <w:lang w:val="es-ES"/>
        </w:rPr>
      </w:pPr>
      <w:r>
        <w:rPr>
          <w:b w:val="0"/>
          <w:szCs w:val="22"/>
          <w:lang w:val="eu-ES"/>
        </w:rPr>
        <w:t>Espainiako Konstituzioaren 2. artikuluak lurralde arteko elkartasunaren printzipioa finkatzen du.</w:t>
      </w:r>
    </w:p>
    <w:p w14:paraId="150BE037" w14:textId="77777777" w:rsidR="00FF0C8A" w:rsidRPr="006C6322" w:rsidRDefault="00000000" w:rsidP="006C6322">
      <w:pPr>
        <w:autoSpaceDE w:val="0"/>
        <w:autoSpaceDN w:val="0"/>
        <w:adjustRightInd w:val="0"/>
        <w:spacing w:after="240"/>
        <w:jc w:val="both"/>
        <w:rPr>
          <w:rFonts w:eastAsia="MS Mincho"/>
          <w:sz w:val="22"/>
          <w:szCs w:val="22"/>
          <w:lang w:val="es-ES_tradnl"/>
        </w:rPr>
      </w:pPr>
      <w:r>
        <w:rPr>
          <w:sz w:val="22"/>
          <w:szCs w:val="22"/>
          <w:lang w:val="eu-ES"/>
        </w:rPr>
        <w:t>Bestalde, Sektore Publikoaren Araubide Juridikoaren urriaren 1eko 40/2015 Legeak administrazio publikoen arteko barne harremanak arautzen ditu, eta jarduketa printzipio orokorrak eta subjektu publikoen arteko harremanen teknikak zehazten ditu. Horrekin bat etorriz, legearen III. tituluak xedatzen du administrazioen arteko harremanak honako printzipio hauen arabera arautuko direla: elkarlana, lankidetza, kudeaketaren efizientzia eta lurraldeen arteko elkartasuna, Konstituzioaren arabera. Elkarlanaren printzipioari dagokionez, funtsezkotzat jotzen du beste administrazio batzuek beren eskumenak eraginkortasunez betetzeko eska dezaketen laguntza ematea, zeinak bere eremuan. Administrazio publikoen arteko lankidetza gauzatzeko, alderdiek onarpen espresua eman beharko dute lankidetza organoen akordioetan edo hitzarmenetan.</w:t>
      </w:r>
    </w:p>
    <w:p w14:paraId="03A5591A" w14:textId="77777777" w:rsidR="00472BF8" w:rsidRPr="006C6322" w:rsidRDefault="00000000" w:rsidP="006C6322">
      <w:pPr>
        <w:autoSpaceDE w:val="0"/>
        <w:autoSpaceDN w:val="0"/>
        <w:adjustRightInd w:val="0"/>
        <w:spacing w:after="240"/>
        <w:jc w:val="both"/>
        <w:rPr>
          <w:rFonts w:eastAsia="MS Mincho"/>
          <w:sz w:val="22"/>
          <w:szCs w:val="22"/>
          <w:lang w:val="es-ES_tradnl"/>
        </w:rPr>
      </w:pPr>
      <w:r>
        <w:rPr>
          <w:sz w:val="22"/>
          <w:szCs w:val="22"/>
          <w:lang w:val="eu-ES"/>
        </w:rPr>
        <w:t>Kanarietako Autonomia Estatutuaren 144. artikuluak, azaroaren 5eko 1/2018 Lege Organikoaren bidez erreformatu ondoren, Autonomia Erkidegoari ematen dio, immigrazioaren arloan, gai horren gainean Estatuari konstituzio bidez dagozkion eskumenak kaltetu gabe, honako hauek egiteko eskumen esklusiboa: erkidegokoak ez diren immigratzaileen gaineko arreta soziosanitarioa eta orientazioa emateko, bere eskumenen barruan immigratzaileen integrazio politika garatzeko, immigratzaileak gizarteratu eta ekonomikoki integratzeko beharrezko neurriak hartzeko, beren eskubideak eta betebeharrak betetzen direla bermatzeko, eta estatuko araudiaren arabera immigratzaileen (baita bakarrik dauden adingabe migratzaileen) harrera eta integraziorako erreferentziazko esparrua ezartzeko.</w:t>
      </w:r>
    </w:p>
    <w:p w14:paraId="7957F9FB" w14:textId="77777777" w:rsidR="00472BF8" w:rsidRPr="006C6322" w:rsidRDefault="00000000" w:rsidP="006C6322">
      <w:pPr>
        <w:autoSpaceDE w:val="0"/>
        <w:autoSpaceDN w:val="0"/>
        <w:adjustRightInd w:val="0"/>
        <w:spacing w:after="240"/>
        <w:jc w:val="both"/>
        <w:rPr>
          <w:rFonts w:eastAsia="MS Mincho"/>
          <w:sz w:val="22"/>
          <w:szCs w:val="22"/>
          <w:lang w:val="es-ES_tradnl"/>
        </w:rPr>
      </w:pPr>
      <w:r>
        <w:rPr>
          <w:sz w:val="22"/>
          <w:szCs w:val="22"/>
          <w:lang w:val="eu-ES"/>
        </w:rPr>
        <w:t>Era berean, Estatutu horren 147. artikuluak adingabeen babesaren gaineko eskumen esklusiboa esleitzen dio, eta, horren barruan sartzen dira, nolanahi ere, babesik gabe edo arrisku egoeran dauden adingabeak nahiz adingabe arau-hausleak babestu eta zaintzeko erakunde publikoen eta babes araubidearen arauketa, legedia zibilean eta penalean ezartzen dena kaltetu gabe, bai eta familiak eta haurrak sustatzeko eskumen esklusiboa ere, horren barruan sartzen direlarik, nolanahi ere, gizarte babeseko neurriak eta horien betearazpena.</w:t>
      </w:r>
    </w:p>
    <w:p w14:paraId="3F1E1396" w14:textId="77777777" w:rsidR="00472BF8" w:rsidRDefault="00000000" w:rsidP="006C6322">
      <w:pPr>
        <w:autoSpaceDE w:val="0"/>
        <w:autoSpaceDN w:val="0"/>
        <w:adjustRightInd w:val="0"/>
        <w:spacing w:after="240"/>
        <w:jc w:val="both"/>
        <w:rPr>
          <w:rFonts w:eastAsia="MS Mincho"/>
          <w:sz w:val="22"/>
          <w:szCs w:val="22"/>
          <w:lang w:val="es-ES_tradnl"/>
        </w:rPr>
      </w:pPr>
      <w:r>
        <w:rPr>
          <w:sz w:val="22"/>
          <w:szCs w:val="22"/>
          <w:lang w:val="eu-ES"/>
        </w:rPr>
        <w:t>Bestalde, Euskal Autonomia Erkidegoak, Autonomia Estatutuaren (abenduaren 18ko 3/1979 Lege Organikoaren bidez onartutakoaren) 10. artikuluan ezarritakoaren arabera, eskumen esklusiboak ditu gizarte laguntzan (10.12. artikulua), adingabeak babestu eta zaintzeko erakunde eta establezimenduen, espetxeen nahiz berriz gizarteratzeko zentroen antolaketan, araubidean eta funtzionamenduan, gai zibilen nahiz zigor eta espetxeen arloko legedia orokorraren arabera (10.14. artikulua), bai eta erkidegoaren garapenean, emakume izatean eta haur eta gazteen politikan ere (10.39 artikulua).</w:t>
      </w:r>
    </w:p>
    <w:p w14:paraId="7FE22FA4" w14:textId="77777777" w:rsidR="00BC0C5A" w:rsidRPr="00B66ADD" w:rsidRDefault="00000000" w:rsidP="00EF52E8">
      <w:pPr>
        <w:pStyle w:val="Ttulo"/>
        <w:spacing w:after="240"/>
        <w:jc w:val="both"/>
        <w:rPr>
          <w:b w:val="0"/>
          <w:szCs w:val="22"/>
        </w:rPr>
      </w:pPr>
      <w:r>
        <w:rPr>
          <w:b w:val="0"/>
          <w:szCs w:val="22"/>
          <w:lang w:val="eu-ES"/>
        </w:rPr>
        <w:t xml:space="preserve">Artikulu bakarra.- Berretsi egiten da hitzarmen hau: bakarrik dauden haur eta nerabe migratzaileak migrazio arriskuko egoeren esparruan lekualdatzekoa, Kanarietako Autonomia Erkidegoko administrazio </w:t>
      </w:r>
      <w:r>
        <w:rPr>
          <w:b w:val="0"/>
          <w:szCs w:val="22"/>
          <w:lang w:val="eu-ES"/>
        </w:rPr>
        <w:lastRenderedPageBreak/>
        <w:t>publikoaren (Gizarte Eskubide, Berdintasun, Aniztasun eta Gazteria Sailaren bidez) eta Euskal Autonomia Erkidegoko Administrazio Orokorraren (Berdintasun, Justizia eta Gizarte Politiketako Sailaren bidez) eta foru aldundien (adingabeak babesteko erakunde publikoa denez) artean.</w:t>
      </w:r>
    </w:p>
    <w:sectPr w:rsidR="00BC0C5A" w:rsidRPr="00B66ADD" w:rsidSect="003E7DA4">
      <w:pgSz w:w="12240" w:h="15840"/>
      <w:pgMar w:top="709" w:right="1134" w:bottom="1418" w:left="1701" w:header="851"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40650" w14:textId="77777777" w:rsidR="009C270D" w:rsidRDefault="009C270D">
      <w:r>
        <w:separator/>
      </w:r>
    </w:p>
  </w:endnote>
  <w:endnote w:type="continuationSeparator" w:id="0">
    <w:p w14:paraId="553BBA17" w14:textId="77777777" w:rsidR="009C270D" w:rsidRDefault="009C2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7644B" w14:textId="77777777" w:rsidR="009C270D" w:rsidRDefault="009C270D">
      <w:r>
        <w:separator/>
      </w:r>
    </w:p>
  </w:footnote>
  <w:footnote w:type="continuationSeparator" w:id="0">
    <w:p w14:paraId="67002629" w14:textId="77777777" w:rsidR="009C270D" w:rsidRDefault="009C27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A4F"/>
    <w:rsid w:val="00030C56"/>
    <w:rsid w:val="00037001"/>
    <w:rsid w:val="000510EE"/>
    <w:rsid w:val="00077F9A"/>
    <w:rsid w:val="000910D6"/>
    <w:rsid w:val="000C3493"/>
    <w:rsid w:val="000E54A4"/>
    <w:rsid w:val="00165125"/>
    <w:rsid w:val="00172DA6"/>
    <w:rsid w:val="00196DF2"/>
    <w:rsid w:val="001A3C09"/>
    <w:rsid w:val="00251843"/>
    <w:rsid w:val="00303310"/>
    <w:rsid w:val="00392627"/>
    <w:rsid w:val="003C605E"/>
    <w:rsid w:val="003E7DA4"/>
    <w:rsid w:val="004153C9"/>
    <w:rsid w:val="00472BF8"/>
    <w:rsid w:val="004813BE"/>
    <w:rsid w:val="004E4A71"/>
    <w:rsid w:val="005C53D5"/>
    <w:rsid w:val="005D7D4F"/>
    <w:rsid w:val="006C6322"/>
    <w:rsid w:val="006D1003"/>
    <w:rsid w:val="006E29EC"/>
    <w:rsid w:val="006F7E2F"/>
    <w:rsid w:val="00711AA0"/>
    <w:rsid w:val="00720DD1"/>
    <w:rsid w:val="00843A4F"/>
    <w:rsid w:val="008479D2"/>
    <w:rsid w:val="00902EBD"/>
    <w:rsid w:val="00935C45"/>
    <w:rsid w:val="009737E7"/>
    <w:rsid w:val="009C270D"/>
    <w:rsid w:val="009F6697"/>
    <w:rsid w:val="00A202DE"/>
    <w:rsid w:val="00A4162D"/>
    <w:rsid w:val="00AD47BD"/>
    <w:rsid w:val="00B66ADD"/>
    <w:rsid w:val="00BC0C5A"/>
    <w:rsid w:val="00BC4CD6"/>
    <w:rsid w:val="00C37D27"/>
    <w:rsid w:val="00E14375"/>
    <w:rsid w:val="00EF52E8"/>
    <w:rsid w:val="00F458B0"/>
    <w:rsid w:val="00FA2B28"/>
    <w:rsid w:val="00FF0C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F6E68"/>
  <w15:chartTrackingRefBased/>
  <w15:docId w15:val="{6CCDCD34-8B4F-476C-BA8A-D06AB2DB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b/>
      <w:sz w:val="22"/>
      <w:lang w:val="es-ES_tradnl"/>
    </w:rPr>
  </w:style>
  <w:style w:type="paragraph" w:styleId="NormalWeb">
    <w:name w:val="Normal (Web)"/>
    <w:basedOn w:val="Normal"/>
    <w:pPr>
      <w:spacing w:before="100" w:after="100"/>
    </w:pPr>
    <w:rPr>
      <w:sz w:val="24"/>
      <w:lang w:val="es-ES_tradnl"/>
    </w:rPr>
  </w:style>
  <w:style w:type="character" w:customStyle="1" w:styleId="CharacterStyle1">
    <w:name w:val="Character Style 1"/>
    <w:rPr>
      <w:rFonts w:ascii="Arial" w:hAnsi="Arial"/>
      <w:snapToGrid/>
      <w:sz w:val="22"/>
    </w:rPr>
  </w:style>
  <w:style w:type="paragraph" w:styleId="Textoindependiente">
    <w:name w:val="Body Text"/>
    <w:basedOn w:val="Normal"/>
    <w:semiHidden/>
    <w:pPr>
      <w:spacing w:after="120"/>
      <w:jc w:val="both"/>
    </w:pPr>
    <w:rPr>
      <w:sz w:val="22"/>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ubttulo">
    <w:name w:val="Subtitle"/>
    <w:basedOn w:val="Normal"/>
    <w:qFormat/>
    <w:pPr>
      <w:spacing w:after="120"/>
      <w:jc w:val="both"/>
    </w:pPr>
    <w:rPr>
      <w:b/>
      <w:sz w:val="22"/>
    </w:rPr>
  </w:style>
  <w:style w:type="paragraph" w:styleId="Sangradetextonormal">
    <w:name w:val="Body Text Indent"/>
    <w:basedOn w:val="Normal"/>
    <w:semiHidden/>
    <w:pPr>
      <w:spacing w:after="120"/>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1281</Words>
  <Characters>7050</Characters>
  <Application>Microsoft Office Word</Application>
  <DocSecurity>0</DocSecurity>
  <Lines>58</Lines>
  <Paragraphs>16</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PROYECTO DE NORMA FORAL DE RATIFICACIÓN CONVENIO DE COLABORACIÓN ENTRE EL DEPARTAMENTO DE SANIDAD Y CONSUMO DEL GOBIERNO VASCO, LA DIPUTACIÓN FORAL DE ALAVA Y OSAKIDETZA PARA LA MEJORA DE LA ATENCION SOCIOSANITARIA “</vt:lpstr>
      <vt:lpstr>PROYECTO DE NORMA FORAL DE RATIFICACIÓN CONVENIO DE COLABORACIÓN ENTRE EL DEPARTAMENTO DE SANIDAD Y CONSUMO DEL GOBIERNO VASCO, LA DIPUTACIÓN FORAL DE ALAVA Y OSAKIDETZA PARA LA MEJORA DE LA ATENCION SOCIOSANITARIA “</vt:lpstr>
    </vt:vector>
  </TitlesOfParts>
  <Company>Hewlett-Packard Company</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 DE RATIFICACIÓN CONVENIO DE COLABORACIÓN ENTRE EL DEPARTAMENTO DE SANIDAD Y CONSUMO DEL GOBIERNO VASCO, LA DIPUTACIÓN FORAL DE ALAVA Y OSAKIDETZA PARA LA MEJORA DE LA ATENCION SOCIOSANITARIA “</dc:title>
  <dc:subject/>
  <dc:creator>IFBS</dc:creator>
  <cp:keywords/>
  <cp:lastModifiedBy>González Díez, Arrate</cp:lastModifiedBy>
  <cp:revision>2</cp:revision>
  <cp:lastPrinted>2011-01-25T12:31:00Z</cp:lastPrinted>
  <dcterms:created xsi:type="dcterms:W3CDTF">2023-12-27T08:47:00Z</dcterms:created>
  <dcterms:modified xsi:type="dcterms:W3CDTF">2023-12-27T08:47:00Z</dcterms:modified>
</cp:coreProperties>
</file>