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83534" w14:textId="77777777" w:rsidR="00643CB4" w:rsidRDefault="00643CB4" w:rsidP="00643CB4">
      <w:pPr>
        <w:jc w:val="both"/>
        <w:rPr>
          <w:caps/>
          <w:sz w:val="24"/>
          <w:szCs w:val="24"/>
          <w:lang w:val="es-ES"/>
        </w:rPr>
      </w:pPr>
      <w:r>
        <w:rPr>
          <w:caps/>
          <w:sz w:val="24"/>
          <w:szCs w:val="24"/>
          <w:lang w:val="eu-ES"/>
        </w:rPr>
        <w:t xml:space="preserve">FORU ARAU PROIEKTUA, "Principal Antzokia eraberritu eta handitzeko proiektua" 2023-2026 aldian gauzatzeko Euskal Autonomia Erkidegoko Administrazio Orokorrarekin eta </w:t>
      </w:r>
      <w:proofErr w:type="spellStart"/>
      <w:r>
        <w:rPr>
          <w:caps/>
          <w:sz w:val="24"/>
          <w:szCs w:val="24"/>
          <w:lang w:val="eu-ES"/>
        </w:rPr>
        <w:t>Vitoria-Gasteizko</w:t>
      </w:r>
      <w:proofErr w:type="spellEnd"/>
      <w:r>
        <w:rPr>
          <w:caps/>
          <w:sz w:val="24"/>
          <w:szCs w:val="24"/>
          <w:lang w:val="eu-ES"/>
        </w:rPr>
        <w:t xml:space="preserve"> Udalarekin sinatutako lankidetza-hitzarmena berrestekoa.</w:t>
      </w:r>
    </w:p>
    <w:p w14:paraId="29BDE1FC" w14:textId="77777777" w:rsidR="00643CB4" w:rsidRDefault="00643CB4" w:rsidP="00643CB4">
      <w:pPr>
        <w:jc w:val="both"/>
        <w:rPr>
          <w:b/>
          <w:bCs/>
          <w:caps/>
          <w:sz w:val="24"/>
          <w:szCs w:val="24"/>
          <w:lang w:val="es-ES"/>
        </w:rPr>
      </w:pPr>
    </w:p>
    <w:p w14:paraId="74934F12" w14:textId="77777777" w:rsidR="00643CB4" w:rsidRDefault="00643CB4" w:rsidP="00643CB4">
      <w:pPr>
        <w:spacing w:before="6" w:line="100" w:lineRule="exact"/>
        <w:ind w:left="142"/>
        <w:jc w:val="both"/>
        <w:rPr>
          <w:sz w:val="24"/>
          <w:szCs w:val="24"/>
          <w:lang w:val="es-ES"/>
        </w:rPr>
      </w:pPr>
    </w:p>
    <w:p w14:paraId="524D4D2A" w14:textId="77777777" w:rsidR="00643CB4" w:rsidRDefault="00643CB4" w:rsidP="00643CB4">
      <w:pPr>
        <w:jc w:val="both"/>
        <w:rPr>
          <w:sz w:val="22"/>
          <w:szCs w:val="22"/>
        </w:rPr>
      </w:pPr>
      <w:r>
        <w:rPr>
          <w:sz w:val="22"/>
          <w:szCs w:val="22"/>
          <w:lang w:val="eu-ES"/>
        </w:rPr>
        <w:t>Hitzarmen horren xedea da Euskal Autonomia Erkidegoko Administrazio Orokorraren, Arabako Foru Aldundiaren eta Vitoria-Gasteizko Udalaren arteko lankidetza administratiboa, teknikoa eta finantzarioa, "Principal Antzokia" eraberritzeko eta handitzeko obrak gauzatzeko eta zuzentzeko.</w:t>
      </w:r>
    </w:p>
    <w:p w14:paraId="7A962630" w14:textId="77777777" w:rsidR="00643CB4" w:rsidRDefault="00643CB4" w:rsidP="00643CB4">
      <w:pPr>
        <w:jc w:val="both"/>
        <w:rPr>
          <w:sz w:val="22"/>
          <w:szCs w:val="22"/>
        </w:rPr>
      </w:pPr>
    </w:p>
    <w:p w14:paraId="6D43E8C9" w14:textId="77777777" w:rsidR="00643CB4" w:rsidRDefault="00643CB4" w:rsidP="00643CB4">
      <w:pPr>
        <w:jc w:val="both"/>
        <w:rPr>
          <w:sz w:val="22"/>
          <w:szCs w:val="22"/>
        </w:rPr>
      </w:pPr>
      <w:r>
        <w:rPr>
          <w:sz w:val="22"/>
          <w:szCs w:val="22"/>
          <w:lang w:val="eu-ES"/>
        </w:rPr>
        <w:t xml:space="preserve">Kultura sailburuaren 1999ko otsailaren 15eko Aginduaren bidez, Vitoria-Gasteizen (Araba) dagoen "Opera-Cinema </w:t>
      </w:r>
      <w:proofErr w:type="spellStart"/>
      <w:r>
        <w:rPr>
          <w:sz w:val="22"/>
          <w:szCs w:val="22"/>
          <w:lang w:val="eu-ES"/>
        </w:rPr>
        <w:t>Vesa"</w:t>
      </w:r>
      <w:proofErr w:type="spellEnd"/>
      <w:r>
        <w:rPr>
          <w:sz w:val="22"/>
          <w:szCs w:val="22"/>
          <w:lang w:val="eu-ES"/>
        </w:rPr>
        <w:t xml:space="preserve"> eraikina Euskal Kultura Ondarearen Inbentario Nagusian inskribatu zen kultura ondasun moduan, monumentu kategoriarekin (1999ko martxoaren 8ko EHAA, 46. zk.).</w:t>
      </w:r>
    </w:p>
    <w:p w14:paraId="61464FD8" w14:textId="77777777" w:rsidR="00643CB4" w:rsidRDefault="00643CB4" w:rsidP="00643CB4">
      <w:pPr>
        <w:jc w:val="both"/>
        <w:rPr>
          <w:sz w:val="22"/>
          <w:szCs w:val="22"/>
        </w:rPr>
      </w:pPr>
    </w:p>
    <w:p w14:paraId="6171EFCD" w14:textId="77777777" w:rsidR="00643CB4" w:rsidRDefault="00643CB4" w:rsidP="00643CB4">
      <w:pPr>
        <w:jc w:val="both"/>
        <w:rPr>
          <w:sz w:val="22"/>
          <w:szCs w:val="22"/>
        </w:rPr>
      </w:pPr>
      <w:r>
        <w:rPr>
          <w:sz w:val="22"/>
          <w:szCs w:val="22"/>
          <w:lang w:val="eu-ES"/>
        </w:rPr>
        <w:t>Euskal Kultura Ondarearen Inbentario Nagusian sartzea oinarritzen den elementuak hauek dira: higiezinak San Prudentzio eta Foru kaleetarantz dituen fatxadak, fatxada horien atzeko lehenengo hormartea eta San Prudentzio kaletik eraikinera sartzeko atariko patioa, bertako hormarte perimetralarekin.</w:t>
      </w:r>
    </w:p>
    <w:p w14:paraId="6B097F9C" w14:textId="77777777" w:rsidR="00643CB4" w:rsidRDefault="00643CB4" w:rsidP="00643CB4">
      <w:pPr>
        <w:jc w:val="both"/>
        <w:rPr>
          <w:sz w:val="22"/>
          <w:szCs w:val="22"/>
        </w:rPr>
      </w:pPr>
    </w:p>
    <w:p w14:paraId="66717257" w14:textId="77777777" w:rsidR="00643CB4" w:rsidRDefault="00643CB4" w:rsidP="00643CB4">
      <w:pPr>
        <w:jc w:val="both"/>
        <w:rPr>
          <w:sz w:val="22"/>
          <w:szCs w:val="22"/>
        </w:rPr>
      </w:pPr>
      <w:r>
        <w:rPr>
          <w:sz w:val="22"/>
          <w:szCs w:val="22"/>
          <w:lang w:val="eu-ES"/>
        </w:rPr>
        <w:t xml:space="preserve">"Opera-Cinema </w:t>
      </w:r>
      <w:proofErr w:type="spellStart"/>
      <w:r>
        <w:rPr>
          <w:sz w:val="22"/>
          <w:szCs w:val="22"/>
          <w:lang w:val="eu-ES"/>
        </w:rPr>
        <w:t>Vesa"</w:t>
      </w:r>
      <w:proofErr w:type="spellEnd"/>
      <w:r>
        <w:rPr>
          <w:sz w:val="22"/>
          <w:szCs w:val="22"/>
          <w:lang w:val="eu-ES"/>
        </w:rPr>
        <w:t xml:space="preserve"> eraikina Vitoria-Gasteizko XIX. mendeko zabalgunean dago. San Prudentzio eta Foru kaleen artean dago eta bi kaleetara ematen duten fatxadak ditu. </w:t>
      </w:r>
    </w:p>
    <w:p w14:paraId="293C5863" w14:textId="77777777" w:rsidR="00643CB4" w:rsidRDefault="00643CB4" w:rsidP="00643CB4">
      <w:pPr>
        <w:jc w:val="both"/>
        <w:rPr>
          <w:sz w:val="22"/>
          <w:szCs w:val="22"/>
        </w:rPr>
      </w:pPr>
    </w:p>
    <w:p w14:paraId="0B178D35" w14:textId="77777777" w:rsidR="00643CB4" w:rsidRPr="00643CB4" w:rsidRDefault="00643CB4" w:rsidP="00643CB4">
      <w:pPr>
        <w:jc w:val="both"/>
        <w:rPr>
          <w:sz w:val="22"/>
          <w:szCs w:val="22"/>
          <w:lang w:val="eu-ES"/>
        </w:rPr>
      </w:pPr>
      <w:r>
        <w:rPr>
          <w:sz w:val="22"/>
          <w:szCs w:val="22"/>
          <w:lang w:val="eu-ES"/>
        </w:rPr>
        <w:t>Era berean, aipatu behar da Euskal Kultura Ondarearen uztailaren 3ko 7/1990 Legea Euskal Kultura Ondarearen maiatzaren 9ko 6/2019 Legeak indargabetu zuela. Azken lege honen lehenengo xedapen gehigarrian ezartzen denez, EAEko lurralde eremuan dauden eta uztailaren 3ko 7/1990 Legearen babesean Euskal Kultura Ondarearen EAEko Kultura Ondasunen Inbentario Nagusian sartuta dauden ondasun higiezin guztiak babes ertaineko kultura ondasuntzat hartuko dira.</w:t>
      </w:r>
    </w:p>
    <w:p w14:paraId="2190E96C" w14:textId="77777777" w:rsidR="00643CB4" w:rsidRPr="00643CB4" w:rsidRDefault="00643CB4" w:rsidP="00643CB4">
      <w:pPr>
        <w:jc w:val="both"/>
        <w:rPr>
          <w:sz w:val="22"/>
          <w:szCs w:val="22"/>
          <w:lang w:val="eu-ES"/>
        </w:rPr>
      </w:pPr>
    </w:p>
    <w:p w14:paraId="4F578C6E" w14:textId="77777777" w:rsidR="00643CB4" w:rsidRDefault="00643CB4" w:rsidP="00643CB4">
      <w:pPr>
        <w:jc w:val="both"/>
        <w:rPr>
          <w:sz w:val="22"/>
          <w:szCs w:val="22"/>
        </w:rPr>
      </w:pPr>
      <w:r>
        <w:rPr>
          <w:sz w:val="22"/>
          <w:szCs w:val="22"/>
          <w:lang w:val="eu-ES"/>
        </w:rPr>
        <w:t xml:space="preserve">Halaber, hiri antolamendurako plan orokorraren araudiak eraikina babesten du eta haren babes araubidea ezartzen du. </w:t>
      </w:r>
    </w:p>
    <w:p w14:paraId="6CB33AA4" w14:textId="77777777" w:rsidR="00643CB4" w:rsidRDefault="00643CB4" w:rsidP="00643CB4">
      <w:pPr>
        <w:jc w:val="both"/>
        <w:rPr>
          <w:sz w:val="22"/>
          <w:szCs w:val="22"/>
        </w:rPr>
      </w:pPr>
    </w:p>
    <w:p w14:paraId="32DD87E3" w14:textId="77777777" w:rsidR="00643CB4" w:rsidRDefault="00643CB4" w:rsidP="00643CB4">
      <w:pPr>
        <w:jc w:val="both"/>
        <w:rPr>
          <w:sz w:val="22"/>
          <w:szCs w:val="22"/>
        </w:rPr>
      </w:pPr>
      <w:r>
        <w:rPr>
          <w:sz w:val="22"/>
          <w:szCs w:val="22"/>
          <w:lang w:val="eu-ES"/>
        </w:rPr>
        <w:t xml:space="preserve">"Opera-Cinema </w:t>
      </w:r>
      <w:proofErr w:type="spellStart"/>
      <w:r>
        <w:rPr>
          <w:sz w:val="22"/>
          <w:szCs w:val="22"/>
          <w:lang w:val="eu-ES"/>
        </w:rPr>
        <w:t>Vesa"</w:t>
      </w:r>
      <w:proofErr w:type="spellEnd"/>
      <w:r>
        <w:rPr>
          <w:sz w:val="22"/>
          <w:szCs w:val="22"/>
          <w:lang w:val="eu-ES"/>
        </w:rPr>
        <w:t xml:space="preserve"> eraikinaren barruan "Principal Antzokia" dago.</w:t>
      </w:r>
    </w:p>
    <w:p w14:paraId="77B2CEED" w14:textId="77777777" w:rsidR="00643CB4" w:rsidRDefault="00643CB4" w:rsidP="00643CB4">
      <w:pPr>
        <w:jc w:val="both"/>
        <w:rPr>
          <w:sz w:val="22"/>
          <w:szCs w:val="22"/>
        </w:rPr>
      </w:pPr>
    </w:p>
    <w:p w14:paraId="21B95488" w14:textId="77777777" w:rsidR="00643CB4" w:rsidRDefault="00643CB4" w:rsidP="00643CB4">
      <w:pPr>
        <w:jc w:val="both"/>
        <w:rPr>
          <w:sz w:val="22"/>
          <w:szCs w:val="22"/>
        </w:rPr>
      </w:pPr>
      <w:r>
        <w:rPr>
          <w:sz w:val="22"/>
          <w:szCs w:val="22"/>
          <w:lang w:val="eu-ES"/>
        </w:rPr>
        <w:t>Euskal Autonomia Erkidegoa, Arabako Foru Aldundia eta Vitoria-Gasteizko Udala Vitoria-Gasteiz hiriko "Teatro Principal Antzokia" higiezinaren jabetza eta jabari osoaren titularrak dira, % 40, % 30 eta % 30eko proportzio indibisoan, hurrenez hurren.</w:t>
      </w:r>
    </w:p>
    <w:p w14:paraId="5DECB7C0" w14:textId="77777777" w:rsidR="00643CB4" w:rsidRDefault="00643CB4" w:rsidP="00643CB4">
      <w:pPr>
        <w:jc w:val="both"/>
        <w:rPr>
          <w:sz w:val="22"/>
          <w:szCs w:val="22"/>
        </w:rPr>
      </w:pPr>
    </w:p>
    <w:p w14:paraId="5D52327D" w14:textId="77777777" w:rsidR="00643CB4" w:rsidRDefault="00643CB4" w:rsidP="00643CB4">
      <w:pPr>
        <w:jc w:val="both"/>
        <w:rPr>
          <w:bCs/>
          <w:snapToGrid w:val="0"/>
          <w:sz w:val="22"/>
          <w:szCs w:val="22"/>
          <w:lang w:val="es-ES"/>
        </w:rPr>
      </w:pPr>
      <w:r>
        <w:rPr>
          <w:sz w:val="22"/>
          <w:szCs w:val="22"/>
          <w:lang w:val="eu-ES"/>
        </w:rPr>
        <w:t>Vitoria-Gasteizko Udalak "Principal Antzokia" eraberritzeko eta handitzeko proiektua lizitatu eta esleitu du.</w:t>
      </w:r>
    </w:p>
    <w:p w14:paraId="3567DB46" w14:textId="77777777" w:rsidR="00643CB4" w:rsidRDefault="00643CB4" w:rsidP="00643CB4">
      <w:pPr>
        <w:jc w:val="both"/>
        <w:rPr>
          <w:bCs/>
          <w:snapToGrid w:val="0"/>
          <w:sz w:val="22"/>
          <w:szCs w:val="22"/>
          <w:lang w:val="es-ES"/>
        </w:rPr>
      </w:pPr>
    </w:p>
    <w:p w14:paraId="6C53DB8D" w14:textId="3530824F" w:rsidR="00643CB4" w:rsidRDefault="00643CB4" w:rsidP="00643CB4">
      <w:pPr>
        <w:jc w:val="both"/>
        <w:rPr>
          <w:bCs/>
          <w:sz w:val="22"/>
          <w:szCs w:val="22"/>
          <w:lang w:val="eu-ES"/>
        </w:rPr>
      </w:pPr>
      <w:r>
        <w:rPr>
          <w:bCs/>
          <w:sz w:val="22"/>
          <w:szCs w:val="22"/>
          <w:lang w:val="eu-ES"/>
        </w:rPr>
        <w:t>Sektore Publikoaren Araubide Juridikoaren urriaren 1eko 40/2015 Legeak 48. artikuluan ezartzen duenez, administrazio publikoek, bakoitzak bere eskumenen esparruan, hitzarmenak sinatu ahal izango dituzte zuzenbide publikoko eta pribatuko subjektuekin, eta sinatutako hitzarmenek, besteak beste, kudeaketa publikoaren eraginkortasuna hobetu, baliabide eta zerbitzu publikoen baterako erabilera erraztu, eta onura publikoko jarduerak egiten lagundu beharko dute.</w:t>
      </w:r>
    </w:p>
    <w:p w14:paraId="2103F302" w14:textId="77777777" w:rsidR="000C4466" w:rsidRDefault="000C4466" w:rsidP="00643CB4">
      <w:pPr>
        <w:jc w:val="both"/>
        <w:rPr>
          <w:bCs/>
          <w:snapToGrid w:val="0"/>
          <w:sz w:val="22"/>
          <w:szCs w:val="22"/>
          <w:lang w:val="es-ES"/>
        </w:rPr>
      </w:pPr>
    </w:p>
    <w:p w14:paraId="681AA93B" w14:textId="37290E32" w:rsidR="00643CB4" w:rsidRDefault="00643CB4" w:rsidP="00643CB4">
      <w:pPr>
        <w:spacing w:after="240"/>
        <w:jc w:val="both"/>
        <w:rPr>
          <w:bCs/>
          <w:sz w:val="22"/>
          <w:szCs w:val="22"/>
          <w:lang w:val="eu-ES"/>
        </w:rPr>
      </w:pPr>
      <w:r>
        <w:rPr>
          <w:bCs/>
          <w:sz w:val="22"/>
          <w:szCs w:val="22"/>
          <w:lang w:val="eu-ES"/>
        </w:rPr>
        <w:t xml:space="preserve">Arabako Lurralde Historikoaren Erakunde Antolamenduari buruzko 1983ko martxoaren 7ko Foru Arauak, </w:t>
      </w:r>
      <w:proofErr w:type="spellStart"/>
      <w:r>
        <w:rPr>
          <w:bCs/>
          <w:sz w:val="22"/>
          <w:szCs w:val="22"/>
          <w:lang w:val="eu-ES"/>
        </w:rPr>
        <w:t>6.2.b</w:t>
      </w:r>
      <w:proofErr w:type="spellEnd"/>
      <w:r>
        <w:rPr>
          <w:bCs/>
          <w:sz w:val="22"/>
          <w:szCs w:val="22"/>
          <w:lang w:val="eu-ES"/>
        </w:rPr>
        <w:t>)3 artikuluan, xedatzen du batzar nagusiek eskumena dutela “Eusko Jaurlaritzarekin, Estatuko Gobernuarekin eta beste lurralde historiko, autonomia erkidego edo probintzia batzuekin” hitzarmenak sinatzea dakarten proiektuak berresteko.</w:t>
      </w:r>
    </w:p>
    <w:p w14:paraId="3D125979" w14:textId="77777777" w:rsidR="00E91B23" w:rsidRDefault="00E91B23" w:rsidP="00643CB4">
      <w:pPr>
        <w:spacing w:after="240"/>
        <w:jc w:val="both"/>
        <w:rPr>
          <w:bCs/>
          <w:snapToGrid w:val="0"/>
          <w:sz w:val="22"/>
          <w:lang w:val="es-ES"/>
        </w:rPr>
      </w:pPr>
    </w:p>
    <w:p w14:paraId="61DB23C2" w14:textId="77777777" w:rsidR="00643CB4" w:rsidRDefault="00643CB4" w:rsidP="00643CB4">
      <w:pPr>
        <w:spacing w:after="240"/>
        <w:jc w:val="both"/>
        <w:rPr>
          <w:bCs/>
          <w:snapToGrid w:val="0"/>
          <w:sz w:val="22"/>
          <w:lang w:val="es-ES"/>
        </w:rPr>
      </w:pPr>
      <w:r>
        <w:rPr>
          <w:bCs/>
          <w:sz w:val="22"/>
          <w:szCs w:val="22"/>
          <w:lang w:val="eu-ES"/>
        </w:rPr>
        <w:lastRenderedPageBreak/>
        <w:t xml:space="preserve">Arabako Foru Aldundiaren Gobernu, Antolaketa eta Araubide Juridikoari buruzko martxoaren 15eko 10/2023 Foru Arauaren </w:t>
      </w:r>
      <w:proofErr w:type="spellStart"/>
      <w:r>
        <w:rPr>
          <w:bCs/>
          <w:sz w:val="22"/>
          <w:szCs w:val="22"/>
          <w:lang w:val="eu-ES"/>
        </w:rPr>
        <w:t>6.1.b</w:t>
      </w:r>
      <w:proofErr w:type="spellEnd"/>
      <w:r>
        <w:rPr>
          <w:bCs/>
          <w:sz w:val="22"/>
          <w:szCs w:val="22"/>
          <w:lang w:val="eu-ES"/>
        </w:rPr>
        <w:t>)3. artikuluak Arabako Foru Aldundiaren Foru Gobernu Kontseiluari esleitzen dio "Eusko Jaurlaritzarekin, Estatuko Gobernuarekin, beste lurralde historiko, autonomia erkidego edo probintzia batzuekin edo beste lurralde administrazio batzuekin egiten diren hitzarmenei" buruzko proposamenak onesteko eta batzar nagusiei bidaltzeko eskumena.</w:t>
      </w:r>
    </w:p>
    <w:p w14:paraId="2EF7B5D3" w14:textId="77777777" w:rsidR="00643CB4" w:rsidRDefault="00643CB4" w:rsidP="00643CB4">
      <w:pPr>
        <w:spacing w:line="200" w:lineRule="exact"/>
        <w:jc w:val="both"/>
        <w:rPr>
          <w:sz w:val="24"/>
          <w:szCs w:val="24"/>
          <w:lang w:val="es-ES"/>
        </w:rPr>
      </w:pPr>
    </w:p>
    <w:p w14:paraId="70072C27" w14:textId="77777777" w:rsidR="00643CB4" w:rsidRDefault="00643CB4" w:rsidP="00643CB4">
      <w:pPr>
        <w:autoSpaceDE w:val="0"/>
        <w:autoSpaceDN w:val="0"/>
        <w:adjustRightInd w:val="0"/>
        <w:jc w:val="both"/>
        <w:rPr>
          <w:sz w:val="24"/>
          <w:szCs w:val="24"/>
          <w:lang w:val="es-ES"/>
        </w:rPr>
      </w:pPr>
      <w:r>
        <w:rPr>
          <w:sz w:val="24"/>
          <w:szCs w:val="24"/>
          <w:lang w:val="eu-ES"/>
        </w:rPr>
        <w:t xml:space="preserve">Aipatutako artikuluetan xedatutakoa ikusirik, </w:t>
      </w:r>
    </w:p>
    <w:p w14:paraId="5E35BF77" w14:textId="77777777" w:rsidR="00643CB4" w:rsidRDefault="00643CB4" w:rsidP="00643CB4">
      <w:pPr>
        <w:spacing w:line="200" w:lineRule="exact"/>
        <w:ind w:left="142"/>
        <w:jc w:val="both"/>
        <w:rPr>
          <w:sz w:val="24"/>
          <w:szCs w:val="24"/>
        </w:rPr>
      </w:pPr>
    </w:p>
    <w:p w14:paraId="4EFF1644" w14:textId="77777777" w:rsidR="00643CB4" w:rsidRPr="00643CB4" w:rsidRDefault="00643CB4" w:rsidP="00643CB4">
      <w:pPr>
        <w:autoSpaceDE w:val="0"/>
        <w:autoSpaceDN w:val="0"/>
        <w:adjustRightInd w:val="0"/>
        <w:jc w:val="both"/>
        <w:rPr>
          <w:sz w:val="24"/>
          <w:szCs w:val="24"/>
          <w:lang w:val="eu-ES"/>
        </w:rPr>
      </w:pPr>
      <w:r>
        <w:rPr>
          <w:b/>
          <w:bCs/>
          <w:sz w:val="24"/>
          <w:szCs w:val="24"/>
          <w:lang w:val="eu-ES"/>
        </w:rPr>
        <w:t>Artikulu bakarra.</w:t>
      </w:r>
      <w:r>
        <w:rPr>
          <w:sz w:val="24"/>
          <w:szCs w:val="24"/>
          <w:lang w:val="eu-ES"/>
        </w:rPr>
        <w:t xml:space="preserve"> Berresten da "Principal Antzokia eraberritu eta handitzeko proiektua" 2023-2026 aldian gauzatzeko Euskal Autonomia Erkidegoko Administrazio Orokorrak, Vitoria-Gasteizko Udalak eta Arabako Foru Aldundiak sinatutako hitzarmena.</w:t>
      </w:r>
    </w:p>
    <w:p w14:paraId="2B0606F8" w14:textId="77777777" w:rsidR="00643CB4" w:rsidRPr="00643CB4" w:rsidRDefault="00643CB4" w:rsidP="00643CB4">
      <w:pPr>
        <w:spacing w:line="200" w:lineRule="exact"/>
        <w:ind w:left="142"/>
        <w:jc w:val="both"/>
        <w:rPr>
          <w:sz w:val="24"/>
          <w:szCs w:val="24"/>
          <w:lang w:val="eu-ES"/>
        </w:rPr>
      </w:pPr>
    </w:p>
    <w:p w14:paraId="346F19B2" w14:textId="77777777" w:rsidR="00FD3BE0" w:rsidRPr="00643CB4" w:rsidRDefault="00FD3BE0" w:rsidP="0019669A">
      <w:pPr>
        <w:jc w:val="both"/>
        <w:rPr>
          <w:lang w:val="eu-ES"/>
        </w:rPr>
      </w:pPr>
    </w:p>
    <w:sectPr w:rsidR="00FD3BE0" w:rsidRPr="00643CB4" w:rsidSect="00074AF0">
      <w:headerReference w:type="default" r:id="rId7"/>
      <w:type w:val="continuous"/>
      <w:pgSz w:w="11906" w:h="16840"/>
      <w:pgMar w:top="1560" w:right="1300" w:bottom="1140" w:left="16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6F37D" w14:textId="77777777" w:rsidR="005302BB" w:rsidRDefault="005302BB" w:rsidP="00A5406B">
      <w:r>
        <w:separator/>
      </w:r>
    </w:p>
  </w:endnote>
  <w:endnote w:type="continuationSeparator" w:id="0">
    <w:p w14:paraId="39087D46" w14:textId="77777777" w:rsidR="005302BB" w:rsidRDefault="005302BB" w:rsidP="00A54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32206" w14:textId="77777777" w:rsidR="005302BB" w:rsidRDefault="005302BB" w:rsidP="00A5406B">
      <w:r>
        <w:separator/>
      </w:r>
    </w:p>
  </w:footnote>
  <w:footnote w:type="continuationSeparator" w:id="0">
    <w:p w14:paraId="1D4F7AB2" w14:textId="77777777" w:rsidR="005302BB" w:rsidRDefault="005302BB" w:rsidP="00A540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A5406B" w:rsidRPr="00A5406B" w14:paraId="488A37C0" w14:textId="77777777" w:rsidTr="00A717C2">
      <w:trPr>
        <w:cantSplit/>
        <w:trHeight w:val="338"/>
      </w:trPr>
      <w:tc>
        <w:tcPr>
          <w:tcW w:w="3856" w:type="dxa"/>
        </w:tcPr>
        <w:p w14:paraId="18305173" w14:textId="77777777" w:rsidR="00A5406B" w:rsidRPr="00A5406B" w:rsidRDefault="00A5406B" w:rsidP="00A5406B">
          <w:pPr>
            <w:tabs>
              <w:tab w:val="center" w:pos="4252"/>
              <w:tab w:val="right" w:pos="8504"/>
            </w:tabs>
          </w:pPr>
        </w:p>
      </w:tc>
      <w:tc>
        <w:tcPr>
          <w:tcW w:w="1361" w:type="dxa"/>
          <w:vMerge w:val="restart"/>
        </w:tcPr>
        <w:p w14:paraId="10B15A4F" w14:textId="77777777" w:rsidR="00A5406B" w:rsidRPr="00A5406B" w:rsidRDefault="00A5406B" w:rsidP="00A5406B">
          <w:pPr>
            <w:tabs>
              <w:tab w:val="center" w:pos="4252"/>
              <w:tab w:val="right" w:pos="8504"/>
            </w:tabs>
            <w:jc w:val="center"/>
          </w:pPr>
          <w:r>
            <w:rPr>
              <w:noProof/>
              <w:lang w:val="es-ES" w:bidi="ar-SA"/>
            </w:rPr>
            <w:drawing>
              <wp:inline distT="0" distB="0" distL="0" distR="0" wp14:anchorId="74B6EEA5" wp14:editId="28EE18C5">
                <wp:extent cx="432435" cy="432435"/>
                <wp:effectExtent l="0" t="0" r="5715" b="5715"/>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435" cy="432435"/>
                        </a:xfrm>
                        <a:prstGeom prst="rect">
                          <a:avLst/>
                        </a:prstGeom>
                        <a:noFill/>
                        <a:ln>
                          <a:noFill/>
                        </a:ln>
                      </pic:spPr>
                    </pic:pic>
                  </a:graphicData>
                </a:graphic>
              </wp:inline>
            </w:drawing>
          </w:r>
        </w:p>
      </w:tc>
      <w:tc>
        <w:tcPr>
          <w:tcW w:w="3856" w:type="dxa"/>
        </w:tcPr>
        <w:p w14:paraId="7EE23EA5" w14:textId="77777777" w:rsidR="00A5406B" w:rsidRPr="00A5406B" w:rsidRDefault="00A5406B" w:rsidP="00A5406B">
          <w:pPr>
            <w:tabs>
              <w:tab w:val="center" w:pos="4252"/>
              <w:tab w:val="right" w:pos="8504"/>
            </w:tabs>
          </w:pPr>
        </w:p>
      </w:tc>
    </w:tr>
    <w:tr w:rsidR="00A5406B" w:rsidRPr="00A5406B" w14:paraId="25156686" w14:textId="77777777" w:rsidTr="00A717C2">
      <w:trPr>
        <w:cantSplit/>
        <w:trHeight w:val="337"/>
      </w:trPr>
      <w:tc>
        <w:tcPr>
          <w:tcW w:w="3856" w:type="dxa"/>
        </w:tcPr>
        <w:p w14:paraId="7989ABAB" w14:textId="77777777" w:rsidR="00A5406B" w:rsidRPr="00A5406B" w:rsidRDefault="00A5406B" w:rsidP="00A5406B">
          <w:pPr>
            <w:tabs>
              <w:tab w:val="center" w:pos="4252"/>
              <w:tab w:val="right" w:pos="8504"/>
            </w:tabs>
          </w:pPr>
        </w:p>
      </w:tc>
      <w:tc>
        <w:tcPr>
          <w:tcW w:w="1361" w:type="dxa"/>
          <w:vMerge/>
        </w:tcPr>
        <w:p w14:paraId="318BC70B" w14:textId="77777777" w:rsidR="00A5406B" w:rsidRPr="00A5406B" w:rsidRDefault="00A5406B" w:rsidP="00A5406B">
          <w:pPr>
            <w:tabs>
              <w:tab w:val="center" w:pos="4252"/>
              <w:tab w:val="right" w:pos="8504"/>
            </w:tabs>
            <w:jc w:val="center"/>
          </w:pPr>
        </w:p>
      </w:tc>
      <w:tc>
        <w:tcPr>
          <w:tcW w:w="3856" w:type="dxa"/>
        </w:tcPr>
        <w:p w14:paraId="5A5FB7A7" w14:textId="77777777" w:rsidR="00A5406B" w:rsidRPr="00A5406B" w:rsidRDefault="00A5406B" w:rsidP="00A5406B">
          <w:pPr>
            <w:tabs>
              <w:tab w:val="center" w:pos="4252"/>
              <w:tab w:val="right" w:pos="8504"/>
            </w:tabs>
          </w:pPr>
        </w:p>
      </w:tc>
    </w:tr>
  </w:tbl>
  <w:p w14:paraId="410AE8E3" w14:textId="77777777" w:rsidR="00A5406B" w:rsidRDefault="00A5406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B4088A"/>
    <w:multiLevelType w:val="hybridMultilevel"/>
    <w:tmpl w:val="798EB138"/>
    <w:lvl w:ilvl="0" w:tplc="307C4CA8">
      <w:start w:val="1"/>
      <w:numFmt w:val="bullet"/>
      <w:lvlText w:val="-"/>
      <w:lvlJc w:val="left"/>
      <w:pPr>
        <w:ind w:hanging="123"/>
      </w:pPr>
      <w:rPr>
        <w:rFonts w:ascii="Times New Roman" w:eastAsia="Times New Roman" w:hAnsi="Times New Roman" w:hint="default"/>
        <w:sz w:val="22"/>
        <w:szCs w:val="22"/>
      </w:rPr>
    </w:lvl>
    <w:lvl w:ilvl="1" w:tplc="567E8162">
      <w:start w:val="1"/>
      <w:numFmt w:val="bullet"/>
      <w:lvlText w:val="•"/>
      <w:lvlJc w:val="left"/>
      <w:rPr>
        <w:rFonts w:hint="default"/>
      </w:rPr>
    </w:lvl>
    <w:lvl w:ilvl="2" w:tplc="ED3CA9F6">
      <w:start w:val="1"/>
      <w:numFmt w:val="bullet"/>
      <w:lvlText w:val="•"/>
      <w:lvlJc w:val="left"/>
      <w:rPr>
        <w:rFonts w:hint="default"/>
      </w:rPr>
    </w:lvl>
    <w:lvl w:ilvl="3" w:tplc="C1684BE8">
      <w:start w:val="1"/>
      <w:numFmt w:val="bullet"/>
      <w:lvlText w:val="•"/>
      <w:lvlJc w:val="left"/>
      <w:rPr>
        <w:rFonts w:hint="default"/>
      </w:rPr>
    </w:lvl>
    <w:lvl w:ilvl="4" w:tplc="858E1DFC">
      <w:start w:val="1"/>
      <w:numFmt w:val="bullet"/>
      <w:lvlText w:val="•"/>
      <w:lvlJc w:val="left"/>
      <w:rPr>
        <w:rFonts w:hint="default"/>
      </w:rPr>
    </w:lvl>
    <w:lvl w:ilvl="5" w:tplc="B290EBE4">
      <w:start w:val="1"/>
      <w:numFmt w:val="bullet"/>
      <w:lvlText w:val="•"/>
      <w:lvlJc w:val="left"/>
      <w:rPr>
        <w:rFonts w:hint="default"/>
      </w:rPr>
    </w:lvl>
    <w:lvl w:ilvl="6" w:tplc="2B047C8E">
      <w:start w:val="1"/>
      <w:numFmt w:val="bullet"/>
      <w:lvlText w:val="•"/>
      <w:lvlJc w:val="left"/>
      <w:rPr>
        <w:rFonts w:hint="default"/>
      </w:rPr>
    </w:lvl>
    <w:lvl w:ilvl="7" w:tplc="C96259A8">
      <w:start w:val="1"/>
      <w:numFmt w:val="bullet"/>
      <w:lvlText w:val="•"/>
      <w:lvlJc w:val="left"/>
      <w:rPr>
        <w:rFonts w:hint="default"/>
      </w:rPr>
    </w:lvl>
    <w:lvl w:ilvl="8" w:tplc="012C4890">
      <w:start w:val="1"/>
      <w:numFmt w:val="bullet"/>
      <w:lvlText w:val="•"/>
      <w:lvlJc w:val="left"/>
      <w:rPr>
        <w:rFonts w:hint="default"/>
      </w:rPr>
    </w:lvl>
  </w:abstractNum>
  <w:num w:numId="1" w16cid:durableId="89087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06B"/>
    <w:rsid w:val="00071A46"/>
    <w:rsid w:val="00074AF0"/>
    <w:rsid w:val="000B3B28"/>
    <w:rsid w:val="000C4466"/>
    <w:rsid w:val="00145FEB"/>
    <w:rsid w:val="0019669A"/>
    <w:rsid w:val="001B3D67"/>
    <w:rsid w:val="0024182B"/>
    <w:rsid w:val="00303A42"/>
    <w:rsid w:val="00493368"/>
    <w:rsid w:val="005302BB"/>
    <w:rsid w:val="0060785B"/>
    <w:rsid w:val="0062360B"/>
    <w:rsid w:val="00643CB4"/>
    <w:rsid w:val="00725D97"/>
    <w:rsid w:val="007B74B4"/>
    <w:rsid w:val="00835415"/>
    <w:rsid w:val="00934630"/>
    <w:rsid w:val="00A51456"/>
    <w:rsid w:val="00A5406B"/>
    <w:rsid w:val="00A7660F"/>
    <w:rsid w:val="00A8408C"/>
    <w:rsid w:val="00B01CA4"/>
    <w:rsid w:val="00BC4B4D"/>
    <w:rsid w:val="00C301D0"/>
    <w:rsid w:val="00DB2932"/>
    <w:rsid w:val="00E91B23"/>
    <w:rsid w:val="00FA6DB3"/>
    <w:rsid w:val="00FD3BE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EFFD2"/>
  <w15:docId w15:val="{07912746-FBAF-48DE-BC54-F233A7BB3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A46"/>
    <w:pPr>
      <w:spacing w:after="0" w:line="240" w:lineRule="auto"/>
    </w:pPr>
    <w:rPr>
      <w:rFonts w:ascii="Times New Roman" w:eastAsia="Times New Roman" w:hAnsi="Times New Roman" w:cs="Arial"/>
      <w:sz w:val="20"/>
      <w:szCs w:val="20"/>
      <w:lang w:val="es-ES_tradnl" w:eastAsia="es-ES" w:bidi="or-IN"/>
    </w:rPr>
  </w:style>
  <w:style w:type="paragraph" w:styleId="Ttulo1">
    <w:name w:val="heading 1"/>
    <w:basedOn w:val="Normal"/>
    <w:link w:val="Ttulo1Car"/>
    <w:uiPriority w:val="1"/>
    <w:qFormat/>
    <w:rsid w:val="00FD3BE0"/>
    <w:pPr>
      <w:widowControl w:val="0"/>
      <w:ind w:left="105"/>
      <w:outlineLvl w:val="0"/>
    </w:pPr>
    <w:rPr>
      <w:rFonts w:cstheme="minorBidi"/>
      <w:b/>
      <w:bCs/>
      <w:sz w:val="22"/>
      <w:szCs w:val="22"/>
      <w:lang w:val="en-US" w:eastAsia="en-US"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5406B"/>
    <w:pPr>
      <w:tabs>
        <w:tab w:val="center" w:pos="4252"/>
        <w:tab w:val="right" w:pos="8504"/>
      </w:tabs>
    </w:pPr>
    <w:rPr>
      <w:rFonts w:asciiTheme="minorHAnsi" w:eastAsiaTheme="minorHAnsi" w:hAnsiTheme="minorHAnsi" w:cstheme="minorBidi"/>
      <w:sz w:val="22"/>
      <w:szCs w:val="22"/>
      <w:lang w:val="es-ES" w:eastAsia="en-US" w:bidi="ar-SA"/>
    </w:rPr>
  </w:style>
  <w:style w:type="character" w:customStyle="1" w:styleId="EncabezadoCar">
    <w:name w:val="Encabezado Car"/>
    <w:basedOn w:val="Fuentedeprrafopredeter"/>
    <w:link w:val="Encabezado"/>
    <w:uiPriority w:val="99"/>
    <w:rsid w:val="00A5406B"/>
  </w:style>
  <w:style w:type="paragraph" w:styleId="Piedepgina">
    <w:name w:val="footer"/>
    <w:basedOn w:val="Normal"/>
    <w:link w:val="PiedepginaCar"/>
    <w:uiPriority w:val="99"/>
    <w:unhideWhenUsed/>
    <w:rsid w:val="00A5406B"/>
    <w:pPr>
      <w:tabs>
        <w:tab w:val="center" w:pos="4252"/>
        <w:tab w:val="right" w:pos="8504"/>
      </w:tabs>
    </w:pPr>
    <w:rPr>
      <w:rFonts w:asciiTheme="minorHAnsi" w:eastAsiaTheme="minorHAnsi" w:hAnsiTheme="minorHAnsi" w:cstheme="minorBidi"/>
      <w:sz w:val="22"/>
      <w:szCs w:val="22"/>
      <w:lang w:val="es-ES" w:eastAsia="en-US" w:bidi="ar-SA"/>
    </w:rPr>
  </w:style>
  <w:style w:type="character" w:customStyle="1" w:styleId="PiedepginaCar">
    <w:name w:val="Pie de página Car"/>
    <w:basedOn w:val="Fuentedeprrafopredeter"/>
    <w:link w:val="Piedepgina"/>
    <w:uiPriority w:val="99"/>
    <w:rsid w:val="00A5406B"/>
  </w:style>
  <w:style w:type="paragraph" w:styleId="Textodeglobo">
    <w:name w:val="Balloon Text"/>
    <w:basedOn w:val="Normal"/>
    <w:link w:val="TextodegloboCar"/>
    <w:uiPriority w:val="99"/>
    <w:semiHidden/>
    <w:unhideWhenUsed/>
    <w:rsid w:val="00A5406B"/>
    <w:rPr>
      <w:rFonts w:ascii="Tahoma" w:eastAsiaTheme="minorHAnsi" w:hAnsi="Tahoma" w:cs="Tahoma"/>
      <w:sz w:val="16"/>
      <w:szCs w:val="16"/>
      <w:lang w:val="es-ES" w:eastAsia="en-US" w:bidi="ar-SA"/>
    </w:rPr>
  </w:style>
  <w:style w:type="character" w:customStyle="1" w:styleId="TextodegloboCar">
    <w:name w:val="Texto de globo Car"/>
    <w:basedOn w:val="Fuentedeprrafopredeter"/>
    <w:link w:val="Textodeglobo"/>
    <w:uiPriority w:val="99"/>
    <w:semiHidden/>
    <w:rsid w:val="00A5406B"/>
    <w:rPr>
      <w:rFonts w:ascii="Tahoma" w:hAnsi="Tahoma" w:cs="Tahoma"/>
      <w:sz w:val="16"/>
      <w:szCs w:val="16"/>
    </w:rPr>
  </w:style>
  <w:style w:type="paragraph" w:customStyle="1" w:styleId="txtprincipal">
    <w:name w:val="txtprincipal"/>
    <w:basedOn w:val="Normal"/>
    <w:rsid w:val="00C301D0"/>
    <w:pPr>
      <w:spacing w:before="100" w:beforeAutospacing="1" w:after="100" w:afterAutospacing="1"/>
    </w:pPr>
    <w:rPr>
      <w:rFonts w:cs="Times New Roman"/>
      <w:sz w:val="24"/>
      <w:szCs w:val="24"/>
      <w:lang w:val="es-ES" w:bidi="ar-SA"/>
    </w:rPr>
  </w:style>
  <w:style w:type="character" w:customStyle="1" w:styleId="Ttulo1Car">
    <w:name w:val="Título 1 Car"/>
    <w:basedOn w:val="Fuentedeprrafopredeter"/>
    <w:link w:val="Ttulo1"/>
    <w:uiPriority w:val="1"/>
    <w:rsid w:val="00FD3BE0"/>
    <w:rPr>
      <w:rFonts w:ascii="Times New Roman" w:eastAsia="Times New Roman" w:hAnsi="Times New Roman"/>
      <w:b/>
      <w:bCs/>
      <w:lang w:val="en-US"/>
    </w:rPr>
  </w:style>
  <w:style w:type="table" w:customStyle="1" w:styleId="TableNormal">
    <w:name w:val="Table Normal"/>
    <w:uiPriority w:val="2"/>
    <w:semiHidden/>
    <w:unhideWhenUsed/>
    <w:qFormat/>
    <w:rsid w:val="00FD3BE0"/>
    <w:pPr>
      <w:widowControl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FD3BE0"/>
    <w:pPr>
      <w:widowControl w:val="0"/>
      <w:ind w:left="101"/>
    </w:pPr>
    <w:rPr>
      <w:rFonts w:cstheme="minorBidi"/>
      <w:sz w:val="22"/>
      <w:szCs w:val="22"/>
      <w:lang w:val="en-US" w:eastAsia="en-US" w:bidi="ar-SA"/>
    </w:rPr>
  </w:style>
  <w:style w:type="character" w:customStyle="1" w:styleId="TextoindependienteCar">
    <w:name w:val="Texto independiente Car"/>
    <w:basedOn w:val="Fuentedeprrafopredeter"/>
    <w:link w:val="Textoindependiente"/>
    <w:uiPriority w:val="1"/>
    <w:rsid w:val="00FD3BE0"/>
    <w:rPr>
      <w:rFonts w:ascii="Times New Roman" w:eastAsia="Times New Roman" w:hAnsi="Times New Roman"/>
      <w:lang w:val="en-US"/>
    </w:rPr>
  </w:style>
  <w:style w:type="paragraph" w:styleId="Prrafodelista">
    <w:name w:val="List Paragraph"/>
    <w:basedOn w:val="Normal"/>
    <w:uiPriority w:val="1"/>
    <w:qFormat/>
    <w:rsid w:val="00FD3BE0"/>
    <w:pPr>
      <w:widowControl w:val="0"/>
    </w:pPr>
    <w:rPr>
      <w:rFonts w:asciiTheme="minorHAnsi" w:eastAsiaTheme="minorHAnsi" w:hAnsiTheme="minorHAnsi" w:cstheme="minorBidi"/>
      <w:sz w:val="22"/>
      <w:szCs w:val="22"/>
      <w:lang w:val="en-US" w:eastAsia="en-US" w:bidi="ar-SA"/>
    </w:rPr>
  </w:style>
  <w:style w:type="paragraph" w:customStyle="1" w:styleId="TableParagraph">
    <w:name w:val="Table Paragraph"/>
    <w:basedOn w:val="Normal"/>
    <w:uiPriority w:val="1"/>
    <w:qFormat/>
    <w:rsid w:val="00FD3BE0"/>
    <w:pPr>
      <w:widowControl w:val="0"/>
    </w:pPr>
    <w:rPr>
      <w:rFonts w:asciiTheme="minorHAnsi" w:eastAsiaTheme="minorHAnsi" w:hAnsiTheme="minorHAnsi" w:cstheme="minorBidi"/>
      <w:sz w:val="22"/>
      <w:szCs w:val="22"/>
      <w:lang w:val="en-US" w:eastAsia="en-US" w:bidi="ar-SA"/>
    </w:rPr>
  </w:style>
  <w:style w:type="paragraph" w:styleId="Textocomentario">
    <w:name w:val="annotation text"/>
    <w:basedOn w:val="Normal"/>
    <w:link w:val="TextocomentarioCar"/>
    <w:uiPriority w:val="99"/>
    <w:semiHidden/>
    <w:unhideWhenUsed/>
    <w:rsid w:val="00FD3BE0"/>
    <w:pPr>
      <w:spacing w:after="200"/>
    </w:pPr>
    <w:rPr>
      <w:rFonts w:asciiTheme="minorHAnsi" w:eastAsiaTheme="minorHAnsi" w:hAnsiTheme="minorHAnsi" w:cstheme="minorBidi"/>
      <w:lang w:val="es-ES" w:eastAsia="en-US" w:bidi="ar-SA"/>
    </w:rPr>
  </w:style>
  <w:style w:type="character" w:customStyle="1" w:styleId="TextocomentarioCar">
    <w:name w:val="Texto comentario Car"/>
    <w:basedOn w:val="Fuentedeprrafopredeter"/>
    <w:link w:val="Textocomentario"/>
    <w:uiPriority w:val="99"/>
    <w:semiHidden/>
    <w:rsid w:val="00FD3BE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246806">
      <w:bodyDiv w:val="1"/>
      <w:marLeft w:val="0"/>
      <w:marRight w:val="0"/>
      <w:marTop w:val="0"/>
      <w:marBottom w:val="0"/>
      <w:divBdr>
        <w:top w:val="none" w:sz="0" w:space="0" w:color="auto"/>
        <w:left w:val="none" w:sz="0" w:space="0" w:color="auto"/>
        <w:bottom w:val="none" w:sz="0" w:space="0" w:color="auto"/>
        <w:right w:val="none" w:sz="0" w:space="0" w:color="auto"/>
      </w:divBdr>
    </w:div>
    <w:div w:id="1849051961">
      <w:bodyDiv w:val="1"/>
      <w:marLeft w:val="0"/>
      <w:marRight w:val="0"/>
      <w:marTop w:val="0"/>
      <w:marBottom w:val="0"/>
      <w:divBdr>
        <w:top w:val="none" w:sz="0" w:space="0" w:color="auto"/>
        <w:left w:val="none" w:sz="0" w:space="0" w:color="auto"/>
        <w:bottom w:val="none" w:sz="0" w:space="0" w:color="auto"/>
        <w:right w:val="none" w:sz="0" w:space="0" w:color="auto"/>
      </w:divBdr>
      <w:divsChild>
        <w:div w:id="376782401">
          <w:marLeft w:val="0"/>
          <w:marRight w:val="0"/>
          <w:marTop w:val="0"/>
          <w:marBottom w:val="0"/>
          <w:divBdr>
            <w:top w:val="none" w:sz="0" w:space="0" w:color="auto"/>
            <w:left w:val="none" w:sz="0" w:space="0" w:color="auto"/>
            <w:bottom w:val="none" w:sz="0" w:space="0" w:color="auto"/>
            <w:right w:val="none" w:sz="0" w:space="0" w:color="auto"/>
          </w:divBdr>
          <w:divsChild>
            <w:div w:id="1703021055">
              <w:marLeft w:val="0"/>
              <w:marRight w:val="0"/>
              <w:marTop w:val="150"/>
              <w:marBottom w:val="0"/>
              <w:divBdr>
                <w:top w:val="none" w:sz="0" w:space="0" w:color="auto"/>
                <w:left w:val="none" w:sz="0" w:space="0" w:color="auto"/>
                <w:bottom w:val="none" w:sz="0" w:space="0" w:color="auto"/>
                <w:right w:val="none" w:sz="0" w:space="0" w:color="auto"/>
              </w:divBdr>
              <w:divsChild>
                <w:div w:id="5456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588</Words>
  <Characters>3237</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López de Heredia López de Vicuña, Elena</cp:lastModifiedBy>
  <cp:revision>11</cp:revision>
  <dcterms:created xsi:type="dcterms:W3CDTF">2021-04-29T12:31:00Z</dcterms:created>
  <dcterms:modified xsi:type="dcterms:W3CDTF">2023-09-18T09:12:00Z</dcterms:modified>
</cp:coreProperties>
</file>